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587B0" w14:textId="77777777" w:rsidR="003755D0" w:rsidRDefault="003755D0" w:rsidP="003755D0">
      <w:pPr>
        <w:jc w:val="center"/>
        <w:rPr>
          <w:rFonts w:ascii="Times New Roman" w:eastAsia="等线" w:hAnsi="Times New Roman"/>
          <w:b/>
          <w:bCs/>
          <w:sz w:val="28"/>
          <w:szCs w:val="24"/>
        </w:rPr>
      </w:pPr>
      <w:r>
        <w:rPr>
          <w:rFonts w:ascii="Times New Roman" w:eastAsia="等线" w:hAnsi="Times New Roman"/>
          <w:b/>
          <w:bCs/>
          <w:sz w:val="28"/>
          <w:szCs w:val="24"/>
        </w:rPr>
        <w:t>Bone Marrow Mesenchymal Stem Cells Modulate miR-202-3p</w:t>
      </w:r>
    </w:p>
    <w:p w14:paraId="7BF3733B" w14:textId="77777777" w:rsidR="003755D0" w:rsidRDefault="003755D0" w:rsidP="003755D0">
      <w:pPr>
        <w:jc w:val="center"/>
        <w:rPr>
          <w:rFonts w:ascii="Times New Roman" w:eastAsia="等线" w:hAnsi="Times New Roman"/>
          <w:b/>
          <w:bCs/>
          <w:sz w:val="28"/>
          <w:szCs w:val="24"/>
        </w:rPr>
      </w:pPr>
      <w:r>
        <w:rPr>
          <w:rFonts w:ascii="Times New Roman" w:eastAsia="等线" w:hAnsi="Times New Roman"/>
          <w:b/>
          <w:bCs/>
          <w:sz w:val="28"/>
          <w:szCs w:val="24"/>
        </w:rPr>
        <w:t>to Suppress Neuronal Apoptosis Following Spinal Cord Injury Through Autophagy Activation via the AMPK, MAPK, and PI3K/AKT/mTOR Signaling Pathway</w:t>
      </w:r>
    </w:p>
    <w:p w14:paraId="459887DC" w14:textId="77777777" w:rsidR="003755D0" w:rsidRDefault="003755D0" w:rsidP="003755D0">
      <w:pPr>
        <w:jc w:val="left"/>
        <w:rPr>
          <w:rFonts w:ascii="Times New Roman" w:eastAsia="等线" w:hAnsi="Times New Roman"/>
          <w:b/>
          <w:bCs/>
          <w:sz w:val="28"/>
          <w:szCs w:val="24"/>
        </w:rPr>
      </w:pPr>
      <w:r>
        <w:rPr>
          <w:rFonts w:ascii="Times New Roman" w:eastAsia="等线" w:hAnsi="Times New Roman"/>
          <w:b/>
          <w:bCs/>
          <w:sz w:val="28"/>
          <w:szCs w:val="24"/>
        </w:rPr>
        <w:t>K</w:t>
      </w:r>
      <w:bookmarkStart w:id="0" w:name="_Ref163834764"/>
      <w:r>
        <w:rPr>
          <w:rFonts w:ascii="Times New Roman" w:eastAsia="等线" w:hAnsi="Times New Roman" w:hint="eastAsia"/>
          <w:b/>
          <w:bCs/>
          <w:sz w:val="28"/>
          <w:szCs w:val="24"/>
        </w:rPr>
        <w:t>e Huang</w:t>
      </w:r>
      <w:bookmarkEnd w:id="0"/>
      <w:r>
        <w:rPr>
          <w:rFonts w:ascii="Times New Roman" w:eastAsia="等线" w:hAnsi="Times New Roman" w:hint="eastAsia"/>
          <w:b/>
          <w:bCs/>
          <w:sz w:val="28"/>
          <w:szCs w:val="24"/>
          <w:vertAlign w:val="superscript"/>
        </w:rPr>
        <w:t>1,</w:t>
      </w:r>
      <w:r>
        <w:rPr>
          <w:rFonts w:ascii="Times New Roman" w:eastAsia="等线" w:hAnsi="Times New Roman"/>
          <w:b/>
          <w:bCs/>
          <w:sz w:val="28"/>
          <w:szCs w:val="24"/>
          <w:vertAlign w:val="superscript"/>
        </w:rPr>
        <w:t>2, #</w:t>
      </w:r>
      <w:r>
        <w:rPr>
          <w:rFonts w:ascii="Times New Roman" w:eastAsia="等线" w:hAnsi="Times New Roman" w:hint="eastAsia"/>
          <w:b/>
          <w:bCs/>
          <w:sz w:val="28"/>
          <w:szCs w:val="24"/>
        </w:rPr>
        <w:t>, Jing Fang</w:t>
      </w:r>
      <w:r>
        <w:rPr>
          <w:rFonts w:ascii="Times New Roman" w:eastAsia="等线" w:hAnsi="Times New Roman" w:hint="eastAsia"/>
          <w:b/>
          <w:bCs/>
          <w:sz w:val="28"/>
          <w:szCs w:val="24"/>
          <w:vertAlign w:val="superscript"/>
        </w:rPr>
        <w:t>1,</w:t>
      </w:r>
      <w:r>
        <w:rPr>
          <w:rFonts w:ascii="Times New Roman" w:eastAsia="等线" w:hAnsi="Times New Roman"/>
          <w:b/>
          <w:bCs/>
          <w:sz w:val="28"/>
          <w:szCs w:val="24"/>
          <w:vertAlign w:val="superscript"/>
        </w:rPr>
        <w:t>2, #</w:t>
      </w:r>
      <w:r>
        <w:rPr>
          <w:rFonts w:ascii="Times New Roman" w:eastAsia="等线" w:hAnsi="Times New Roman" w:hint="eastAsia"/>
          <w:b/>
          <w:bCs/>
          <w:sz w:val="28"/>
          <w:szCs w:val="24"/>
        </w:rPr>
        <w:t>,</w:t>
      </w:r>
      <w:r>
        <w:rPr>
          <w:rFonts w:ascii="Times New Roman" w:eastAsia="等线" w:hAnsi="Times New Roman" w:hint="eastAsia"/>
          <w:b/>
          <w:bCs/>
          <w:sz w:val="28"/>
          <w:szCs w:val="24"/>
          <w:vertAlign w:val="subscript"/>
        </w:rPr>
        <w:t xml:space="preserve"> </w:t>
      </w:r>
      <w:r>
        <w:rPr>
          <w:rFonts w:ascii="Times New Roman" w:eastAsia="等线" w:hAnsi="Times New Roman"/>
          <w:b/>
          <w:bCs/>
          <w:sz w:val="28"/>
          <w:szCs w:val="24"/>
        </w:rPr>
        <w:t>Weiming Sun</w:t>
      </w:r>
      <w:r>
        <w:rPr>
          <w:rFonts w:ascii="Times New Roman" w:eastAsia="等线" w:hAnsi="Times New Roman" w:hint="eastAsia"/>
          <w:b/>
          <w:bCs/>
          <w:sz w:val="28"/>
          <w:szCs w:val="24"/>
          <w:vertAlign w:val="superscript"/>
        </w:rPr>
        <w:t>1,</w:t>
      </w:r>
      <w:r>
        <w:rPr>
          <w:rFonts w:ascii="Times New Roman" w:eastAsia="等线" w:hAnsi="Times New Roman"/>
          <w:b/>
          <w:bCs/>
          <w:sz w:val="28"/>
          <w:szCs w:val="24"/>
          <w:vertAlign w:val="superscript"/>
        </w:rPr>
        <w:t>2</w:t>
      </w:r>
      <w:r>
        <w:rPr>
          <w:rFonts w:ascii="Times New Roman" w:eastAsia="等线" w:hAnsi="Times New Roman"/>
          <w:b/>
          <w:bCs/>
          <w:sz w:val="28"/>
          <w:szCs w:val="24"/>
        </w:rPr>
        <w:t>,</w:t>
      </w:r>
      <w:r>
        <w:rPr>
          <w:rFonts w:ascii="Times New Roman" w:eastAsia="等线" w:hAnsi="Times New Roman" w:hint="eastAsia"/>
          <w:b/>
          <w:bCs/>
          <w:sz w:val="28"/>
          <w:szCs w:val="24"/>
        </w:rPr>
        <w:t xml:space="preserve"> </w:t>
      </w:r>
      <w:proofErr w:type="spellStart"/>
      <w:r>
        <w:rPr>
          <w:rFonts w:ascii="Times New Roman" w:eastAsia="等线" w:hAnsi="Times New Roman" w:hint="eastAsia"/>
          <w:b/>
          <w:bCs/>
          <w:sz w:val="28"/>
          <w:szCs w:val="24"/>
        </w:rPr>
        <w:t>Yujia</w:t>
      </w:r>
      <w:proofErr w:type="spellEnd"/>
      <w:r>
        <w:rPr>
          <w:rFonts w:ascii="Times New Roman" w:eastAsia="等线" w:hAnsi="Times New Roman" w:hint="eastAsia"/>
          <w:b/>
          <w:bCs/>
          <w:sz w:val="28"/>
          <w:szCs w:val="24"/>
        </w:rPr>
        <w:t xml:space="preserve"> Zeng</w:t>
      </w:r>
      <w:r>
        <w:rPr>
          <w:rFonts w:ascii="Times New Roman" w:eastAsia="等线" w:hAnsi="Times New Roman" w:hint="eastAsia"/>
          <w:b/>
          <w:bCs/>
          <w:sz w:val="28"/>
          <w:szCs w:val="24"/>
          <w:vertAlign w:val="superscript"/>
        </w:rPr>
        <w:t>1,2</w:t>
      </w:r>
      <w:r>
        <w:rPr>
          <w:rFonts w:ascii="Times New Roman" w:eastAsia="等线" w:hAnsi="Times New Roman" w:hint="eastAsia"/>
          <w:b/>
          <w:bCs/>
          <w:sz w:val="28"/>
          <w:szCs w:val="24"/>
        </w:rPr>
        <w:t>, Bowen Shi</w:t>
      </w:r>
      <w:r>
        <w:rPr>
          <w:rFonts w:ascii="Times New Roman" w:eastAsia="等线" w:hAnsi="Times New Roman" w:hint="eastAsia"/>
          <w:b/>
          <w:bCs/>
          <w:sz w:val="28"/>
          <w:szCs w:val="24"/>
          <w:vertAlign w:val="superscript"/>
        </w:rPr>
        <w:t>1,2</w:t>
      </w:r>
      <w:r>
        <w:rPr>
          <w:rFonts w:ascii="Times New Roman" w:eastAsia="等线" w:hAnsi="Times New Roman" w:hint="eastAsia"/>
          <w:b/>
          <w:bCs/>
          <w:sz w:val="28"/>
          <w:szCs w:val="24"/>
        </w:rPr>
        <w:t xml:space="preserve">, </w:t>
      </w:r>
      <w:proofErr w:type="spellStart"/>
      <w:r>
        <w:rPr>
          <w:rFonts w:ascii="Times New Roman" w:eastAsia="等线" w:hAnsi="Times New Roman" w:hint="eastAsia"/>
          <w:b/>
          <w:bCs/>
          <w:sz w:val="28"/>
          <w:szCs w:val="24"/>
        </w:rPr>
        <w:t>Bingkai</w:t>
      </w:r>
      <w:proofErr w:type="spellEnd"/>
      <w:r>
        <w:rPr>
          <w:rFonts w:ascii="Times New Roman" w:eastAsia="等线" w:hAnsi="Times New Roman" w:hint="eastAsia"/>
          <w:b/>
          <w:bCs/>
          <w:sz w:val="28"/>
          <w:szCs w:val="24"/>
        </w:rPr>
        <w:t xml:space="preserve"> Ren</w:t>
      </w:r>
      <w:r>
        <w:rPr>
          <w:rFonts w:ascii="Times New Roman" w:eastAsia="等线" w:hAnsi="Times New Roman" w:hint="eastAsia"/>
          <w:b/>
          <w:bCs/>
          <w:sz w:val="28"/>
          <w:szCs w:val="24"/>
          <w:vertAlign w:val="superscript"/>
        </w:rPr>
        <w:t>1,2</w:t>
      </w:r>
      <w:r>
        <w:rPr>
          <w:rFonts w:ascii="Times New Roman" w:eastAsia="等线" w:hAnsi="Times New Roman" w:hint="eastAsia"/>
          <w:b/>
          <w:bCs/>
          <w:sz w:val="28"/>
          <w:szCs w:val="24"/>
          <w:vertAlign w:val="subscript"/>
        </w:rPr>
        <w:t>,</w:t>
      </w:r>
      <w:r>
        <w:rPr>
          <w:rFonts w:ascii="Times New Roman" w:eastAsia="等线" w:hAnsi="Times New Roman"/>
          <w:b/>
          <w:bCs/>
          <w:sz w:val="28"/>
          <w:szCs w:val="24"/>
          <w:vertAlign w:val="subscript"/>
        </w:rPr>
        <w:t xml:space="preserve"> </w:t>
      </w:r>
      <w:bookmarkStart w:id="1" w:name="_Hlk163832046"/>
      <w:r>
        <w:rPr>
          <w:rFonts w:ascii="Times New Roman" w:eastAsia="等线" w:hAnsi="Times New Roman" w:hint="eastAsia"/>
          <w:b/>
          <w:bCs/>
          <w:sz w:val="28"/>
          <w:szCs w:val="24"/>
        </w:rPr>
        <w:t>Haidi Bi</w:t>
      </w:r>
      <w:bookmarkEnd w:id="1"/>
      <w:r>
        <w:rPr>
          <w:rFonts w:ascii="Times New Roman" w:eastAsia="等线" w:hAnsi="Times New Roman" w:hint="eastAsia"/>
          <w:b/>
          <w:bCs/>
          <w:sz w:val="28"/>
          <w:szCs w:val="24"/>
          <w:vertAlign w:val="superscript"/>
        </w:rPr>
        <w:t>1,</w:t>
      </w:r>
      <w:r>
        <w:rPr>
          <w:rFonts w:ascii="Times New Roman" w:eastAsia="等线" w:hAnsi="Times New Roman"/>
          <w:b/>
          <w:bCs/>
          <w:sz w:val="28"/>
          <w:szCs w:val="24"/>
          <w:vertAlign w:val="superscript"/>
        </w:rPr>
        <w:t>2, *</w:t>
      </w:r>
      <w:r>
        <w:rPr>
          <w:rFonts w:ascii="Times New Roman" w:eastAsia="等线" w:hAnsi="Times New Roman" w:hint="eastAsia"/>
          <w:b/>
          <w:bCs/>
          <w:sz w:val="28"/>
          <w:szCs w:val="24"/>
        </w:rPr>
        <w:t>, Lang Shuai</w:t>
      </w:r>
      <w:r>
        <w:rPr>
          <w:rFonts w:ascii="Times New Roman" w:eastAsia="等线" w:hAnsi="Times New Roman" w:hint="eastAsia"/>
          <w:b/>
          <w:bCs/>
          <w:sz w:val="28"/>
          <w:szCs w:val="24"/>
          <w:vertAlign w:val="superscript"/>
        </w:rPr>
        <w:t>1,</w:t>
      </w:r>
      <w:r>
        <w:rPr>
          <w:rFonts w:ascii="Times New Roman" w:eastAsia="等线" w:hAnsi="Times New Roman"/>
          <w:b/>
          <w:bCs/>
          <w:sz w:val="28"/>
          <w:szCs w:val="24"/>
          <w:vertAlign w:val="superscript"/>
        </w:rPr>
        <w:t>2, *</w:t>
      </w:r>
      <w:r>
        <w:rPr>
          <w:rFonts w:ascii="Times New Roman" w:eastAsia="等线" w:hAnsi="Times New Roman" w:hint="eastAsia"/>
          <w:b/>
          <w:bCs/>
          <w:sz w:val="28"/>
          <w:szCs w:val="24"/>
          <w:vertAlign w:val="superscript"/>
        </w:rPr>
        <w:t xml:space="preserve"> </w:t>
      </w:r>
    </w:p>
    <w:p w14:paraId="07A0CC48" w14:textId="77777777" w:rsidR="003755D0" w:rsidRDefault="003755D0" w:rsidP="003755D0">
      <w:pPr>
        <w:spacing w:line="360" w:lineRule="auto"/>
        <w:rPr>
          <w:rFonts w:ascii="Times New Roman" w:eastAsia="等线" w:hAnsi="Times New Roman" w:cs="Segoe UI"/>
          <w:color w:val="333333"/>
        </w:rPr>
      </w:pPr>
      <w:r>
        <w:rPr>
          <w:rFonts w:ascii="Times New Roman" w:eastAsia="等线" w:hAnsi="Times New Roman" w:cs="Segoe UI" w:hint="eastAsia"/>
          <w:color w:val="333333"/>
        </w:rPr>
        <w:t>1</w:t>
      </w:r>
      <w:r>
        <w:rPr>
          <w:rFonts w:ascii="Times New Roman" w:eastAsia="等线" w:hAnsi="Times New Roman" w:cs="Segoe UI"/>
          <w:color w:val="333333"/>
        </w:rPr>
        <w:t xml:space="preserve"> Department of Rehabilitation Medicine, the 1</w:t>
      </w:r>
      <w:r>
        <w:rPr>
          <w:rFonts w:ascii="Times New Roman" w:eastAsia="等线" w:hAnsi="Times New Roman" w:cs="Segoe UI"/>
          <w:color w:val="333333"/>
          <w:vertAlign w:val="superscript"/>
        </w:rPr>
        <w:t>st</w:t>
      </w:r>
      <w:r>
        <w:rPr>
          <w:rFonts w:ascii="Times New Roman" w:eastAsia="等线" w:hAnsi="Times New Roman" w:cs="Segoe UI"/>
          <w:color w:val="333333"/>
        </w:rPr>
        <w:t xml:space="preserve"> affiliated hospital, Jiangxi Medical College, Nanchang University, Nanchang 330006, People’s Republic of China</w:t>
      </w:r>
      <w:r>
        <w:rPr>
          <w:rFonts w:ascii="Times New Roman" w:eastAsia="等线" w:hAnsi="Times New Roman" w:cs="Segoe UI" w:hint="eastAsia"/>
          <w:color w:val="333333"/>
        </w:rPr>
        <w:t>.</w:t>
      </w:r>
    </w:p>
    <w:p w14:paraId="3EC992F7" w14:textId="77777777" w:rsidR="003755D0" w:rsidRDefault="003755D0" w:rsidP="003755D0">
      <w:pPr>
        <w:spacing w:line="360" w:lineRule="auto"/>
        <w:rPr>
          <w:rFonts w:ascii="Times New Roman" w:eastAsia="等线" w:hAnsi="Times New Roman" w:cs="Segoe UI"/>
          <w:color w:val="333333"/>
        </w:rPr>
      </w:pPr>
      <w:r>
        <w:rPr>
          <w:rFonts w:ascii="Times New Roman" w:eastAsia="等线" w:hAnsi="Times New Roman" w:cs="Segoe UI" w:hint="eastAsia"/>
          <w:color w:val="333333"/>
        </w:rPr>
        <w:t>2</w:t>
      </w:r>
      <w:r>
        <w:rPr>
          <w:rFonts w:ascii="Times New Roman" w:eastAsia="等线" w:hAnsi="Times New Roman" w:cs="Segoe UI"/>
          <w:color w:val="333333"/>
        </w:rPr>
        <w:t xml:space="preserve"> The 1</w:t>
      </w:r>
      <w:r>
        <w:rPr>
          <w:rFonts w:ascii="Times New Roman" w:eastAsia="等线" w:hAnsi="Times New Roman" w:cs="Segoe UI"/>
          <w:color w:val="333333"/>
          <w:vertAlign w:val="superscript"/>
        </w:rPr>
        <w:t>st</w:t>
      </w:r>
      <w:r>
        <w:rPr>
          <w:rFonts w:ascii="Times New Roman" w:eastAsia="等线" w:hAnsi="Times New Roman" w:cs="Segoe UI"/>
          <w:color w:val="333333"/>
        </w:rPr>
        <w:t xml:space="preserve"> Clinical Medical College School, Jiangxi Medical College, Nanchang University, Nanchang 330006, People’s Republic of China</w:t>
      </w:r>
      <w:r>
        <w:rPr>
          <w:rFonts w:ascii="Times New Roman" w:eastAsia="等线" w:hAnsi="Times New Roman" w:cs="Segoe UI" w:hint="eastAsia"/>
          <w:color w:val="333333"/>
        </w:rPr>
        <w:t>.</w:t>
      </w:r>
    </w:p>
    <w:p w14:paraId="5617D908" w14:textId="77777777" w:rsidR="003755D0" w:rsidRDefault="003755D0" w:rsidP="003755D0">
      <w:pPr>
        <w:spacing w:line="360" w:lineRule="auto"/>
        <w:rPr>
          <w:rFonts w:ascii="Times New Roman" w:eastAsia="等线" w:hAnsi="Times New Roman" w:cs="Segoe UI"/>
          <w:color w:val="333333"/>
        </w:rPr>
      </w:pPr>
      <w:r>
        <w:rPr>
          <w:rFonts w:ascii="Times New Roman" w:eastAsia="等线" w:hAnsi="Times New Roman" w:cs="Segoe UI"/>
          <w:color w:val="333333"/>
        </w:rPr>
        <w:sym w:font="Symbol" w:char="F023"/>
      </w:r>
      <w:r>
        <w:rPr>
          <w:rFonts w:ascii="Times New Roman" w:eastAsia="等线" w:hAnsi="Times New Roman" w:cs="Segoe UI"/>
          <w:color w:val="333333"/>
        </w:rPr>
        <w:t xml:space="preserve"> Those authors contributed equally to this work</w:t>
      </w:r>
      <w:r>
        <w:rPr>
          <w:rFonts w:ascii="Times New Roman" w:eastAsia="等线" w:hAnsi="Times New Roman" w:cs="Segoe UI" w:hint="eastAsia"/>
          <w:color w:val="333333"/>
        </w:rPr>
        <w:t>.</w:t>
      </w:r>
    </w:p>
    <w:p w14:paraId="6BEDF6CC" w14:textId="77777777" w:rsidR="003755D0" w:rsidRDefault="003755D0" w:rsidP="003755D0">
      <w:pPr>
        <w:spacing w:line="360" w:lineRule="auto"/>
        <w:jc w:val="left"/>
        <w:rPr>
          <w:rFonts w:ascii="Times New Roman" w:eastAsia="等线" w:hAnsi="Times New Roman"/>
        </w:rPr>
      </w:pPr>
      <w:r>
        <w:rPr>
          <w:rFonts w:ascii="Times New Roman" w:hAnsi="Times New Roman"/>
        </w:rPr>
        <w:sym w:font="Symbol" w:char="F02A"/>
      </w:r>
      <w:r>
        <w:rPr>
          <w:rFonts w:ascii="Times New Roman" w:hAnsi="Times New Roman"/>
        </w:rPr>
        <w:t xml:space="preserve"> Correspondence to</w:t>
      </w:r>
      <w:r>
        <w:rPr>
          <w:rFonts w:ascii="Times New Roman" w:hAnsi="Times New Roman" w:hint="eastAsia"/>
        </w:rPr>
        <w:t xml:space="preserve"> </w:t>
      </w:r>
    </w:p>
    <w:p w14:paraId="2321E9B8" w14:textId="77777777" w:rsidR="003755D0" w:rsidRDefault="003755D0" w:rsidP="003755D0">
      <w:pPr>
        <w:spacing w:line="360" w:lineRule="auto"/>
        <w:jc w:val="left"/>
        <w:rPr>
          <w:rFonts w:ascii="Times New Roman" w:eastAsia="等线" w:hAnsi="Times New Roman"/>
        </w:rPr>
      </w:pPr>
      <w:r>
        <w:rPr>
          <w:rFonts w:ascii="Times New Roman" w:hAnsi="Times New Roman"/>
        </w:rPr>
        <w:t>Lang Shuai, MD, PhD,</w:t>
      </w:r>
      <w:r>
        <w:t xml:space="preserve"> </w:t>
      </w:r>
      <w:hyperlink r:id="rId4" w:history="1">
        <w:r>
          <w:rPr>
            <w:rStyle w:val="ae"/>
          </w:rPr>
          <w:t>ndyfy02151@ncu.edu.cn</w:t>
        </w:r>
      </w:hyperlink>
      <w:r>
        <w:t>;</w:t>
      </w:r>
      <w:r>
        <w:rPr>
          <w:rFonts w:ascii="Times New Roman" w:hAnsi="Times New Roman"/>
        </w:rPr>
        <w:t xml:space="preserve"> Haidi Bi,</w:t>
      </w:r>
      <w:hyperlink r:id="rId5" w:history="1">
        <w:r>
          <w:rPr>
            <w:rStyle w:val="ae"/>
          </w:rPr>
          <w:t>ndyfy05755@ncu.edu.cn</w:t>
        </w:r>
      </w:hyperlink>
    </w:p>
    <w:p w14:paraId="7CD0DD44" w14:textId="77777777" w:rsidR="003755D0" w:rsidRDefault="003755D0">
      <w:pPr>
        <w:rPr>
          <w:noProof/>
        </w:rPr>
      </w:pPr>
    </w:p>
    <w:p w14:paraId="346CE7EA" w14:textId="77777777" w:rsidR="005E2E3F" w:rsidRDefault="005E2E3F">
      <w:pPr>
        <w:rPr>
          <w:noProof/>
        </w:rPr>
      </w:pPr>
    </w:p>
    <w:p w14:paraId="01077B63" w14:textId="77777777" w:rsidR="005E2E3F" w:rsidRDefault="005E2E3F">
      <w:pPr>
        <w:rPr>
          <w:noProof/>
        </w:rPr>
      </w:pPr>
    </w:p>
    <w:p w14:paraId="25598AC2" w14:textId="77777777" w:rsidR="005E2E3F" w:rsidRPr="005E2E3F" w:rsidRDefault="005E2E3F">
      <w:pPr>
        <w:rPr>
          <w:rFonts w:hint="eastAsia"/>
          <w:noProof/>
        </w:rPr>
      </w:pPr>
    </w:p>
    <w:p w14:paraId="64BBF7D1" w14:textId="77777777" w:rsidR="003755D0" w:rsidRDefault="003755D0">
      <w:pPr>
        <w:rPr>
          <w:noProof/>
        </w:rPr>
      </w:pPr>
    </w:p>
    <w:p w14:paraId="6F32F764" w14:textId="54839FA2" w:rsidR="00380E9B" w:rsidRDefault="001F1EB1" w:rsidP="001F1EB1">
      <w:pPr>
        <w:jc w:val="center"/>
      </w:pPr>
      <w:r>
        <w:rPr>
          <w:noProof/>
        </w:rPr>
        <w:drawing>
          <wp:inline distT="0" distB="0" distL="0" distR="0" wp14:anchorId="46DB9AB8" wp14:editId="21ED6E8F">
            <wp:extent cx="4191000" cy="3335678"/>
            <wp:effectExtent l="0" t="0" r="0" b="0"/>
            <wp:docPr id="282618238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18238" name="图片 1" descr="图片包含 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0" t="6043" r="29758" b="11840"/>
                    <a:stretch/>
                  </pic:blipFill>
                  <pic:spPr bwMode="auto">
                    <a:xfrm>
                      <a:off x="0" y="0"/>
                      <a:ext cx="4199627" cy="334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1BB2E" w14:textId="57C6EF22" w:rsidR="001F1EB1" w:rsidRDefault="001F1EB1" w:rsidP="004366FA">
      <w:pPr>
        <w:spacing w:line="360" w:lineRule="auto"/>
        <w:jc w:val="left"/>
        <w:rPr>
          <w:rFonts w:ascii="Times New Roman" w:hAnsi="Times New Roman" w:cs="Segoe UI"/>
          <w:sz w:val="24"/>
          <w:lang w:val="en-GB"/>
        </w:rPr>
      </w:pPr>
      <w:r w:rsidRPr="001F1EB1">
        <w:rPr>
          <w:rFonts w:ascii="Times New Roman" w:eastAsia="Times New Roman" w:hAnsi="Times New Roman" w:cs="Segoe UI"/>
          <w:b/>
          <w:bCs/>
          <w:sz w:val="24"/>
          <w:lang w:val="en-GB"/>
        </w:rPr>
        <w:lastRenderedPageBreak/>
        <w:t>Figure 1S</w:t>
      </w:r>
      <w:r w:rsidRPr="001F1EB1">
        <w:rPr>
          <w:rFonts w:ascii="Times New Roman" w:eastAsia="Times New Roman" w:hAnsi="Times New Roman" w:cs="Segoe UI"/>
          <w:sz w:val="24"/>
          <w:lang w:val="en-GB"/>
        </w:rPr>
        <w:t xml:space="preserve">. </w:t>
      </w:r>
      <w:r w:rsidRPr="004366FA">
        <w:rPr>
          <w:rFonts w:ascii="Times New Roman" w:eastAsia="Times New Roman" w:hAnsi="Times New Roman" w:cs="Segoe UI" w:hint="eastAsia"/>
          <w:sz w:val="24"/>
          <w:lang w:val="en-GB"/>
        </w:rPr>
        <w:t xml:space="preserve">(A) </w:t>
      </w:r>
      <w:r w:rsidRPr="004366FA">
        <w:rPr>
          <w:rFonts w:ascii="Times New Roman" w:eastAsia="Times New Roman" w:hAnsi="Times New Roman" w:cs="Segoe UI"/>
          <w:sz w:val="24"/>
          <w:lang w:val="en-GB"/>
        </w:rPr>
        <w:t xml:space="preserve">Targets of miRNA-202-3p in neurons using miRNA-202-3p prediction website and </w:t>
      </w:r>
      <w:proofErr w:type="spellStart"/>
      <w:r w:rsidRPr="004366FA">
        <w:rPr>
          <w:rFonts w:ascii="Times New Roman" w:eastAsia="Times New Roman" w:hAnsi="Times New Roman" w:cs="Segoe UI"/>
          <w:sz w:val="24"/>
          <w:lang w:val="en-GB"/>
        </w:rPr>
        <w:t>pubmed</w:t>
      </w:r>
      <w:proofErr w:type="spellEnd"/>
      <w:r w:rsidRPr="004366FA">
        <w:rPr>
          <w:rFonts w:ascii="Times New Roman" w:eastAsia="Times New Roman" w:hAnsi="Times New Roman" w:cs="Segoe UI"/>
          <w:sz w:val="24"/>
          <w:lang w:val="en-GB"/>
        </w:rPr>
        <w:t xml:space="preserve"> analysis. </w:t>
      </w:r>
      <w:r w:rsidR="004366FA" w:rsidRPr="004366FA">
        <w:rPr>
          <w:rFonts w:ascii="Times New Roman" w:eastAsia="Times New Roman" w:hAnsi="Times New Roman" w:cs="Segoe UI"/>
          <w:sz w:val="24"/>
          <w:lang w:val="en-GB"/>
        </w:rPr>
        <w:t>(</w:t>
      </w:r>
      <w:r w:rsidR="003755D0">
        <w:rPr>
          <w:rFonts w:ascii="Times New Roman" w:hAnsi="Times New Roman" w:cs="Segoe UI" w:hint="eastAsia"/>
          <w:sz w:val="24"/>
          <w:lang w:val="en-GB"/>
        </w:rPr>
        <w:t>B</w:t>
      </w:r>
      <w:r w:rsidR="004366FA" w:rsidRPr="004366FA">
        <w:rPr>
          <w:rFonts w:ascii="Times New Roman" w:eastAsia="Times New Roman" w:hAnsi="Times New Roman" w:cs="Segoe UI" w:hint="eastAsia"/>
          <w:sz w:val="24"/>
          <w:lang w:val="en-GB"/>
        </w:rPr>
        <w:t>) The possible binding site for miR-202-3 p is the 3′UTR of MYCN</w:t>
      </w:r>
      <w:r w:rsidR="003755D0">
        <w:rPr>
          <w:rFonts w:ascii="宋体" w:eastAsia="宋体" w:hAnsi="宋体" w:cs="宋体" w:hint="eastAsia"/>
          <w:sz w:val="24"/>
          <w:lang w:val="en-GB"/>
        </w:rPr>
        <w:t>.</w:t>
      </w:r>
      <w:r w:rsidR="003755D0" w:rsidRPr="003755D0">
        <w:rPr>
          <w:rFonts w:ascii="Times New Roman" w:eastAsia="Times New Roman" w:hAnsi="Times New Roman" w:cs="Segoe UI"/>
          <w:sz w:val="24"/>
          <w:lang w:val="en-GB"/>
        </w:rPr>
        <w:t xml:space="preserve"> </w:t>
      </w:r>
      <w:r w:rsidR="003755D0" w:rsidRPr="004366FA">
        <w:rPr>
          <w:rFonts w:ascii="Times New Roman" w:eastAsia="Times New Roman" w:hAnsi="Times New Roman" w:cs="Segoe UI"/>
          <w:sz w:val="24"/>
          <w:lang w:val="en-GB"/>
        </w:rPr>
        <w:t>(</w:t>
      </w:r>
      <w:r w:rsidR="003755D0">
        <w:rPr>
          <w:rFonts w:ascii="Times New Roman" w:hAnsi="Times New Roman" w:cs="Segoe UI" w:hint="eastAsia"/>
          <w:sz w:val="24"/>
          <w:lang w:val="en-GB"/>
        </w:rPr>
        <w:t>C</w:t>
      </w:r>
      <w:r w:rsidR="003755D0" w:rsidRPr="004366FA">
        <w:rPr>
          <w:rFonts w:ascii="Times New Roman" w:eastAsia="Times New Roman" w:hAnsi="Times New Roman" w:cs="Segoe UI" w:hint="eastAsia"/>
          <w:sz w:val="24"/>
          <w:lang w:val="en-GB"/>
        </w:rPr>
        <w:t xml:space="preserve">) </w:t>
      </w:r>
      <w:r w:rsidR="003755D0" w:rsidRPr="004366FA">
        <w:rPr>
          <w:rFonts w:ascii="Times New Roman" w:eastAsia="Times New Roman" w:hAnsi="Times New Roman" w:cs="Segoe UI"/>
          <w:sz w:val="24"/>
          <w:lang w:val="en-GB"/>
        </w:rPr>
        <w:t>Dual luciferase assays confirmed the linkage of miR-202 -3 p and MYCN.</w:t>
      </w:r>
    </w:p>
    <w:p w14:paraId="00BC1CFA" w14:textId="77777777" w:rsidR="003755D0" w:rsidRDefault="003755D0" w:rsidP="004366FA">
      <w:pPr>
        <w:spacing w:line="360" w:lineRule="auto"/>
        <w:jc w:val="left"/>
        <w:rPr>
          <w:rFonts w:ascii="Times New Roman" w:hAnsi="Times New Roman" w:cs="Segoe UI"/>
          <w:sz w:val="24"/>
          <w:lang w:val="en-GB"/>
        </w:rPr>
      </w:pPr>
    </w:p>
    <w:p w14:paraId="282D4648" w14:textId="77777777" w:rsidR="003755D0" w:rsidRPr="00DA1E02" w:rsidRDefault="003755D0" w:rsidP="003755D0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pct15" w:color="auto" w:fill="FFFFFF"/>
        </w:rPr>
      </w:pPr>
      <w:r w:rsidRPr="00DA1E02">
        <w:rPr>
          <w:rFonts w:ascii="Times New Roman" w:eastAsia="宋体" w:hAnsi="Times New Roman" w:cs="Times New Roman"/>
          <w:sz w:val="24"/>
          <w:szCs w:val="24"/>
          <w:shd w:val="pct15" w:color="auto" w:fill="FFFFFF"/>
        </w:rPr>
        <w:t>What are the targets of miR-202-3p in neurons?</w:t>
      </w:r>
    </w:p>
    <w:p w14:paraId="6BEDF957" w14:textId="77777777" w:rsidR="003755D0" w:rsidRDefault="003755D0" w:rsidP="003755D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B60DB9">
        <w:rPr>
          <w:rFonts w:ascii="Times New Roman" w:eastAsia="宋体" w:hAnsi="Times New Roman" w:cs="Times New Roman"/>
          <w:sz w:val="24"/>
          <w:szCs w:val="24"/>
        </w:rPr>
        <w:t xml:space="preserve">The most promising targets for binding by miR-202-3p were predicted using the </w:t>
      </w:r>
      <w:proofErr w:type="spellStart"/>
      <w:r w:rsidRPr="00B60DB9">
        <w:rPr>
          <w:rFonts w:ascii="Times New Roman" w:eastAsia="宋体" w:hAnsi="Times New Roman" w:cs="Times New Roman"/>
          <w:sz w:val="24"/>
          <w:szCs w:val="24"/>
        </w:rPr>
        <w:t>Targetscan</w:t>
      </w:r>
      <w:proofErr w:type="spellEnd"/>
      <w:r w:rsidRPr="00B60DB9">
        <w:rPr>
          <w:rFonts w:ascii="Times New Roman" w:eastAsia="宋体" w:hAnsi="Times New Roman" w:cs="Times New Roman"/>
          <w:sz w:val="24"/>
          <w:szCs w:val="24"/>
        </w:rPr>
        <w:t xml:space="preserve"> (</w:t>
      </w:r>
      <w:hyperlink r:id="rId7" w:tgtFrame="_blank" w:history="1">
        <w:r w:rsidRPr="00B60DB9">
          <w:rPr>
            <w:rStyle w:val="ae"/>
            <w:rFonts w:ascii="Times New Roman" w:eastAsia="宋体" w:hAnsi="Times New Roman" w:cs="Times New Roman"/>
            <w:sz w:val="24"/>
            <w:szCs w:val="24"/>
          </w:rPr>
          <w:t>https://www.targetscan.org/</w:t>
        </w:r>
      </w:hyperlink>
      <w:r w:rsidRPr="00B60DB9">
        <w:rPr>
          <w:rFonts w:ascii="Times New Roman" w:eastAsia="宋体" w:hAnsi="Times New Roman" w:cs="Times New Roman"/>
          <w:sz w:val="24"/>
          <w:szCs w:val="24"/>
        </w:rPr>
        <w:t xml:space="preserve">) and </w:t>
      </w:r>
      <w:proofErr w:type="spellStart"/>
      <w:r w:rsidRPr="00B60DB9">
        <w:rPr>
          <w:rFonts w:ascii="Times New Roman" w:eastAsia="宋体" w:hAnsi="Times New Roman" w:cs="Times New Roman"/>
          <w:sz w:val="24"/>
          <w:szCs w:val="24"/>
        </w:rPr>
        <w:t>miRDB</w:t>
      </w:r>
      <w:proofErr w:type="spellEnd"/>
      <w:r w:rsidRPr="00B60DB9">
        <w:rPr>
          <w:rFonts w:ascii="Times New Roman" w:eastAsia="宋体" w:hAnsi="Times New Roman" w:cs="Times New Roman"/>
          <w:sz w:val="24"/>
          <w:szCs w:val="24"/>
        </w:rPr>
        <w:t xml:space="preserve"> (</w:t>
      </w:r>
      <w:hyperlink r:id="rId8" w:tgtFrame="_blank" w:history="1">
        <w:r w:rsidRPr="00B60DB9">
          <w:rPr>
            <w:rStyle w:val="ae"/>
            <w:rFonts w:ascii="Times New Roman" w:eastAsia="宋体" w:hAnsi="Times New Roman" w:cs="Times New Roman"/>
            <w:sz w:val="24"/>
            <w:szCs w:val="24"/>
          </w:rPr>
          <w:t>https://mirdb.org/</w:t>
        </w:r>
      </w:hyperlink>
      <w:r w:rsidRPr="00B60DB9">
        <w:rPr>
          <w:rFonts w:ascii="Times New Roman" w:eastAsia="宋体" w:hAnsi="Times New Roman" w:cs="Times New Roman"/>
          <w:sz w:val="24"/>
          <w:szCs w:val="24"/>
        </w:rPr>
        <w:t>) databases. An intersection analysis of the most likely binding sites with genes related to miRNA targets in PubMed revealed that MYCN was the target with the highest probability of binding to miR-202-3p</w:t>
      </w:r>
      <w:r w:rsidRPr="00190FE5">
        <w:rPr>
          <w:rFonts w:ascii="Times New Roman" w:eastAsia="宋体" w:hAnsi="Times New Roman" w:cs="Times New Roman"/>
          <w:sz w:val="24"/>
          <w:szCs w:val="24"/>
        </w:rPr>
        <w:t xml:space="preserve"> in neurons</w:t>
      </w:r>
      <w:r w:rsidRPr="00B60DB9">
        <w:rPr>
          <w:rFonts w:ascii="Times New Roman" w:eastAsia="宋体" w:hAnsi="Times New Roman" w:cs="Times New Roman"/>
          <w:sz w:val="24"/>
          <w:szCs w:val="24"/>
        </w:rPr>
        <w:t>.</w:t>
      </w:r>
    </w:p>
    <w:p w14:paraId="23837FDC" w14:textId="5615EDB8" w:rsidR="003755D0" w:rsidRDefault="003755D0" w:rsidP="003755D0">
      <w:pPr>
        <w:spacing w:line="360" w:lineRule="auto"/>
        <w:ind w:firstLineChars="200" w:firstLine="48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A1E02">
        <w:rPr>
          <w:rFonts w:ascii="Times New Roman" w:eastAsia="宋体" w:hAnsi="Times New Roman" w:cs="Times New Roman"/>
          <w:sz w:val="24"/>
          <w:szCs w:val="24"/>
        </w:rPr>
        <w:t xml:space="preserve">The present study demonstrated that BMMSCs-mediated miR-202-3p effectively promoted neural regeneration </w:t>
      </w:r>
      <w:r w:rsidRPr="00854615">
        <w:rPr>
          <w:rFonts w:ascii="Times New Roman" w:eastAsia="宋体" w:hAnsi="Times New Roman" w:cs="Times New Roman"/>
          <w:i/>
          <w:iCs/>
          <w:sz w:val="24"/>
          <w:szCs w:val="24"/>
        </w:rPr>
        <w:t>in vivo</w:t>
      </w:r>
      <w:r w:rsidRPr="00DA1E02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EC013C">
        <w:rPr>
          <w:rFonts w:ascii="Times New Roman" w:eastAsia="宋体" w:hAnsi="Times New Roman" w:cs="Times New Roman"/>
          <w:sz w:val="24"/>
          <w:szCs w:val="24"/>
        </w:rPr>
        <w:t>MYCN plays an important role in the development, functional maintenance, and pathological states of the nervous system, and thus has been the subject of extensive research on miRNA targets.</w:t>
      </w:r>
      <w:r w:rsidRPr="00DA1E02">
        <w:rPr>
          <w:rFonts w:ascii="Times New Roman" w:eastAsia="宋体" w:hAnsi="Times New Roman" w:cs="Times New Roman"/>
          <w:sz w:val="24"/>
          <w:szCs w:val="24"/>
        </w:rPr>
        <w:t xml:space="preserve"> It has been documented that miR-15a-5p, miR-15b-5p and miR-16-5p inhibit </w:t>
      </w:r>
      <w:proofErr w:type="spellStart"/>
      <w:r w:rsidRPr="00DA1E02">
        <w:rPr>
          <w:rFonts w:ascii="Times New Roman" w:eastAsia="宋体" w:hAnsi="Times New Roman" w:cs="Times New Roman"/>
          <w:sz w:val="24"/>
          <w:szCs w:val="24"/>
        </w:rPr>
        <w:t>tumour</w:t>
      </w:r>
      <w:proofErr w:type="spellEnd"/>
      <w:r w:rsidRPr="00DA1E02">
        <w:rPr>
          <w:rFonts w:ascii="Times New Roman" w:eastAsia="宋体" w:hAnsi="Times New Roman" w:cs="Times New Roman"/>
          <w:sz w:val="24"/>
          <w:szCs w:val="24"/>
        </w:rPr>
        <w:t xml:space="preserve"> progression by directly targeting MYCN in neuroblastoma</w:t>
      </w:r>
      <w:r w:rsidRPr="00322B3B">
        <w:rPr>
          <w:rFonts w:ascii="Times New Roman" w:hAnsi="Times New Roman" w:cs="Times New Roman"/>
          <w:sz w:val="24"/>
        </w:rPr>
        <w:fldChar w:fldCharType="begin"/>
      </w:r>
      <w:r w:rsidRPr="00322B3B">
        <w:rPr>
          <w:rFonts w:ascii="Times New Roman" w:hAnsi="Times New Roman" w:cs="Times New Roman"/>
          <w:sz w:val="24"/>
        </w:rPr>
        <w:instrText xml:space="preserve"> ADDIN KYMRREF{93EBA3E8-6F3A-4856-9B16-47EAA13064B5}84</w:instrText>
      </w:r>
      <w:r w:rsidRPr="00322B3B">
        <w:rPr>
          <w:rFonts w:ascii="Times New Roman" w:hAnsi="Times New Roman" w:cs="Times New Roman"/>
          <w:sz w:val="24"/>
        </w:rPr>
        <w:fldChar w:fldCharType="separate"/>
      </w:r>
      <w:r w:rsidRPr="00322B3B">
        <w:rPr>
          <w:rFonts w:ascii="Times New Roman" w:eastAsia="宋体" w:hAnsi="Times New Roman" w:cs="Times New Roman"/>
          <w:color w:val="FF0000"/>
          <w:sz w:val="24"/>
          <w:vertAlign w:val="superscript"/>
        </w:rPr>
        <w:t>[</w:t>
      </w:r>
      <w:r w:rsidR="003153F9">
        <w:rPr>
          <w:rFonts w:ascii="Times New Roman" w:eastAsia="宋体" w:hAnsi="Times New Roman" w:cs="Times New Roman" w:hint="eastAsia"/>
          <w:color w:val="FF0000"/>
          <w:sz w:val="24"/>
          <w:vertAlign w:val="superscript"/>
        </w:rPr>
        <w:t>1</w:t>
      </w:r>
      <w:r w:rsidRPr="00322B3B">
        <w:rPr>
          <w:rFonts w:ascii="Times New Roman" w:eastAsia="宋体" w:hAnsi="Times New Roman" w:cs="Times New Roman"/>
          <w:color w:val="FF0000"/>
          <w:sz w:val="24"/>
          <w:vertAlign w:val="superscript"/>
        </w:rPr>
        <w:t>]</w:t>
      </w:r>
      <w:r w:rsidRPr="00322B3B">
        <w:rPr>
          <w:rFonts w:ascii="Times New Roman" w:hAnsi="Times New Roman" w:cs="Times New Roman"/>
          <w:sz w:val="24"/>
        </w:rPr>
        <w:fldChar w:fldCharType="end"/>
      </w:r>
      <w:r w:rsidRPr="00DA1E02">
        <w:rPr>
          <w:rFonts w:ascii="Times New Roman" w:eastAsia="宋体" w:hAnsi="Times New Roman" w:cs="Times New Roman"/>
          <w:sz w:val="24"/>
          <w:szCs w:val="24"/>
        </w:rPr>
        <w:t xml:space="preserve">. Furthermore, miRNA-101a-3p mimics have been demonstrated to mitigate spinal cord </w:t>
      </w:r>
      <w:proofErr w:type="spellStart"/>
      <w:r w:rsidRPr="00DA1E02">
        <w:rPr>
          <w:rFonts w:ascii="Times New Roman" w:eastAsia="宋体" w:hAnsi="Times New Roman" w:cs="Times New Roman"/>
          <w:sz w:val="24"/>
          <w:szCs w:val="24"/>
        </w:rPr>
        <w:t>ischaemia</w:t>
      </w:r>
      <w:proofErr w:type="spellEnd"/>
      <w:r w:rsidRPr="00DA1E02">
        <w:rPr>
          <w:rFonts w:ascii="Times New Roman" w:eastAsia="宋体" w:hAnsi="Times New Roman" w:cs="Times New Roman"/>
          <w:sz w:val="24"/>
          <w:szCs w:val="24"/>
        </w:rPr>
        <w:t>-reperfusion injury by regulating MYCN</w:t>
      </w:r>
      <w:r w:rsidRPr="00322B3B">
        <w:rPr>
          <w:rFonts w:ascii="Times New Roman" w:hAnsi="Times New Roman" w:cs="Times New Roman"/>
          <w:sz w:val="24"/>
        </w:rPr>
        <w:fldChar w:fldCharType="begin"/>
      </w:r>
      <w:r w:rsidRPr="00322B3B">
        <w:rPr>
          <w:rFonts w:ascii="Times New Roman" w:hAnsi="Times New Roman" w:cs="Times New Roman"/>
          <w:sz w:val="24"/>
        </w:rPr>
        <w:instrText xml:space="preserve"> ADDIN KYMRREF{93EBA3E8-6F3A-4856-9B16-47EAA13064B5}85</w:instrText>
      </w:r>
      <w:r w:rsidRPr="00322B3B">
        <w:rPr>
          <w:rFonts w:ascii="Times New Roman" w:hAnsi="Times New Roman" w:cs="Times New Roman"/>
          <w:sz w:val="24"/>
        </w:rPr>
        <w:fldChar w:fldCharType="separate"/>
      </w:r>
      <w:r w:rsidRPr="00322B3B">
        <w:rPr>
          <w:rFonts w:ascii="Times New Roman" w:eastAsia="宋体" w:hAnsi="Times New Roman" w:cs="Times New Roman"/>
          <w:color w:val="FF0000"/>
          <w:sz w:val="24"/>
          <w:vertAlign w:val="superscript"/>
        </w:rPr>
        <w:t>[</w:t>
      </w:r>
      <w:r w:rsidR="003153F9">
        <w:rPr>
          <w:rFonts w:ascii="Times New Roman" w:eastAsia="宋体" w:hAnsi="Times New Roman" w:cs="Times New Roman" w:hint="eastAsia"/>
          <w:color w:val="FF0000"/>
          <w:sz w:val="24"/>
          <w:vertAlign w:val="superscript"/>
        </w:rPr>
        <w:t>2</w:t>
      </w:r>
      <w:r w:rsidRPr="00322B3B">
        <w:rPr>
          <w:rFonts w:ascii="Times New Roman" w:eastAsia="宋体" w:hAnsi="Times New Roman" w:cs="Times New Roman"/>
          <w:color w:val="FF0000"/>
          <w:sz w:val="24"/>
          <w:vertAlign w:val="superscript"/>
        </w:rPr>
        <w:t>]</w:t>
      </w:r>
      <w:r w:rsidRPr="00322B3B">
        <w:rPr>
          <w:rFonts w:ascii="Times New Roman" w:hAnsi="Times New Roman" w:cs="Times New Roman"/>
          <w:sz w:val="24"/>
        </w:rPr>
        <w:fldChar w:fldCharType="end"/>
      </w:r>
      <w:r w:rsidRPr="00DA1E02">
        <w:rPr>
          <w:rFonts w:ascii="Times New Roman" w:eastAsia="宋体" w:hAnsi="Times New Roman" w:cs="Times New Roman"/>
          <w:sz w:val="24"/>
          <w:szCs w:val="24"/>
        </w:rPr>
        <w:t xml:space="preserve">. Considering the </w:t>
      </w:r>
      <w:proofErr w:type="gramStart"/>
      <w:r w:rsidRPr="00DA1E02">
        <w:rPr>
          <w:rFonts w:ascii="Times New Roman" w:eastAsia="宋体" w:hAnsi="Times New Roman" w:cs="Times New Roman"/>
          <w:sz w:val="24"/>
          <w:szCs w:val="24"/>
        </w:rPr>
        <w:t>aforementioned studies</w:t>
      </w:r>
      <w:proofErr w:type="gramEnd"/>
      <w:r w:rsidRPr="00DA1E02">
        <w:rPr>
          <w:rFonts w:ascii="Times New Roman" w:eastAsia="宋体" w:hAnsi="Times New Roman" w:cs="Times New Roman"/>
          <w:sz w:val="24"/>
          <w:szCs w:val="24"/>
        </w:rPr>
        <w:t>, we postulate that MYCN represents a dependent mechanism through which miR-202-3p exerts neuroprotective effects. To test this hypothesis, we conducted double luciferase experiments, which confirmed that MYCN is a target of miR-202-3p and that this interaction leads to a therapeutic effect. This finding provides a new avenue for research into neuroprotection and regeneration.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1E58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(Figure1S)</w:t>
      </w:r>
    </w:p>
    <w:p w14:paraId="4DF143C3" w14:textId="172AC9BE" w:rsidR="000E4D20" w:rsidRPr="003153F9" w:rsidRDefault="003153F9" w:rsidP="003153F9">
      <w:pPr>
        <w:jc w:val="center"/>
      </w:pPr>
      <w:r>
        <w:rPr>
          <w:rFonts w:ascii="Times New Roman" w:eastAsia="宋体" w:hAnsi="Times New Roman"/>
          <w:b/>
          <w:sz w:val="32"/>
        </w:rPr>
        <w:t>References</w:t>
      </w:r>
    </w:p>
    <w:p w14:paraId="4B52C828" w14:textId="06F15830" w:rsidR="000E4D20" w:rsidRDefault="000E4D20" w:rsidP="000E4D20">
      <w:pPr>
        <w:ind w:left="540" w:hangingChars="300" w:hanging="540"/>
      </w:pPr>
      <w:r>
        <w:rPr>
          <w:rFonts w:ascii="Times New Roman" w:eastAsia="宋体" w:hAnsi="Times New Roman"/>
          <w:sz w:val="18"/>
        </w:rPr>
        <w:t>[</w:t>
      </w:r>
      <w:r w:rsidR="003153F9">
        <w:rPr>
          <w:rFonts w:ascii="Times New Roman" w:eastAsia="宋体" w:hAnsi="Times New Roman" w:hint="eastAsia"/>
          <w:sz w:val="18"/>
        </w:rPr>
        <w:t>1</w:t>
      </w:r>
      <w:r>
        <w:rPr>
          <w:rFonts w:ascii="Times New Roman" w:eastAsia="宋体" w:hAnsi="Times New Roman"/>
          <w:sz w:val="18"/>
        </w:rPr>
        <w:t>]</w:t>
      </w:r>
      <w:r>
        <w:rPr>
          <w:rFonts w:ascii="Times New Roman" w:eastAsia="宋体" w:hAnsi="Times New Roman"/>
          <w:sz w:val="18"/>
        </w:rPr>
        <w:tab/>
        <w:t>Chava S, Reynolds CP, Pathania AS, et al. miR-15a-5p, miR-15b-5p, and miR-16-5p inhibit tumor progression by directly targeting MYCN in neuroblastoma. Mol Oncol. 2020. 14(1): 180-196.</w:t>
      </w:r>
    </w:p>
    <w:p w14:paraId="41D58398" w14:textId="2FE880F9" w:rsidR="000E4D20" w:rsidRDefault="000E4D20" w:rsidP="000E4D20">
      <w:pPr>
        <w:ind w:left="540" w:hangingChars="300" w:hanging="540"/>
      </w:pPr>
      <w:r>
        <w:rPr>
          <w:rFonts w:ascii="Times New Roman" w:eastAsia="宋体" w:hAnsi="Times New Roman"/>
          <w:sz w:val="18"/>
        </w:rPr>
        <w:t>[</w:t>
      </w:r>
      <w:r w:rsidR="003153F9">
        <w:rPr>
          <w:rFonts w:ascii="Times New Roman" w:eastAsia="宋体" w:hAnsi="Times New Roman" w:hint="eastAsia"/>
          <w:sz w:val="18"/>
        </w:rPr>
        <w:t>2</w:t>
      </w:r>
      <w:r>
        <w:rPr>
          <w:rFonts w:ascii="Times New Roman" w:eastAsia="宋体" w:hAnsi="Times New Roman"/>
          <w:sz w:val="18"/>
        </w:rPr>
        <w:t>]</w:t>
      </w:r>
      <w:r>
        <w:rPr>
          <w:rFonts w:ascii="Times New Roman" w:eastAsia="宋体" w:hAnsi="Times New Roman"/>
          <w:sz w:val="18"/>
        </w:rPr>
        <w:tab/>
        <w:t>Zhang ZL, Wang D, Chen FS. MicroRNA-101a-3p mimic ameliorates spinal cord ischemia/reperfusion injury. Neural Regen Res. 2022. 17(9): 2022-2028.</w:t>
      </w:r>
    </w:p>
    <w:p w14:paraId="2AC10E6A" w14:textId="77777777" w:rsidR="000E4D20" w:rsidRDefault="000E4D20" w:rsidP="003755D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47EB47C6" w14:textId="77777777" w:rsidR="003755D0" w:rsidRPr="003755D0" w:rsidRDefault="003755D0" w:rsidP="004366FA">
      <w:pPr>
        <w:spacing w:line="360" w:lineRule="auto"/>
        <w:jc w:val="left"/>
      </w:pPr>
    </w:p>
    <w:sectPr w:rsidR="003755D0" w:rsidRPr="00375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KY_MEDREF_DOCUID" w:val="{38C4FBC3-F8CD-4787-9781-0C1AB95EDD44}"/>
    <w:docVar w:name="KY_MEDREF_VERSION" w:val="3"/>
  </w:docVars>
  <w:rsids>
    <w:rsidRoot w:val="0049545F"/>
    <w:rsid w:val="00001B2E"/>
    <w:rsid w:val="000E4D20"/>
    <w:rsid w:val="001F1EB1"/>
    <w:rsid w:val="003153F9"/>
    <w:rsid w:val="003755D0"/>
    <w:rsid w:val="00380E9B"/>
    <w:rsid w:val="004366FA"/>
    <w:rsid w:val="0049545F"/>
    <w:rsid w:val="005E2E3F"/>
    <w:rsid w:val="006858CD"/>
    <w:rsid w:val="007A081D"/>
    <w:rsid w:val="00901ADB"/>
    <w:rsid w:val="009C316C"/>
    <w:rsid w:val="00A852F7"/>
    <w:rsid w:val="00F5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4B5EA"/>
  <w15:chartTrackingRefBased/>
  <w15:docId w15:val="{05A53673-4444-4CA7-AF32-AAD8A4A8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4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4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45F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45F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45F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4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45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45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45F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954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954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545F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9545F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9545F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954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954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954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954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95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4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954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54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954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54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545F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54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9545F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49545F"/>
    <w:rPr>
      <w:b/>
      <w:bCs/>
      <w:smallCaps/>
      <w:color w:val="365F91" w:themeColor="accent1" w:themeShade="BF"/>
      <w:spacing w:val="5"/>
    </w:rPr>
  </w:style>
  <w:style w:type="character" w:styleId="ae">
    <w:name w:val="Hyperlink"/>
    <w:uiPriority w:val="99"/>
    <w:unhideWhenUsed/>
    <w:rsid w:val="003755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db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argetscan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hyperlink" Target="mailto:ndyfy05755@ncu.edu.cn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ndyfy02151@ncu.edu.c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威 丁</dc:creator>
  <cp:keywords/>
  <dc:description/>
  <cp:lastModifiedBy>威 丁</cp:lastModifiedBy>
  <cp:revision>6</cp:revision>
  <dcterms:created xsi:type="dcterms:W3CDTF">2024-11-10T01:38:00Z</dcterms:created>
  <dcterms:modified xsi:type="dcterms:W3CDTF">2024-11-10T03:04:00Z</dcterms:modified>
</cp:coreProperties>
</file>