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9548D" w:rsidR="0089548D" w:rsidP="0089548D" w:rsidRDefault="0089548D" w14:paraId="571D56BE" w14:textId="77777777">
      <w:pPr>
        <w:spacing w:line="480" w:lineRule="auto"/>
        <w:jc w:val="both"/>
        <w:rPr>
          <w:rStyle w:val="Strong"/>
          <w:b w:val="0"/>
          <w:bCs w:val="0"/>
          <w:sz w:val="24"/>
          <w:szCs w:val="24"/>
        </w:rPr>
      </w:pPr>
      <w:r w:rsidRPr="0089548D">
        <w:rPr>
          <w:rStyle w:val="Strong"/>
          <w:b w:val="0"/>
          <w:bCs w:val="0"/>
          <w:sz w:val="24"/>
          <w:szCs w:val="24"/>
        </w:rPr>
        <w:t>Supplementary material</w:t>
      </w:r>
    </w:p>
    <w:p w:rsidRPr="0089548D" w:rsidR="0089548D" w:rsidP="0089548D" w:rsidRDefault="0089548D" w14:paraId="1B95A4B9" w14:textId="77777777">
      <w:pPr>
        <w:spacing w:line="480" w:lineRule="auto"/>
        <w:jc w:val="both"/>
        <w:rPr>
          <w:rStyle w:val="Strong"/>
          <w:b w:val="0"/>
          <w:bCs w:val="0"/>
          <w:sz w:val="24"/>
          <w:szCs w:val="24"/>
        </w:rPr>
      </w:pPr>
      <w:r w:rsidRPr="0089548D">
        <w:rPr>
          <w:rStyle w:val="Strong"/>
          <w:b w:val="0"/>
          <w:bCs w:val="0"/>
          <w:sz w:val="24"/>
          <w:szCs w:val="24"/>
        </w:rPr>
        <w:t>Figures</w:t>
      </w:r>
    </w:p>
    <w:p w:rsidRPr="0089548D" w:rsidR="0089548D" w:rsidP="0089548D" w:rsidRDefault="0089548D" w14:paraId="56DCFDAF" w14:textId="77777777">
      <w:pPr>
        <w:spacing w:line="480" w:lineRule="auto"/>
        <w:jc w:val="both"/>
        <w:rPr>
          <w:rStyle w:val="Strong"/>
          <w:b w:val="0"/>
          <w:bCs w:val="0"/>
          <w:sz w:val="24"/>
          <w:szCs w:val="24"/>
        </w:rPr>
      </w:pPr>
      <w:r w:rsidRPr="0089548D">
        <w:rPr>
          <w:rStyle w:val="Strong"/>
          <w:b w:val="0"/>
          <w:bCs w:val="0"/>
          <w:sz w:val="24"/>
          <w:szCs w:val="24"/>
        </w:rPr>
        <w:t>Supplementary Material Figure 1</w:t>
      </w:r>
    </w:p>
    <w:p w:rsidRPr="0089548D" w:rsidR="0089548D" w:rsidP="0089548D" w:rsidRDefault="0089548D" w14:paraId="76FD106B" w14:textId="77777777">
      <w:pPr>
        <w:spacing w:line="480" w:lineRule="auto"/>
        <w:jc w:val="both"/>
        <w:rPr>
          <w:rStyle w:val="Strong"/>
          <w:b w:val="0"/>
          <w:bCs w:val="0"/>
          <w:sz w:val="24"/>
          <w:szCs w:val="24"/>
        </w:rPr>
      </w:pPr>
      <w:r w:rsidRPr="0089548D">
        <w:rPr>
          <w:rStyle w:val="Strong"/>
          <w:b w:val="0"/>
          <w:bCs w:val="0"/>
          <w:sz w:val="24"/>
          <w:szCs w:val="24"/>
        </w:rPr>
        <w:t>Boxplot of the degree centrality of aggressive (in blue) and non-aggressive (in orange) samples per CG locus for all samples (AE and TCGA). The displayed CG loci show significant difference in the node degree between aggressive and non-aggressive samples.</w:t>
      </w:r>
    </w:p>
    <w:p w:rsidRPr="0089548D" w:rsidR="0089548D" w:rsidP="0089548D" w:rsidRDefault="0089548D" w14:paraId="656BBDA6" w14:textId="77777777">
      <w:pPr>
        <w:spacing w:line="480" w:lineRule="auto"/>
        <w:jc w:val="both"/>
        <w:rPr>
          <w:rStyle w:val="Strong"/>
          <w:b w:val="0"/>
          <w:bCs w:val="0"/>
          <w:sz w:val="24"/>
          <w:szCs w:val="24"/>
        </w:rPr>
      </w:pPr>
      <w:r w:rsidRPr="0089548D">
        <w:rPr>
          <w:rStyle w:val="Strong"/>
          <w:b w:val="0"/>
          <w:bCs w:val="0"/>
          <w:sz w:val="24"/>
          <w:szCs w:val="24"/>
        </w:rPr>
        <w:t>Supplementary Material Figure 2</w:t>
      </w:r>
    </w:p>
    <w:p w:rsidRPr="0089548D" w:rsidR="0089548D" w:rsidP="0089548D" w:rsidRDefault="0089548D" w14:paraId="71576EFB" w14:textId="77777777">
      <w:pPr>
        <w:spacing w:line="480" w:lineRule="auto"/>
        <w:jc w:val="both"/>
        <w:rPr>
          <w:rStyle w:val="Strong"/>
          <w:b w:val="0"/>
          <w:bCs w:val="0"/>
          <w:sz w:val="24"/>
          <w:szCs w:val="24"/>
        </w:rPr>
      </w:pPr>
      <w:r w:rsidRPr="0089548D">
        <w:rPr>
          <w:rStyle w:val="Strong"/>
          <w:b w:val="0"/>
          <w:bCs w:val="0"/>
          <w:sz w:val="24"/>
          <w:szCs w:val="24"/>
        </w:rPr>
        <w:t>Boxplot of the betweenness centrality of aggressive (in blue) and non-aggressive (in orange) samples per CG locus for all samples (AE and TCGA). The displayed CG loci show significant difference in the betweenness centrality between aggressive and non-aggressive samples.</w:t>
      </w:r>
    </w:p>
    <w:p w:rsidRPr="0089548D" w:rsidR="0089548D" w:rsidP="0089548D" w:rsidRDefault="0089548D" w14:paraId="42497FAE" w14:textId="77777777">
      <w:pPr>
        <w:spacing w:line="480" w:lineRule="auto"/>
        <w:jc w:val="both"/>
        <w:rPr>
          <w:rStyle w:val="Strong"/>
          <w:b w:val="0"/>
          <w:bCs w:val="0"/>
          <w:sz w:val="24"/>
          <w:szCs w:val="24"/>
        </w:rPr>
      </w:pPr>
    </w:p>
    <w:p w:rsidRPr="0089548D" w:rsidR="0089548D" w:rsidP="0089548D" w:rsidRDefault="0089548D" w14:paraId="18B410A7" w14:textId="77777777">
      <w:pPr>
        <w:spacing w:line="480" w:lineRule="auto"/>
        <w:jc w:val="both"/>
        <w:rPr>
          <w:rStyle w:val="Strong"/>
          <w:b w:val="0"/>
          <w:bCs w:val="0"/>
          <w:sz w:val="24"/>
          <w:szCs w:val="24"/>
        </w:rPr>
      </w:pPr>
      <w:r w:rsidRPr="0089548D">
        <w:rPr>
          <w:rStyle w:val="Strong"/>
          <w:b w:val="0"/>
          <w:bCs w:val="0"/>
          <w:sz w:val="24"/>
          <w:szCs w:val="24"/>
        </w:rPr>
        <w:t>Tables</w:t>
      </w:r>
    </w:p>
    <w:p w:rsidRPr="0089548D" w:rsidR="0089548D" w:rsidP="0089548D" w:rsidRDefault="0089548D" w14:paraId="4EEF935C" w14:textId="77777777">
      <w:pPr>
        <w:spacing w:line="480" w:lineRule="auto"/>
        <w:jc w:val="both"/>
        <w:rPr>
          <w:rStyle w:val="Strong"/>
          <w:b w:val="0"/>
          <w:bCs w:val="0"/>
          <w:sz w:val="24"/>
          <w:szCs w:val="24"/>
        </w:rPr>
      </w:pPr>
      <w:r w:rsidRPr="0089548D">
        <w:rPr>
          <w:rStyle w:val="Strong"/>
          <w:b w:val="0"/>
          <w:bCs w:val="0"/>
          <w:sz w:val="24"/>
          <w:szCs w:val="24"/>
        </w:rPr>
        <w:t>Supplementary Material Table 1</w:t>
      </w:r>
    </w:p>
    <w:p w:rsidRPr="0089548D" w:rsidR="0089548D" w:rsidP="0089548D" w:rsidRDefault="0089548D" w14:paraId="57F50F34" w14:textId="77777777">
      <w:pPr>
        <w:spacing w:line="480" w:lineRule="auto"/>
        <w:jc w:val="both"/>
        <w:rPr>
          <w:rStyle w:val="Strong"/>
          <w:b w:val="0"/>
          <w:bCs w:val="0"/>
          <w:sz w:val="24"/>
          <w:szCs w:val="24"/>
        </w:rPr>
      </w:pPr>
      <w:r w:rsidRPr="0089548D">
        <w:rPr>
          <w:rStyle w:val="Strong"/>
          <w:b w:val="0"/>
          <w:bCs w:val="0"/>
          <w:sz w:val="24"/>
          <w:szCs w:val="24"/>
        </w:rPr>
        <w:t>Table containing detailed information about the coefficient value and the genomic location of each CG locus with absolute Linear Regression coefficient in the top 5%. The description of each locus is extracted from the methylation array annotation.</w:t>
      </w:r>
    </w:p>
    <w:p w:rsidRPr="0089548D" w:rsidR="0089548D" w:rsidP="0089548D" w:rsidRDefault="0089548D" w14:paraId="6F553579" w14:textId="77777777">
      <w:pPr>
        <w:spacing w:line="480" w:lineRule="auto"/>
        <w:jc w:val="both"/>
        <w:rPr>
          <w:rStyle w:val="Strong"/>
          <w:b w:val="0"/>
          <w:bCs w:val="0"/>
          <w:sz w:val="24"/>
          <w:szCs w:val="24"/>
        </w:rPr>
      </w:pPr>
      <w:r w:rsidRPr="0089548D">
        <w:rPr>
          <w:rStyle w:val="Strong"/>
          <w:b w:val="0"/>
          <w:bCs w:val="0"/>
          <w:sz w:val="24"/>
          <w:szCs w:val="24"/>
        </w:rPr>
        <w:t>Supplementary Material Table 2</w:t>
      </w:r>
    </w:p>
    <w:p w:rsidRPr="0089548D" w:rsidR="0089548D" w:rsidP="0089548D" w:rsidRDefault="0089548D" w14:paraId="32F15F44" w14:textId="77777777">
      <w:pPr>
        <w:spacing w:line="480" w:lineRule="auto"/>
        <w:jc w:val="both"/>
        <w:rPr>
          <w:rStyle w:val="Strong"/>
          <w:b w:val="0"/>
          <w:bCs w:val="0"/>
          <w:sz w:val="24"/>
          <w:szCs w:val="24"/>
        </w:rPr>
      </w:pPr>
      <w:r w:rsidRPr="0089548D">
        <w:rPr>
          <w:rStyle w:val="Strong"/>
          <w:b w:val="0"/>
          <w:bCs w:val="0"/>
          <w:sz w:val="24"/>
          <w:szCs w:val="24"/>
        </w:rPr>
        <w:t>Table presenting the logistic regression coefficients for all CG loci.</w:t>
      </w:r>
    </w:p>
    <w:p w:rsidRPr="0089548D" w:rsidR="0089548D" w:rsidP="0089548D" w:rsidRDefault="0089548D" w14:paraId="70E0745D" w14:textId="77777777">
      <w:pPr>
        <w:spacing w:line="480" w:lineRule="auto"/>
        <w:jc w:val="both"/>
        <w:rPr>
          <w:rStyle w:val="Strong"/>
          <w:b w:val="0"/>
          <w:bCs w:val="0"/>
          <w:sz w:val="24"/>
          <w:szCs w:val="24"/>
        </w:rPr>
      </w:pPr>
      <w:r w:rsidRPr="0089548D">
        <w:rPr>
          <w:rStyle w:val="Strong"/>
          <w:b w:val="0"/>
          <w:bCs w:val="0"/>
          <w:sz w:val="24"/>
          <w:szCs w:val="24"/>
        </w:rPr>
        <w:t>Supplementary Material Table 3</w:t>
      </w:r>
    </w:p>
    <w:p w:rsidRPr="0089548D" w:rsidR="0089548D" w:rsidP="0089548D" w:rsidRDefault="0089548D" w14:paraId="6DDD0A9E" w14:textId="77777777">
      <w:pPr>
        <w:spacing w:line="480" w:lineRule="auto"/>
        <w:jc w:val="both"/>
        <w:rPr>
          <w:rStyle w:val="Strong"/>
          <w:b w:val="0"/>
          <w:bCs w:val="0"/>
          <w:sz w:val="24"/>
          <w:szCs w:val="24"/>
        </w:rPr>
      </w:pPr>
      <w:r w:rsidRPr="0089548D">
        <w:rPr>
          <w:rStyle w:val="Strong"/>
          <w:b w:val="0"/>
          <w:bCs w:val="0"/>
          <w:sz w:val="24"/>
          <w:szCs w:val="24"/>
        </w:rPr>
        <w:t xml:space="preserve">Table containing the topological feature values for all samples per CG locus. Each tab represents a different topological feature and is named after it. The topological features included in the table are node degree, degree centrality, eigenvector centrality, second order centrality, eccentricity and between </w:t>
      </w:r>
      <w:proofErr w:type="gramStart"/>
      <w:r w:rsidRPr="0089548D">
        <w:rPr>
          <w:rStyle w:val="Strong"/>
          <w:b w:val="0"/>
          <w:bCs w:val="0"/>
          <w:sz w:val="24"/>
          <w:szCs w:val="24"/>
        </w:rPr>
        <w:t>centrality</w:t>
      </w:r>
      <w:proofErr w:type="gramEnd"/>
      <w:r w:rsidRPr="0089548D">
        <w:rPr>
          <w:rStyle w:val="Strong"/>
          <w:b w:val="0"/>
          <w:bCs w:val="0"/>
          <w:sz w:val="24"/>
          <w:szCs w:val="24"/>
        </w:rPr>
        <w:t>.</w:t>
      </w:r>
    </w:p>
    <w:p w:rsidRPr="0089548D" w:rsidR="0089548D" w:rsidP="0089548D" w:rsidRDefault="0089548D" w14:paraId="53ED52E6" w14:textId="77777777">
      <w:pPr>
        <w:spacing w:line="480" w:lineRule="auto"/>
        <w:jc w:val="both"/>
        <w:rPr>
          <w:rStyle w:val="Strong"/>
          <w:b w:val="0"/>
          <w:bCs w:val="0"/>
          <w:sz w:val="24"/>
          <w:szCs w:val="24"/>
        </w:rPr>
      </w:pPr>
      <w:r w:rsidRPr="0089548D">
        <w:rPr>
          <w:rStyle w:val="Strong"/>
          <w:b w:val="0"/>
          <w:bCs w:val="0"/>
          <w:sz w:val="24"/>
          <w:szCs w:val="24"/>
        </w:rPr>
        <w:t>Supplementary Material Table 4</w:t>
      </w:r>
    </w:p>
    <w:p w:rsidRPr="0089548D" w:rsidR="0089548D" w:rsidP="0089548D" w:rsidRDefault="0089548D" w14:paraId="52921300" w14:textId="77777777" w14:noSpellErr="1">
      <w:pPr>
        <w:spacing w:line="480" w:lineRule="auto"/>
        <w:jc w:val="both"/>
        <w:rPr>
          <w:rStyle w:val="Strong"/>
          <w:b w:val="0"/>
          <w:bCs w:val="0"/>
          <w:sz w:val="24"/>
          <w:szCs w:val="24"/>
        </w:rPr>
      </w:pPr>
      <w:r w:rsidRPr="2E542D65" w:rsidR="0089548D">
        <w:rPr>
          <w:rStyle w:val="Strong"/>
          <w:b w:val="0"/>
          <w:bCs w:val="0"/>
          <w:sz w:val="24"/>
          <w:szCs w:val="24"/>
        </w:rPr>
        <w:t xml:space="preserve">For each topological feature (node degree, eigenvector centrality, second order centrality, eccentricity, degree centrality, betweenness centrality) there is a table </w:t>
      </w:r>
      <w:r w:rsidRPr="2E542D65" w:rsidR="0089548D">
        <w:rPr>
          <w:rStyle w:val="Strong"/>
          <w:b w:val="0"/>
          <w:bCs w:val="0"/>
          <w:sz w:val="24"/>
          <w:szCs w:val="24"/>
        </w:rPr>
        <w:t>representing</w:t>
      </w:r>
      <w:r w:rsidRPr="2E542D65" w:rsidR="0089548D">
        <w:rPr>
          <w:rStyle w:val="Strong"/>
          <w:b w:val="0"/>
          <w:bCs w:val="0"/>
          <w:sz w:val="24"/>
          <w:szCs w:val="24"/>
        </w:rPr>
        <w:t xml:space="preserve"> the performance of different classification methods against standard measures (ROC-AUC, </w:t>
      </w:r>
      <w:r w:rsidRPr="2E542D65" w:rsidR="0089548D">
        <w:rPr>
          <w:rStyle w:val="Strong"/>
          <w:b w:val="0"/>
          <w:bCs w:val="0"/>
          <w:sz w:val="24"/>
          <w:szCs w:val="24"/>
        </w:rPr>
        <w:t>accuracy</w:t>
      </w:r>
      <w:r w:rsidRPr="2E542D65" w:rsidR="0089548D">
        <w:rPr>
          <w:rStyle w:val="Strong"/>
          <w:b w:val="0"/>
          <w:bCs w:val="0"/>
          <w:sz w:val="24"/>
          <w:szCs w:val="24"/>
        </w:rPr>
        <w:t xml:space="preserve"> and balanced accuracy). The classifiers implemented are logistic regression, nearest neighbours, decision tree, neural network, adaptive boosting (AdaBoost) and bagging of nearest neighbours or logistic regression. The specific parameters for each classifier can be found in the "Classifiers parameters" tab.</w:t>
      </w:r>
    </w:p>
    <w:p w:rsidRPr="0089548D" w:rsidR="0089548D" w:rsidP="2E542D65" w:rsidRDefault="0089548D" w14:paraId="485C8E57" w14:textId="53AD9ABE">
      <w:pPr>
        <w:spacing w:line="480" w:lineRule="auto"/>
        <w:jc w:val="both"/>
        <w:rPr>
          <w:rStyle w:val="Strong"/>
          <w:b w:val="0"/>
          <w:bCs w:val="0"/>
          <w:sz w:val="24"/>
          <w:szCs w:val="24"/>
        </w:rPr>
      </w:pPr>
      <w:r w:rsidRPr="2E542D65" w:rsidR="760C0A32">
        <w:rPr>
          <w:rStyle w:val="Strong"/>
          <w:b w:val="0"/>
          <w:bCs w:val="0"/>
          <w:sz w:val="24"/>
          <w:szCs w:val="24"/>
        </w:rPr>
        <w:t>Supplementary Material Table 5</w:t>
      </w:r>
    </w:p>
    <w:p w:rsidRPr="0089548D" w:rsidR="0089548D" w:rsidP="2E542D65" w:rsidRDefault="0089548D" w14:paraId="74540520" w14:textId="3AA01D51">
      <w:pPr>
        <w:spacing w:line="480" w:lineRule="auto"/>
        <w:jc w:val="both"/>
        <w:rPr>
          <w:rStyle w:val="Strong"/>
          <w:b w:val="0"/>
          <w:bCs w:val="0"/>
          <w:sz w:val="24"/>
          <w:szCs w:val="24"/>
        </w:rPr>
      </w:pPr>
      <w:r w:rsidRPr="2E542D65" w:rsidR="6E7A46CB">
        <w:rPr>
          <w:rStyle w:val="Strong"/>
          <w:b w:val="0"/>
          <w:bCs w:val="0"/>
          <w:sz w:val="24"/>
          <w:szCs w:val="24"/>
        </w:rPr>
        <w:t xml:space="preserve">Classification performance comparison for </w:t>
      </w:r>
      <w:r w:rsidRPr="2E542D65" w:rsidR="6E7A46CB">
        <w:rPr>
          <w:rStyle w:val="Strong"/>
          <w:b w:val="0"/>
          <w:bCs w:val="0"/>
          <w:sz w:val="24"/>
          <w:szCs w:val="24"/>
        </w:rPr>
        <w:t>dmpFinder</w:t>
      </w:r>
      <w:r w:rsidRPr="2E542D65" w:rsidR="6E7A46CB">
        <w:rPr>
          <w:rStyle w:val="Strong"/>
          <w:b w:val="0"/>
          <w:bCs w:val="0"/>
          <w:sz w:val="24"/>
          <w:szCs w:val="24"/>
        </w:rPr>
        <w:t xml:space="preserve">, </w:t>
      </w:r>
      <w:r w:rsidRPr="2E542D65" w:rsidR="6E7A46CB">
        <w:rPr>
          <w:rStyle w:val="Strong"/>
          <w:b w:val="0"/>
          <w:bCs w:val="0"/>
          <w:sz w:val="24"/>
          <w:szCs w:val="24"/>
        </w:rPr>
        <w:t>bumphunter</w:t>
      </w:r>
      <w:r w:rsidRPr="2E542D65" w:rsidR="6E7A46CB">
        <w:rPr>
          <w:rStyle w:val="Strong"/>
          <w:b w:val="0"/>
          <w:bCs w:val="0"/>
          <w:sz w:val="24"/>
          <w:szCs w:val="24"/>
        </w:rPr>
        <w:t xml:space="preserve"> and parenclitic networks using cross-validation. The beta values of the </w:t>
      </w:r>
      <w:r w:rsidRPr="2E542D65" w:rsidR="5B1F43E0">
        <w:rPr>
          <w:rStyle w:val="Strong"/>
          <w:b w:val="0"/>
          <w:bCs w:val="0"/>
          <w:sz w:val="24"/>
          <w:szCs w:val="24"/>
        </w:rPr>
        <w:t>identified</w:t>
      </w:r>
      <w:r w:rsidRPr="2E542D65" w:rsidR="5B1F43E0">
        <w:rPr>
          <w:rStyle w:val="Strong"/>
          <w:b w:val="0"/>
          <w:bCs w:val="0"/>
          <w:sz w:val="24"/>
          <w:szCs w:val="24"/>
        </w:rPr>
        <w:t xml:space="preserve"> differentially methylated genes and the identified candidates were given as input</w:t>
      </w:r>
      <w:r w:rsidRPr="2E542D65" w:rsidR="713AB9D5">
        <w:rPr>
          <w:rStyle w:val="Strong"/>
          <w:b w:val="0"/>
          <w:bCs w:val="0"/>
          <w:sz w:val="24"/>
          <w:szCs w:val="24"/>
        </w:rPr>
        <w:t xml:space="preserve"> to the classifier</w:t>
      </w:r>
      <w:r w:rsidRPr="2E542D65" w:rsidR="5B1F43E0">
        <w:rPr>
          <w:rStyle w:val="Strong"/>
          <w:b w:val="0"/>
          <w:bCs w:val="0"/>
          <w:sz w:val="24"/>
          <w:szCs w:val="24"/>
        </w:rPr>
        <w:t xml:space="preserve"> for the </w:t>
      </w:r>
      <w:r w:rsidRPr="2E542D65" w:rsidR="5B1F43E0">
        <w:rPr>
          <w:rStyle w:val="Strong"/>
          <w:b w:val="0"/>
          <w:bCs w:val="0"/>
          <w:sz w:val="24"/>
          <w:szCs w:val="24"/>
        </w:rPr>
        <w:t>dmpFinde</w:t>
      </w:r>
      <w:r w:rsidRPr="2E542D65" w:rsidR="1C82C88E">
        <w:rPr>
          <w:rStyle w:val="Strong"/>
          <w:b w:val="0"/>
          <w:bCs w:val="0"/>
          <w:sz w:val="24"/>
          <w:szCs w:val="24"/>
        </w:rPr>
        <w:t>r</w:t>
      </w:r>
      <w:r w:rsidRPr="2E542D65" w:rsidR="1C82C88E">
        <w:rPr>
          <w:rStyle w:val="Strong"/>
          <w:b w:val="0"/>
          <w:bCs w:val="0"/>
          <w:sz w:val="24"/>
          <w:szCs w:val="24"/>
        </w:rPr>
        <w:t xml:space="preserve"> and </w:t>
      </w:r>
      <w:r w:rsidRPr="2E542D65" w:rsidR="1C82C88E">
        <w:rPr>
          <w:rStyle w:val="Strong"/>
          <w:b w:val="0"/>
          <w:bCs w:val="0"/>
          <w:sz w:val="24"/>
          <w:szCs w:val="24"/>
        </w:rPr>
        <w:t>bumphunter</w:t>
      </w:r>
      <w:r w:rsidRPr="2E542D65" w:rsidR="1C82C88E">
        <w:rPr>
          <w:rStyle w:val="Strong"/>
          <w:b w:val="0"/>
          <w:bCs w:val="0"/>
          <w:sz w:val="24"/>
          <w:szCs w:val="24"/>
        </w:rPr>
        <w:t xml:space="preserve"> and parenclitic </w:t>
      </w:r>
      <w:r w:rsidRPr="2E542D65" w:rsidR="1C82C88E">
        <w:rPr>
          <w:rStyle w:val="Strong"/>
          <w:b w:val="0"/>
          <w:bCs w:val="0"/>
          <w:sz w:val="24"/>
          <w:szCs w:val="24"/>
        </w:rPr>
        <w:t>networks</w:t>
      </w:r>
      <w:r w:rsidRPr="2E542D65" w:rsidR="1C82C88E">
        <w:rPr>
          <w:rStyle w:val="Strong"/>
          <w:b w:val="0"/>
          <w:bCs w:val="0"/>
          <w:sz w:val="24"/>
          <w:szCs w:val="24"/>
        </w:rPr>
        <w:t xml:space="preserve"> respectively. </w:t>
      </w:r>
      <w:r w:rsidRPr="2E542D65" w:rsidR="4347A9F1">
        <w:rPr>
          <w:rStyle w:val="Strong"/>
          <w:b w:val="0"/>
          <w:bCs w:val="0"/>
          <w:sz w:val="24"/>
          <w:szCs w:val="24"/>
        </w:rPr>
        <w:t>Different classifiers were trained and evaluated, namely logistic regression, k Nearest Neighbours, decision tree, neural networks, AdaBoost, bagging of k</w:t>
      </w:r>
      <w:r w:rsidRPr="2E542D65" w:rsidR="41FA4DF8">
        <w:rPr>
          <w:rStyle w:val="Strong"/>
          <w:b w:val="0"/>
          <w:bCs w:val="0"/>
          <w:sz w:val="24"/>
          <w:szCs w:val="24"/>
        </w:rPr>
        <w:t xml:space="preserve"> Nearest Neighbours and bagging of logistic regression, and the a</w:t>
      </w:r>
      <w:r w:rsidRPr="2E542D65" w:rsidR="4347A9F1">
        <w:rPr>
          <w:rStyle w:val="Strong"/>
          <w:b w:val="0"/>
          <w:bCs w:val="0"/>
          <w:sz w:val="24"/>
          <w:szCs w:val="24"/>
        </w:rPr>
        <w:t xml:space="preserve">ccuracy and ROC-AUC </w:t>
      </w:r>
      <w:r w:rsidRPr="2E542D65" w:rsidR="68E41293">
        <w:rPr>
          <w:rStyle w:val="Strong"/>
          <w:b w:val="0"/>
          <w:bCs w:val="0"/>
          <w:sz w:val="24"/>
          <w:szCs w:val="24"/>
        </w:rPr>
        <w:t xml:space="preserve">score </w:t>
      </w:r>
      <w:r w:rsidRPr="2E542D65" w:rsidR="4347A9F1">
        <w:rPr>
          <w:rStyle w:val="Strong"/>
          <w:b w:val="0"/>
          <w:bCs w:val="0"/>
          <w:sz w:val="24"/>
          <w:szCs w:val="24"/>
        </w:rPr>
        <w:t>were used</w:t>
      </w:r>
      <w:r w:rsidRPr="2E542D65" w:rsidR="48D45444">
        <w:rPr>
          <w:rStyle w:val="Strong"/>
          <w:b w:val="0"/>
          <w:bCs w:val="0"/>
          <w:sz w:val="24"/>
          <w:szCs w:val="24"/>
        </w:rPr>
        <w:t xml:space="preserve"> </w:t>
      </w:r>
      <w:r w:rsidRPr="2E542D65" w:rsidR="4347A9F1">
        <w:rPr>
          <w:rStyle w:val="Strong"/>
          <w:b w:val="0"/>
          <w:bCs w:val="0"/>
          <w:sz w:val="24"/>
          <w:szCs w:val="24"/>
        </w:rPr>
        <w:t>to evaluate performance.</w:t>
      </w:r>
    </w:p>
    <w:p w:rsidRPr="0089548D" w:rsidR="0089548D" w:rsidP="0089548D" w:rsidRDefault="0089548D" w14:paraId="48EFD1D9" w14:textId="31AEF9EE">
      <w:pPr>
        <w:spacing w:line="480" w:lineRule="auto"/>
        <w:jc w:val="both"/>
        <w:rPr>
          <w:rStyle w:val="Strong"/>
          <w:b w:val="0"/>
          <w:bCs w:val="0"/>
          <w:sz w:val="24"/>
          <w:szCs w:val="24"/>
        </w:rPr>
      </w:pPr>
    </w:p>
    <w:p w:rsidRPr="0089548D" w:rsidR="0089548D" w:rsidP="0089548D" w:rsidRDefault="0089548D" w14:paraId="33524C6C" w14:textId="77777777">
      <w:pPr>
        <w:spacing w:line="480" w:lineRule="auto"/>
        <w:jc w:val="both"/>
        <w:rPr>
          <w:rStyle w:val="Strong"/>
          <w:b w:val="0"/>
          <w:bCs w:val="0"/>
          <w:sz w:val="24"/>
          <w:szCs w:val="24"/>
        </w:rPr>
      </w:pPr>
      <w:r w:rsidRPr="0089548D">
        <w:rPr>
          <w:rStyle w:val="Strong"/>
          <w:b w:val="0"/>
          <w:bCs w:val="0"/>
          <w:sz w:val="24"/>
          <w:szCs w:val="24"/>
        </w:rPr>
        <w:t>Files</w:t>
      </w:r>
    </w:p>
    <w:p w:rsidRPr="0089548D" w:rsidR="0089548D" w:rsidP="0089548D" w:rsidRDefault="0089548D" w14:paraId="774A95DC" w14:textId="77777777">
      <w:pPr>
        <w:spacing w:line="480" w:lineRule="auto"/>
        <w:jc w:val="both"/>
        <w:rPr>
          <w:rStyle w:val="Strong"/>
          <w:b w:val="0"/>
          <w:bCs w:val="0"/>
          <w:sz w:val="24"/>
          <w:szCs w:val="24"/>
        </w:rPr>
      </w:pPr>
      <w:r w:rsidRPr="0089548D">
        <w:rPr>
          <w:rStyle w:val="Strong"/>
          <w:b w:val="0"/>
          <w:bCs w:val="0"/>
          <w:sz w:val="24"/>
          <w:szCs w:val="24"/>
        </w:rPr>
        <w:t>Supplementary Material File 1 (.pdf)</w:t>
      </w:r>
    </w:p>
    <w:p w:rsidRPr="0089548D" w:rsidR="0089548D" w:rsidP="0089548D" w:rsidRDefault="0089548D" w14:paraId="3AD05C04" w14:textId="3B6BCE44">
      <w:pPr>
        <w:spacing w:line="480" w:lineRule="auto"/>
        <w:jc w:val="both"/>
        <w:rPr>
          <w:sz w:val="24"/>
          <w:szCs w:val="24"/>
        </w:rPr>
      </w:pPr>
      <w:r w:rsidRPr="0BAA192D" w:rsidR="0089548D">
        <w:rPr>
          <w:rStyle w:val="Strong"/>
          <w:b w:val="0"/>
          <w:bCs w:val="0"/>
          <w:sz w:val="24"/>
          <w:szCs w:val="24"/>
        </w:rPr>
        <w:t xml:space="preserve">Depiction of the genomic positions of each candidate CG locus using the UCSC Genome Browser. </w:t>
      </w:r>
      <w:r w:rsidRPr="0BAA192D" w:rsidR="0089548D">
        <w:rPr>
          <w:rStyle w:val="Strong"/>
          <w:b w:val="0"/>
          <w:bCs w:val="0"/>
          <w:sz w:val="24"/>
          <w:szCs w:val="24"/>
        </w:rPr>
        <w:t>In particular, this</w:t>
      </w:r>
      <w:r w:rsidRPr="0BAA192D" w:rsidR="0089548D">
        <w:rPr>
          <w:rStyle w:val="Strong"/>
          <w:b w:val="0"/>
          <w:bCs w:val="0"/>
          <w:sz w:val="24"/>
          <w:szCs w:val="24"/>
        </w:rPr>
        <w:t xml:space="preserve"> view highlights the association of each CG locus with transcription factor binding sites and chromatin accessibility.</w:t>
      </w:r>
    </w:p>
    <w:p w:rsidR="0BAA192D" w:rsidP="0BAA192D" w:rsidRDefault="0BAA192D" w14:paraId="4C5C71B4" w14:textId="58541BFF">
      <w:pPr>
        <w:spacing w:line="480" w:lineRule="auto"/>
        <w:jc w:val="both"/>
        <w:rPr>
          <w:rStyle w:val="Strong"/>
          <w:b w:val="0"/>
          <w:bCs w:val="0"/>
          <w:sz w:val="24"/>
          <w:szCs w:val="24"/>
        </w:rPr>
      </w:pPr>
    </w:p>
    <w:p w:rsidR="26EF59D8" w:rsidP="0BAA192D" w:rsidRDefault="26EF59D8" w14:paraId="7E7E4807" w14:textId="6AB8583C">
      <w:pPr>
        <w:spacing w:line="480" w:lineRule="auto"/>
        <w:jc w:val="both"/>
        <w:rPr>
          <w:rStyle w:val="Strong"/>
          <w:b w:val="0"/>
          <w:bCs w:val="0"/>
          <w:sz w:val="24"/>
          <w:szCs w:val="24"/>
        </w:rPr>
      </w:pPr>
      <w:r w:rsidRPr="0BAA192D" w:rsidR="26EF59D8">
        <w:rPr>
          <w:rStyle w:val="Strong"/>
          <w:b w:val="0"/>
          <w:bCs w:val="0"/>
          <w:sz w:val="24"/>
          <w:szCs w:val="24"/>
        </w:rPr>
        <w:t>Supplementary Methods</w:t>
      </w:r>
    </w:p>
    <w:p w:rsidR="26EF59D8" w:rsidP="0BAA192D" w:rsidRDefault="26EF59D8" w14:paraId="66FB1A3F" w14:textId="2F1C6129">
      <w:pPr>
        <w:spacing w:line="480" w:lineRule="auto"/>
        <w:jc w:val="both"/>
        <w:rPr>
          <w:rStyle w:val="Strong"/>
          <w:b w:val="0"/>
          <w:bCs w:val="0"/>
          <w:sz w:val="24"/>
          <w:szCs w:val="24"/>
        </w:rPr>
      </w:pPr>
      <w:r w:rsidRPr="0BAA192D" w:rsidR="26EF59D8">
        <w:rPr>
          <w:rStyle w:val="Strong"/>
          <w:b w:val="0"/>
          <w:bCs w:val="0"/>
          <w:sz w:val="24"/>
          <w:szCs w:val="24"/>
        </w:rPr>
        <w:t>Formal mathematical definitions of the topological features.</w:t>
      </w:r>
    </w:p>
    <w:sectPr w:rsidRPr="0089548D" w:rsidR="0089548D" w:rsidSect="00B30F4F">
      <w:footerReference w:type="default" r:id="rId6"/>
      <w:pgSz w:w="11906" w:h="16838" w:orient="portrait"/>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20C37" w:rsidRDefault="00320C37" w14:paraId="603753A4" w14:textId="77777777">
      <w:pPr>
        <w:spacing w:after="0" w:line="240" w:lineRule="auto"/>
      </w:pPr>
      <w:r>
        <w:separator/>
      </w:r>
    </w:p>
  </w:endnote>
  <w:endnote w:type="continuationSeparator" w:id="0">
    <w:p w:rsidR="00320C37" w:rsidRDefault="00320C37" w14:paraId="132F0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635203"/>
      <w:docPartObj>
        <w:docPartGallery w:val="Page Numbers (Bottom of Page)"/>
        <w:docPartUnique/>
      </w:docPartObj>
    </w:sdtPr>
    <w:sdtEndPr>
      <w:rPr>
        <w:noProof/>
      </w:rPr>
    </w:sdtEndPr>
    <w:sdtContent>
      <w:p w:rsidR="007B31EE" w:rsidRDefault="00320C37" w14:paraId="31A63810"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B31EE" w:rsidRDefault="007B31EE" w14:paraId="50C193A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20C37" w:rsidRDefault="00320C37" w14:paraId="7ED6514D" w14:textId="77777777">
      <w:pPr>
        <w:spacing w:after="0" w:line="240" w:lineRule="auto"/>
      </w:pPr>
      <w:r>
        <w:separator/>
      </w:r>
    </w:p>
  </w:footnote>
  <w:footnote w:type="continuationSeparator" w:id="0">
    <w:p w:rsidR="00320C37" w:rsidRDefault="00320C37" w14:paraId="11DF714A"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48D"/>
    <w:rsid w:val="00110B84"/>
    <w:rsid w:val="00320C37"/>
    <w:rsid w:val="007B31EE"/>
    <w:rsid w:val="0089548D"/>
    <w:rsid w:val="00B30F4F"/>
    <w:rsid w:val="0BAA192D"/>
    <w:rsid w:val="12EDE497"/>
    <w:rsid w:val="1890686A"/>
    <w:rsid w:val="1C82C88E"/>
    <w:rsid w:val="26EF59D8"/>
    <w:rsid w:val="2E542D65"/>
    <w:rsid w:val="2E69C8BF"/>
    <w:rsid w:val="41FA4DF8"/>
    <w:rsid w:val="4347A9F1"/>
    <w:rsid w:val="46CF44D1"/>
    <w:rsid w:val="4864DE45"/>
    <w:rsid w:val="48D45444"/>
    <w:rsid w:val="4E69FDA2"/>
    <w:rsid w:val="5AA20FC9"/>
    <w:rsid w:val="5B1F43E0"/>
    <w:rsid w:val="619E4D14"/>
    <w:rsid w:val="619E4D14"/>
    <w:rsid w:val="6644E232"/>
    <w:rsid w:val="68E41293"/>
    <w:rsid w:val="6E7A46CB"/>
    <w:rsid w:val="713AB9D5"/>
    <w:rsid w:val="760C0A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E1B2FD2"/>
  <w15:chartTrackingRefBased/>
  <w15:docId w15:val="{EB11A756-7C52-F94F-8C28-FB9D7505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548D"/>
    <w:pPr>
      <w:spacing w:line="259" w:lineRule="auto"/>
    </w:pPr>
    <w:rPr>
      <w:kern w:val="0"/>
      <w:sz w:val="22"/>
      <w:szCs w:val="22"/>
      <w14:ligatures w14:val="none"/>
    </w:rPr>
  </w:style>
  <w:style w:type="paragraph" w:styleId="Heading1">
    <w:name w:val="heading 1"/>
    <w:basedOn w:val="Normal"/>
    <w:next w:val="Normal"/>
    <w:link w:val="Heading1Char"/>
    <w:uiPriority w:val="9"/>
    <w:qFormat/>
    <w:rsid w:val="0089548D"/>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9548D"/>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9548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9548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9548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9548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9548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9548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9548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9548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9548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9548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9548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9548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9548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9548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9548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9548D"/>
    <w:rPr>
      <w:rFonts w:eastAsiaTheme="majorEastAsia" w:cstheme="majorBidi"/>
      <w:color w:val="272727" w:themeColor="text1" w:themeTint="D8"/>
    </w:rPr>
  </w:style>
  <w:style w:type="paragraph" w:styleId="Title">
    <w:name w:val="Title"/>
    <w:basedOn w:val="Normal"/>
    <w:next w:val="Normal"/>
    <w:link w:val="TitleChar"/>
    <w:uiPriority w:val="10"/>
    <w:qFormat/>
    <w:rsid w:val="0089548D"/>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89548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9548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8954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48D"/>
    <w:pPr>
      <w:spacing w:before="160" w:line="278" w:lineRule="auto"/>
      <w:jc w:val="center"/>
    </w:pPr>
    <w:rPr>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89548D"/>
    <w:rPr>
      <w:i/>
      <w:iCs/>
      <w:color w:val="404040" w:themeColor="text1" w:themeTint="BF"/>
    </w:rPr>
  </w:style>
  <w:style w:type="paragraph" w:styleId="ListParagraph">
    <w:name w:val="List Paragraph"/>
    <w:basedOn w:val="Normal"/>
    <w:uiPriority w:val="34"/>
    <w:qFormat/>
    <w:rsid w:val="0089548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9548D"/>
    <w:rPr>
      <w:i/>
      <w:iCs/>
      <w:color w:val="0F4761" w:themeColor="accent1" w:themeShade="BF"/>
    </w:rPr>
  </w:style>
  <w:style w:type="paragraph" w:styleId="IntenseQuote">
    <w:name w:val="Intense Quote"/>
    <w:basedOn w:val="Normal"/>
    <w:next w:val="Normal"/>
    <w:link w:val="IntenseQuoteChar"/>
    <w:uiPriority w:val="30"/>
    <w:qFormat/>
    <w:rsid w:val="0089548D"/>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89548D"/>
    <w:rPr>
      <w:i/>
      <w:iCs/>
      <w:color w:val="0F4761" w:themeColor="accent1" w:themeShade="BF"/>
    </w:rPr>
  </w:style>
  <w:style w:type="character" w:styleId="IntenseReference">
    <w:name w:val="Intense Reference"/>
    <w:basedOn w:val="DefaultParagraphFont"/>
    <w:uiPriority w:val="32"/>
    <w:qFormat/>
    <w:rsid w:val="0089548D"/>
    <w:rPr>
      <w:b/>
      <w:bCs/>
      <w:smallCaps/>
      <w:color w:val="0F4761" w:themeColor="accent1" w:themeShade="BF"/>
      <w:spacing w:val="5"/>
    </w:rPr>
  </w:style>
  <w:style w:type="character" w:styleId="Strong">
    <w:name w:val="Strong"/>
    <w:basedOn w:val="DefaultParagraphFont"/>
    <w:uiPriority w:val="22"/>
    <w:qFormat/>
    <w:rsid w:val="0089548D"/>
    <w:rPr>
      <w:b/>
      <w:bCs/>
    </w:rPr>
  </w:style>
  <w:style w:type="paragraph" w:styleId="Footer">
    <w:name w:val="footer"/>
    <w:basedOn w:val="Normal"/>
    <w:link w:val="FooterChar"/>
    <w:uiPriority w:val="99"/>
    <w:unhideWhenUsed/>
    <w:rsid w:val="0089548D"/>
    <w:pPr>
      <w:tabs>
        <w:tab w:val="center" w:pos="4513"/>
        <w:tab w:val="right" w:pos="9026"/>
      </w:tabs>
      <w:spacing w:after="0" w:line="240" w:lineRule="auto"/>
    </w:pPr>
  </w:style>
  <w:style w:type="character" w:styleId="FooterChar" w:customStyle="1">
    <w:name w:val="Footer Char"/>
    <w:basedOn w:val="DefaultParagraphFont"/>
    <w:link w:val="Footer"/>
    <w:uiPriority w:val="99"/>
    <w:rsid w:val="0089548D"/>
    <w:rPr>
      <w:kern w:val="0"/>
      <w:sz w:val="22"/>
      <w:szCs w:val="22"/>
      <w14:ligatures w14:val="none"/>
    </w:rPr>
  </w:style>
  <w:style w:type="character" w:styleId="LineNumber">
    <w:name w:val="line number"/>
    <w:basedOn w:val="DefaultParagraphFont"/>
    <w:uiPriority w:val="99"/>
    <w:semiHidden/>
    <w:unhideWhenUsed/>
    <w:rsid w:val="00895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endnotes" Target="endnotes.xml" Id="rId5" /><Relationship Type="http://schemas.openxmlformats.org/officeDocument/2006/relationships/footnotes" Target="footnot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Rebecca Oakey</dc:creator>
  <keywords/>
  <dc:description/>
  <lastModifiedBy>Dimitria Brempou</lastModifiedBy>
  <revision>3</revision>
  <dcterms:created xsi:type="dcterms:W3CDTF">2024-11-01T13:29:00.0000000Z</dcterms:created>
  <dcterms:modified xsi:type="dcterms:W3CDTF">2024-11-03T20:43:00.9983842Z</dcterms:modified>
</coreProperties>
</file>