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329F4" w14:textId="64E5EDF8" w:rsidR="004B28CB" w:rsidRPr="00EF4A40" w:rsidRDefault="00105D9A" w:rsidP="00A65728">
      <w:pPr>
        <w:spacing w:after="0" w:line="48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Partial m</w:t>
      </w:r>
      <w:r w:rsidR="004B28CB" w:rsidRPr="00EF4A40">
        <w:rPr>
          <w:rFonts w:ascii="Arial" w:hAnsi="Arial" w:cs="Arial"/>
          <w:b/>
        </w:rPr>
        <w:t xml:space="preserve">icroglial depletion and repopulation exert </w:t>
      </w:r>
      <w:r>
        <w:rPr>
          <w:rFonts w:ascii="Arial" w:hAnsi="Arial" w:cs="Arial"/>
          <w:b/>
        </w:rPr>
        <w:t xml:space="preserve">subtle but </w:t>
      </w:r>
      <w:r w:rsidR="004B28CB" w:rsidRPr="00EF4A40">
        <w:rPr>
          <w:rFonts w:ascii="Arial" w:hAnsi="Arial" w:cs="Arial"/>
          <w:b/>
        </w:rPr>
        <w:t>differential effects on amyloid pathology at different disease stages</w:t>
      </w:r>
    </w:p>
    <w:p w14:paraId="3EFFF661" w14:textId="3E227F4E" w:rsidR="00515E11" w:rsidRDefault="00515E11" w:rsidP="00A65728">
      <w:pPr>
        <w:tabs>
          <w:tab w:val="left" w:pos="990"/>
          <w:tab w:val="left" w:pos="1143"/>
        </w:tabs>
        <w:spacing w:after="0" w:line="48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/>
        </w:rPr>
        <w:t>Le, L.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O’Banion, M.K.</w:t>
      </w:r>
      <w:r>
        <w:rPr>
          <w:rFonts w:ascii="Arial" w:hAnsi="Arial" w:cs="Arial"/>
          <w:bCs/>
          <w:vertAlign w:val="superscript"/>
        </w:rPr>
        <w:t>1</w:t>
      </w:r>
      <w:r>
        <w:rPr>
          <w:rFonts w:ascii="Arial" w:hAnsi="Arial" w:cs="Arial"/>
          <w:bCs/>
        </w:rPr>
        <w:t>, and Majewska, A.K.</w:t>
      </w:r>
      <w:r>
        <w:rPr>
          <w:rFonts w:ascii="Arial" w:hAnsi="Arial" w:cs="Arial"/>
          <w:bCs/>
          <w:vertAlign w:val="superscript"/>
        </w:rPr>
        <w:t>1,2</w:t>
      </w:r>
      <w:r>
        <w:rPr>
          <w:rFonts w:ascii="Arial" w:hAnsi="Arial" w:cs="Arial"/>
          <w:bCs/>
        </w:rPr>
        <w:t>*</w:t>
      </w:r>
    </w:p>
    <w:p w14:paraId="7C9BCB90" w14:textId="77777777" w:rsidR="00515E11" w:rsidRDefault="00515E11" w:rsidP="00A65728">
      <w:pPr>
        <w:spacing w:after="0" w:line="48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  <w:vertAlign w:val="superscript"/>
        </w:rPr>
        <w:t>1</w:t>
      </w:r>
      <w:r>
        <w:rPr>
          <w:rFonts w:ascii="Arial" w:hAnsi="Arial" w:cs="Arial"/>
          <w:bCs/>
        </w:rPr>
        <w:t>Department of Neuroscience, Del Monte Institute for Neuroscience, University of Rochester, Rochester, NY</w:t>
      </w:r>
    </w:p>
    <w:p w14:paraId="6A18D26B" w14:textId="1C33201C" w:rsidR="00515E11" w:rsidRDefault="00C86688" w:rsidP="00A65728">
      <w:pPr>
        <w:spacing w:after="0" w:line="48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  <w:vertAlign w:val="superscript"/>
        </w:rPr>
        <w:t>2</w:t>
      </w:r>
      <w:r w:rsidR="00515E11">
        <w:rPr>
          <w:rFonts w:ascii="Arial" w:hAnsi="Arial" w:cs="Arial"/>
          <w:bCs/>
        </w:rPr>
        <w:t xml:space="preserve">Center for Visual Science, University of Rochester, Rochester NY </w:t>
      </w:r>
    </w:p>
    <w:p w14:paraId="554D3D32" w14:textId="77777777" w:rsidR="00515E11" w:rsidRDefault="00515E11" w:rsidP="00A65728">
      <w:pPr>
        <w:spacing w:after="0" w:line="48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*Corresponding author</w:t>
      </w:r>
    </w:p>
    <w:p w14:paraId="1314D2BF" w14:textId="77777777" w:rsidR="00903593" w:rsidRDefault="00903593" w:rsidP="00A65728">
      <w:pPr>
        <w:spacing w:after="0" w:line="480" w:lineRule="auto"/>
        <w:contextualSpacing/>
        <w:rPr>
          <w:rFonts w:ascii="Arial" w:hAnsi="Arial" w:cs="Arial"/>
          <w:b/>
        </w:rPr>
      </w:pPr>
    </w:p>
    <w:p w14:paraId="3E5ACF0D" w14:textId="493D0FE4" w:rsidR="0091589A" w:rsidRDefault="00903593" w:rsidP="00A65728">
      <w:pPr>
        <w:spacing w:after="0" w:line="480" w:lineRule="auto"/>
        <w:contextualSpacing/>
        <w:rPr>
          <w:rFonts w:ascii="Arial" w:hAnsi="Arial" w:cs="Arial"/>
          <w:b/>
          <w:bCs/>
        </w:rPr>
      </w:pPr>
      <w:r w:rsidRPr="00903593">
        <w:rPr>
          <w:rFonts w:ascii="Arial" w:hAnsi="Arial" w:cs="Arial"/>
          <w:b/>
          <w:bCs/>
        </w:rPr>
        <w:t>Supplementary Material</w:t>
      </w:r>
    </w:p>
    <w:p w14:paraId="2B46EEC7" w14:textId="77777777" w:rsidR="00826874" w:rsidRDefault="00826874" w:rsidP="00A65728">
      <w:pPr>
        <w:spacing w:after="0" w:line="480" w:lineRule="auto"/>
        <w:contextualSpacing/>
        <w:rPr>
          <w:rFonts w:ascii="Arial" w:hAnsi="Arial" w:cs="Arial"/>
          <w:b/>
          <w:bCs/>
        </w:rPr>
      </w:pPr>
    </w:p>
    <w:p w14:paraId="3B8E559F" w14:textId="2ED50CDA" w:rsidR="00C31EB9" w:rsidRDefault="007E2AB1" w:rsidP="00A65728">
      <w:pPr>
        <w:spacing w:after="0" w:line="48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2962F9B1" wp14:editId="6889DA21">
            <wp:simplePos x="0" y="0"/>
            <wp:positionH relativeFrom="margin">
              <wp:align>center</wp:align>
            </wp:positionH>
            <wp:positionV relativeFrom="paragraph">
              <wp:posOffset>-2540</wp:posOffset>
            </wp:positionV>
            <wp:extent cx="6217920" cy="3819866"/>
            <wp:effectExtent l="0" t="0" r="0" b="0"/>
            <wp:wrapTopAndBottom/>
            <wp:docPr id="3565478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3819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D324B" w14:textId="62A7EDCD" w:rsidR="00C31EB9" w:rsidRDefault="007E2AB1" w:rsidP="00A65728">
      <w:pPr>
        <w:spacing w:after="0" w:line="48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76574652" wp14:editId="6CC4D1CB">
            <wp:extent cx="6217920" cy="3888699"/>
            <wp:effectExtent l="0" t="0" r="0" b="0"/>
            <wp:docPr id="116275519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755199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388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1D571" w14:textId="462892BC" w:rsidR="007E2AB1" w:rsidRDefault="00712F74" w:rsidP="00A65728">
      <w:pPr>
        <w:spacing w:after="0" w:line="48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4EDFAA79" wp14:editId="13949519">
            <wp:extent cx="5895340" cy="2207260"/>
            <wp:effectExtent l="0" t="0" r="0" b="2540"/>
            <wp:docPr id="1178186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0057E9" w14:textId="77777777" w:rsidR="007E2AB1" w:rsidRDefault="007E2AB1" w:rsidP="00A65728">
      <w:pPr>
        <w:spacing w:after="0" w:line="480" w:lineRule="auto"/>
        <w:contextualSpacing/>
        <w:rPr>
          <w:rFonts w:ascii="Arial" w:hAnsi="Arial" w:cs="Arial"/>
          <w:b/>
          <w:bCs/>
        </w:rPr>
      </w:pPr>
    </w:p>
    <w:p w14:paraId="5991553C" w14:textId="77777777" w:rsidR="0045021B" w:rsidRDefault="0045021B" w:rsidP="007E2AB1">
      <w:pPr>
        <w:spacing w:after="120" w:line="240" w:lineRule="auto"/>
        <w:rPr>
          <w:rFonts w:ascii="Arial" w:eastAsia="Aptos" w:hAnsi="Arial" w:cs="Arial"/>
          <w:b/>
          <w:bCs/>
          <w:kern w:val="2"/>
          <w14:ligatures w14:val="standardContextual"/>
        </w:rPr>
      </w:pPr>
    </w:p>
    <w:p w14:paraId="631EBC1E" w14:textId="77777777" w:rsidR="0045021B" w:rsidRDefault="0045021B" w:rsidP="007E2AB1">
      <w:pPr>
        <w:spacing w:after="120" w:line="240" w:lineRule="auto"/>
        <w:rPr>
          <w:rFonts w:ascii="Arial" w:eastAsia="Aptos" w:hAnsi="Arial" w:cs="Arial"/>
          <w:b/>
          <w:bCs/>
          <w:kern w:val="2"/>
          <w14:ligatures w14:val="standardContextual"/>
        </w:rPr>
      </w:pPr>
    </w:p>
    <w:p w14:paraId="0EB87460" w14:textId="77777777" w:rsidR="0045021B" w:rsidRDefault="0045021B" w:rsidP="007E2AB1">
      <w:pPr>
        <w:spacing w:after="120" w:line="240" w:lineRule="auto"/>
        <w:rPr>
          <w:rFonts w:ascii="Arial" w:eastAsia="Aptos" w:hAnsi="Arial" w:cs="Arial"/>
          <w:b/>
          <w:bCs/>
          <w:kern w:val="2"/>
          <w14:ligatures w14:val="standardContextual"/>
        </w:rPr>
      </w:pPr>
    </w:p>
    <w:p w14:paraId="2138B2FC" w14:textId="77777777" w:rsidR="0045021B" w:rsidRDefault="0045021B" w:rsidP="007E2AB1">
      <w:pPr>
        <w:spacing w:after="120" w:line="240" w:lineRule="auto"/>
        <w:rPr>
          <w:rFonts w:ascii="Arial" w:eastAsia="Aptos" w:hAnsi="Arial" w:cs="Arial"/>
          <w:b/>
          <w:bCs/>
          <w:kern w:val="2"/>
          <w14:ligatures w14:val="standardContextual"/>
        </w:rPr>
      </w:pPr>
    </w:p>
    <w:p w14:paraId="5B9CE7D6" w14:textId="77777777" w:rsidR="0045021B" w:rsidRDefault="0045021B" w:rsidP="007E2AB1">
      <w:pPr>
        <w:spacing w:after="120" w:line="240" w:lineRule="auto"/>
        <w:rPr>
          <w:rFonts w:ascii="Arial" w:eastAsia="Aptos" w:hAnsi="Arial" w:cs="Arial"/>
          <w:b/>
          <w:bCs/>
          <w:kern w:val="2"/>
          <w14:ligatures w14:val="standardContextual"/>
        </w:rPr>
      </w:pPr>
    </w:p>
    <w:p w14:paraId="0801AF17" w14:textId="77777777" w:rsidR="0045021B" w:rsidRDefault="0045021B" w:rsidP="007E2AB1">
      <w:pPr>
        <w:spacing w:after="120" w:line="240" w:lineRule="auto"/>
        <w:rPr>
          <w:rFonts w:ascii="Arial" w:eastAsia="Aptos" w:hAnsi="Arial" w:cs="Arial"/>
          <w:b/>
          <w:bCs/>
          <w:kern w:val="2"/>
          <w14:ligatures w14:val="standardContextual"/>
        </w:rPr>
      </w:pPr>
    </w:p>
    <w:p w14:paraId="5C0BC0D4" w14:textId="013276BC" w:rsidR="007E2AB1" w:rsidRPr="007E2AB1" w:rsidRDefault="007E2AB1" w:rsidP="007E2AB1">
      <w:pPr>
        <w:spacing w:after="120" w:line="240" w:lineRule="auto"/>
        <w:rPr>
          <w:rFonts w:ascii="Arial" w:eastAsia="Aptos" w:hAnsi="Arial" w:cs="Arial"/>
          <w:kern w:val="2"/>
          <w14:ligatures w14:val="standardContextual"/>
        </w:rPr>
      </w:pPr>
      <w:r w:rsidRPr="007E2AB1">
        <w:rPr>
          <w:rFonts w:ascii="Arial" w:eastAsia="Aptos" w:hAnsi="Arial" w:cs="Arial"/>
          <w:b/>
          <w:bCs/>
          <w:kern w:val="2"/>
          <w14:ligatures w14:val="standardContextual"/>
        </w:rPr>
        <w:lastRenderedPageBreak/>
        <w:t>Supp Figure 1. Characterization of microglial depletion with PLX3397 at different ages.</w:t>
      </w:r>
    </w:p>
    <w:p w14:paraId="49F15A82" w14:textId="77777777" w:rsidR="007E2AB1" w:rsidRPr="007E2AB1" w:rsidRDefault="007E2AB1" w:rsidP="007E2AB1">
      <w:pPr>
        <w:spacing w:after="120" w:line="240" w:lineRule="auto"/>
        <w:rPr>
          <w:rFonts w:ascii="Arial" w:eastAsia="Aptos" w:hAnsi="Arial" w:cs="Arial"/>
          <w:kern w:val="2"/>
          <w14:ligatures w14:val="standardContextual"/>
        </w:rPr>
      </w:pPr>
      <w:r w:rsidRPr="007E2AB1">
        <w:rPr>
          <w:rFonts w:ascii="Arial" w:eastAsia="Aptos" w:hAnsi="Arial" w:cs="Arial"/>
          <w:kern w:val="2"/>
          <w14:ligatures w14:val="standardContextual"/>
        </w:rPr>
        <w:t>(A, C, E) Microglia density across the depletion-repopulation imaging timeline as normalized to D0 baseline. 4-month-old mice received 1x PLX (A) while 6- and 9-month-old mice received 2x PLX (C, E). Rapid microglia depletion within the first 3 days of PLX treatment was observed in all age groups. After cessation of PLX, microglia replenished their niche within 5 days. Data are shown as follows: blue circle: control; red circle: plaque-distal microglia (5xFAD_nopq); gray circle: plaque-associated microglia (5xFAD_pq). Notice the lack of a 5xFAD_pq group at 4 months due to the low plaque load observed at this age.</w:t>
      </w:r>
    </w:p>
    <w:p w14:paraId="4B2A10BB" w14:textId="77777777" w:rsidR="007E2AB1" w:rsidRPr="007E2AB1" w:rsidRDefault="007E2AB1" w:rsidP="007E2AB1">
      <w:pPr>
        <w:spacing w:after="120" w:line="240" w:lineRule="auto"/>
        <w:rPr>
          <w:rFonts w:ascii="Arial" w:eastAsia="Aptos" w:hAnsi="Arial" w:cs="Arial"/>
          <w:kern w:val="2"/>
          <w14:ligatures w14:val="standardContextual"/>
        </w:rPr>
      </w:pPr>
      <w:r w:rsidRPr="007E2AB1">
        <w:rPr>
          <w:rFonts w:ascii="Arial" w:eastAsia="Aptos" w:hAnsi="Arial" w:cs="Arial"/>
          <w:kern w:val="2"/>
          <w14:ligatures w14:val="standardContextual"/>
        </w:rPr>
        <w:t xml:space="preserve">(B, D, F) Average microglia soma size across the depletion-repopulation imaging timeline as normalized to D0 baseline at 4 months (B), 6 months (D), and 9 months (F). </w:t>
      </w:r>
    </w:p>
    <w:p w14:paraId="27D0B82B" w14:textId="77777777" w:rsidR="007E2AB1" w:rsidRPr="007E2AB1" w:rsidRDefault="007E2AB1" w:rsidP="007E2AB1">
      <w:pPr>
        <w:spacing w:after="120" w:line="240" w:lineRule="auto"/>
        <w:rPr>
          <w:rFonts w:ascii="Arial" w:eastAsia="Aptos" w:hAnsi="Arial" w:cs="Arial"/>
          <w:kern w:val="2"/>
          <w14:ligatures w14:val="standardContextual"/>
        </w:rPr>
      </w:pPr>
      <w:r w:rsidRPr="007E2AB1">
        <w:rPr>
          <w:rFonts w:ascii="Arial" w:eastAsia="Aptos" w:hAnsi="Arial" w:cs="Arial"/>
          <w:kern w:val="2"/>
          <w14:ligatures w14:val="standardContextual"/>
        </w:rPr>
        <w:t xml:space="preserve">Sample size as in Figure 2. Two-way ANOVA with Dunnett's post-hoc correction for comparisons between D0 and subsequent timepoints within the same type of microglia (i.e.: control, 5xFAD_pq and 5xFAD_nopq). *p&lt;0.05, **p&lt;0.01, ***p&lt;0.001. </w:t>
      </w:r>
    </w:p>
    <w:p w14:paraId="0D36021F" w14:textId="77777777" w:rsidR="007E2AB1" w:rsidRPr="007E2AB1" w:rsidRDefault="007E2AB1" w:rsidP="007E2AB1">
      <w:pPr>
        <w:spacing w:after="120" w:line="240" w:lineRule="auto"/>
        <w:rPr>
          <w:rFonts w:ascii="Arial" w:eastAsia="Aptos" w:hAnsi="Arial" w:cs="Arial"/>
          <w:kern w:val="2"/>
          <w14:ligatures w14:val="standardContextual"/>
        </w:rPr>
      </w:pPr>
    </w:p>
    <w:p w14:paraId="6BFC1116" w14:textId="77777777" w:rsidR="007E2AB1" w:rsidRPr="007E2AB1" w:rsidRDefault="007E2AB1" w:rsidP="007E2AB1">
      <w:pPr>
        <w:spacing w:after="120" w:line="240" w:lineRule="auto"/>
        <w:rPr>
          <w:rFonts w:ascii="Arial" w:eastAsia="Aptos" w:hAnsi="Arial" w:cs="Arial"/>
          <w:kern w:val="2"/>
          <w14:ligatures w14:val="standardContextual"/>
        </w:rPr>
      </w:pPr>
      <w:r w:rsidRPr="007E2AB1">
        <w:rPr>
          <w:rFonts w:ascii="Arial" w:eastAsia="Aptos" w:hAnsi="Arial" w:cs="Arial"/>
          <w:b/>
          <w:bCs/>
          <w:kern w:val="2"/>
          <w14:ligatures w14:val="standardContextual"/>
        </w:rPr>
        <w:t xml:space="preserve">Supp Figure 2. Comparable removal of microglia by delivery of PLX3397 in chow and in Nutella </w:t>
      </w:r>
    </w:p>
    <w:p w14:paraId="4028712D" w14:textId="62290234" w:rsidR="007E2AB1" w:rsidRDefault="007E2AB1" w:rsidP="007E2AB1">
      <w:pPr>
        <w:spacing w:after="120" w:line="240" w:lineRule="auto"/>
        <w:rPr>
          <w:rFonts w:ascii="Arial" w:eastAsia="Aptos" w:hAnsi="Arial" w:cs="Arial"/>
          <w:kern w:val="2"/>
          <w14:ligatures w14:val="standardContextual"/>
        </w:rPr>
      </w:pPr>
      <w:r w:rsidRPr="007E2AB1">
        <w:rPr>
          <w:rFonts w:ascii="Arial" w:eastAsia="Aptos" w:hAnsi="Arial" w:cs="Arial"/>
          <w:i/>
          <w:iCs/>
          <w:kern w:val="2"/>
          <w14:ligatures w14:val="standardContextual"/>
        </w:rPr>
        <w:t>In vivo</w:t>
      </w:r>
      <w:r w:rsidRPr="007E2AB1">
        <w:rPr>
          <w:rFonts w:ascii="Arial" w:eastAsia="Aptos" w:hAnsi="Arial" w:cs="Arial"/>
          <w:kern w:val="2"/>
          <w14:ligatures w14:val="standardContextual"/>
        </w:rPr>
        <w:t xml:space="preserve"> two-photon images showing comparable depletion of microglia between </w:t>
      </w:r>
      <w:r w:rsidR="00A96FC2">
        <w:rPr>
          <w:rFonts w:ascii="Arial" w:eastAsia="Aptos" w:hAnsi="Arial" w:cs="Arial"/>
          <w:kern w:val="2"/>
          <w14:ligatures w14:val="standardContextual"/>
        </w:rPr>
        <w:t xml:space="preserve">the </w:t>
      </w:r>
      <w:r w:rsidRPr="007E2AB1">
        <w:rPr>
          <w:rFonts w:ascii="Arial" w:eastAsia="Aptos" w:hAnsi="Arial" w:cs="Arial"/>
          <w:kern w:val="2"/>
          <w14:ligatures w14:val="standardContextual"/>
        </w:rPr>
        <w:t xml:space="preserve">standard PLX chow diet (290 mg/kg, upper panels) and </w:t>
      </w:r>
      <w:r w:rsidR="00A96FC2">
        <w:rPr>
          <w:rFonts w:ascii="Arial" w:eastAsia="Aptos" w:hAnsi="Arial" w:cs="Arial"/>
          <w:kern w:val="2"/>
          <w14:ligatures w14:val="standardContextual"/>
        </w:rPr>
        <w:t xml:space="preserve">a </w:t>
      </w:r>
      <w:r w:rsidRPr="007E2AB1">
        <w:rPr>
          <w:rFonts w:ascii="Arial" w:eastAsia="Aptos" w:hAnsi="Arial" w:cs="Arial"/>
          <w:kern w:val="2"/>
          <w14:ligatures w14:val="standardContextual"/>
        </w:rPr>
        <w:t>similar dose of PLX in Nutella (lower panels). On each image, the number of microglia in the field of view is indicated on the right-hand corner. Scale bar = 50μm.</w:t>
      </w:r>
    </w:p>
    <w:p w14:paraId="3193BBDA" w14:textId="77777777" w:rsidR="003E43C6" w:rsidRPr="007E2AB1" w:rsidRDefault="003E43C6" w:rsidP="007E2AB1">
      <w:pPr>
        <w:spacing w:after="120" w:line="240" w:lineRule="auto"/>
        <w:rPr>
          <w:rFonts w:ascii="Arial" w:eastAsia="Aptos" w:hAnsi="Arial" w:cs="Arial"/>
          <w:kern w:val="2"/>
          <w14:ligatures w14:val="standardContextual"/>
        </w:rPr>
      </w:pPr>
    </w:p>
    <w:p w14:paraId="1790068B" w14:textId="12C112BA" w:rsidR="00D76D96" w:rsidRDefault="00D76D96" w:rsidP="008F09BA">
      <w:pPr>
        <w:spacing w:after="120" w:line="240" w:lineRule="auto"/>
        <w:rPr>
          <w:rFonts w:ascii="Arial" w:eastAsia="Aptos" w:hAnsi="Arial" w:cs="Arial"/>
          <w:kern w:val="2"/>
          <w14:ligatures w14:val="standardContextual"/>
        </w:rPr>
      </w:pPr>
      <w:r w:rsidRPr="007E2AB1">
        <w:rPr>
          <w:rFonts w:ascii="Arial" w:eastAsia="Aptos" w:hAnsi="Arial" w:cs="Arial"/>
          <w:b/>
          <w:bCs/>
          <w:kern w:val="2"/>
          <w14:ligatures w14:val="standardContextual"/>
        </w:rPr>
        <w:t xml:space="preserve">Supp Figure </w:t>
      </w:r>
      <w:r w:rsidR="00532C43">
        <w:rPr>
          <w:rFonts w:ascii="Arial" w:eastAsia="Aptos" w:hAnsi="Arial" w:cs="Arial"/>
          <w:b/>
          <w:bCs/>
          <w:kern w:val="2"/>
          <w14:ligatures w14:val="standardContextual"/>
        </w:rPr>
        <w:t>3</w:t>
      </w:r>
      <w:r w:rsidRPr="007E2AB1">
        <w:rPr>
          <w:rFonts w:ascii="Arial" w:eastAsia="Aptos" w:hAnsi="Arial" w:cs="Arial"/>
          <w:b/>
          <w:bCs/>
          <w:kern w:val="2"/>
          <w14:ligatures w14:val="standardContextual"/>
        </w:rPr>
        <w:t xml:space="preserve">. </w:t>
      </w:r>
      <w:r>
        <w:rPr>
          <w:rFonts w:ascii="Arial" w:eastAsia="Aptos" w:hAnsi="Arial" w:cs="Arial"/>
          <w:b/>
          <w:bCs/>
          <w:kern w:val="2"/>
          <w14:ligatures w14:val="standardContextual"/>
        </w:rPr>
        <w:t>Microglia in aged mice are resistant to removal by</w:t>
      </w:r>
      <w:r w:rsidR="00B04F11">
        <w:rPr>
          <w:rFonts w:ascii="Arial" w:eastAsia="Aptos" w:hAnsi="Arial" w:cs="Arial"/>
          <w:b/>
          <w:bCs/>
          <w:kern w:val="2"/>
          <w14:ligatures w14:val="standardContextual"/>
        </w:rPr>
        <w:t xml:space="preserve"> standard dose of </w:t>
      </w:r>
      <w:r>
        <w:rPr>
          <w:rFonts w:ascii="Arial" w:eastAsia="Aptos" w:hAnsi="Arial" w:cs="Arial"/>
          <w:b/>
          <w:bCs/>
          <w:kern w:val="2"/>
          <w14:ligatures w14:val="standardContextual"/>
        </w:rPr>
        <w:t xml:space="preserve"> PLX3397</w:t>
      </w:r>
      <w:r w:rsidRPr="007E2AB1">
        <w:rPr>
          <w:rFonts w:ascii="Arial" w:eastAsia="Aptos" w:hAnsi="Arial" w:cs="Arial"/>
          <w:b/>
          <w:bCs/>
          <w:kern w:val="2"/>
          <w14:ligatures w14:val="standardContextual"/>
        </w:rPr>
        <w:t xml:space="preserve"> </w:t>
      </w:r>
    </w:p>
    <w:p w14:paraId="6697EA39" w14:textId="75F711D4" w:rsidR="0042199A" w:rsidRPr="008F09BA" w:rsidRDefault="007E2AB1" w:rsidP="008F09BA">
      <w:pPr>
        <w:spacing w:after="120" w:line="240" w:lineRule="auto"/>
        <w:rPr>
          <w:rFonts w:ascii="Arial" w:eastAsia="Aptos" w:hAnsi="Arial" w:cs="Arial"/>
          <w:kern w:val="2"/>
          <w14:ligatures w14:val="standardContextual"/>
        </w:rPr>
      </w:pPr>
      <w:r w:rsidRPr="007E2AB1">
        <w:rPr>
          <w:rFonts w:ascii="Arial" w:eastAsia="Aptos" w:hAnsi="Arial" w:cs="Arial"/>
          <w:kern w:val="2"/>
          <w14:ligatures w14:val="standardContextual"/>
        </w:rPr>
        <w:t xml:space="preserve">Representative </w:t>
      </w:r>
      <w:r w:rsidRPr="007E2AB1">
        <w:rPr>
          <w:rFonts w:ascii="Arial" w:eastAsia="Aptos" w:hAnsi="Arial" w:cs="Arial"/>
          <w:i/>
          <w:iCs/>
          <w:kern w:val="2"/>
          <w14:ligatures w14:val="standardContextual"/>
        </w:rPr>
        <w:t>in vivo</w:t>
      </w:r>
      <w:r w:rsidRPr="007E2AB1">
        <w:rPr>
          <w:rFonts w:ascii="Arial" w:eastAsia="Aptos" w:hAnsi="Arial" w:cs="Arial"/>
          <w:kern w:val="2"/>
          <w14:ligatures w14:val="standardContextual"/>
        </w:rPr>
        <w:t xml:space="preserve"> two-photon images of aged 5xFAD microglia during PLX treatment with quantification on the right showing the lack of depletion with </w:t>
      </w:r>
      <w:r w:rsidR="00A96FC2">
        <w:rPr>
          <w:rFonts w:ascii="Arial" w:eastAsia="Aptos" w:hAnsi="Arial" w:cs="Arial"/>
          <w:kern w:val="2"/>
          <w14:ligatures w14:val="standardContextual"/>
        </w:rPr>
        <w:t xml:space="preserve">the </w:t>
      </w:r>
      <w:r w:rsidRPr="007E2AB1">
        <w:rPr>
          <w:rFonts w:ascii="Arial" w:eastAsia="Aptos" w:hAnsi="Arial" w:cs="Arial"/>
          <w:kern w:val="2"/>
          <w14:ligatures w14:val="standardContextual"/>
        </w:rPr>
        <w:t>standard dose PLX in aged mice (9-10 months). Individual animals are displayed as single lines and their averages are shown in bars (n=4). Scale bar = 50μm.</w:t>
      </w:r>
      <w:r>
        <w:fldChar w:fldCharType="begin"/>
      </w:r>
      <w:r>
        <w:instrText xml:space="preserve"> ADDIN EN.REFLIST </w:instrText>
      </w:r>
      <w:r w:rsidR="00000000">
        <w:fldChar w:fldCharType="separate"/>
      </w:r>
      <w:r>
        <w:fldChar w:fldCharType="end"/>
      </w:r>
    </w:p>
    <w:sectPr w:rsidR="0042199A" w:rsidRPr="008F09BA" w:rsidSect="0045021B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FC713" w14:textId="77777777" w:rsidR="002B52DC" w:rsidRDefault="002B52DC" w:rsidP="004D5585">
      <w:pPr>
        <w:spacing w:after="0" w:line="240" w:lineRule="auto"/>
      </w:pPr>
      <w:r>
        <w:separator/>
      </w:r>
    </w:p>
  </w:endnote>
  <w:endnote w:type="continuationSeparator" w:id="0">
    <w:p w14:paraId="169B2122" w14:textId="77777777" w:rsidR="002B52DC" w:rsidRDefault="002B52DC" w:rsidP="004D5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234C7" w14:textId="77777777" w:rsidR="002B52DC" w:rsidRDefault="002B52DC" w:rsidP="004D5585">
      <w:pPr>
        <w:spacing w:after="0" w:line="240" w:lineRule="auto"/>
      </w:pPr>
      <w:r>
        <w:separator/>
      </w:r>
    </w:p>
  </w:footnote>
  <w:footnote w:type="continuationSeparator" w:id="0">
    <w:p w14:paraId="62C73C47" w14:textId="77777777" w:rsidR="002B52DC" w:rsidRDefault="002B52DC" w:rsidP="004D5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td9saeewfetnert03xf200rp5rpvrxedr5&quot;&gt;SetPoint_MS studies&lt;record-ids&gt;&lt;item&gt;20&lt;/item&gt;&lt;item&gt;21&lt;/item&gt;&lt;/record-ids&gt;&lt;/item&gt;&lt;/Libraries&gt;"/>
  </w:docVars>
  <w:rsids>
    <w:rsidRoot w:val="00006D5B"/>
    <w:rsid w:val="00004F5B"/>
    <w:rsid w:val="000051B8"/>
    <w:rsid w:val="00006564"/>
    <w:rsid w:val="00006D5B"/>
    <w:rsid w:val="00007DD2"/>
    <w:rsid w:val="00010683"/>
    <w:rsid w:val="000109D5"/>
    <w:rsid w:val="00010A0B"/>
    <w:rsid w:val="0001240C"/>
    <w:rsid w:val="000218B3"/>
    <w:rsid w:val="00022BFE"/>
    <w:rsid w:val="00034D69"/>
    <w:rsid w:val="0004187B"/>
    <w:rsid w:val="00043BFD"/>
    <w:rsid w:val="000465CA"/>
    <w:rsid w:val="0005055F"/>
    <w:rsid w:val="00050B11"/>
    <w:rsid w:val="00051386"/>
    <w:rsid w:val="00056991"/>
    <w:rsid w:val="00061E96"/>
    <w:rsid w:val="0006328D"/>
    <w:rsid w:val="00063BD4"/>
    <w:rsid w:val="000665F3"/>
    <w:rsid w:val="000675D0"/>
    <w:rsid w:val="0007142E"/>
    <w:rsid w:val="00074F73"/>
    <w:rsid w:val="00082D86"/>
    <w:rsid w:val="00084427"/>
    <w:rsid w:val="000A272D"/>
    <w:rsid w:val="000A341C"/>
    <w:rsid w:val="000A4395"/>
    <w:rsid w:val="000A6586"/>
    <w:rsid w:val="000A7EFB"/>
    <w:rsid w:val="000C2338"/>
    <w:rsid w:val="000D2508"/>
    <w:rsid w:val="000D56C9"/>
    <w:rsid w:val="000D7CAD"/>
    <w:rsid w:val="000E42D9"/>
    <w:rsid w:val="000E454A"/>
    <w:rsid w:val="000E5D5F"/>
    <w:rsid w:val="000E7230"/>
    <w:rsid w:val="000F60F8"/>
    <w:rsid w:val="000F69F5"/>
    <w:rsid w:val="0010010F"/>
    <w:rsid w:val="00105D9A"/>
    <w:rsid w:val="00111AD0"/>
    <w:rsid w:val="00113216"/>
    <w:rsid w:val="00120C14"/>
    <w:rsid w:val="001259DD"/>
    <w:rsid w:val="001332D5"/>
    <w:rsid w:val="00133DBF"/>
    <w:rsid w:val="00135264"/>
    <w:rsid w:val="001352FE"/>
    <w:rsid w:val="00144104"/>
    <w:rsid w:val="00154F9E"/>
    <w:rsid w:val="00155CEE"/>
    <w:rsid w:val="001606DA"/>
    <w:rsid w:val="00164716"/>
    <w:rsid w:val="00164D4B"/>
    <w:rsid w:val="001742F9"/>
    <w:rsid w:val="00182E32"/>
    <w:rsid w:val="00182F20"/>
    <w:rsid w:val="0019485F"/>
    <w:rsid w:val="00194C0D"/>
    <w:rsid w:val="00195029"/>
    <w:rsid w:val="00197EC2"/>
    <w:rsid w:val="001A33FB"/>
    <w:rsid w:val="001A6238"/>
    <w:rsid w:val="001B0ED3"/>
    <w:rsid w:val="001B2658"/>
    <w:rsid w:val="001B4EC8"/>
    <w:rsid w:val="001B6229"/>
    <w:rsid w:val="001C2642"/>
    <w:rsid w:val="001C5B86"/>
    <w:rsid w:val="001D4597"/>
    <w:rsid w:val="001D7807"/>
    <w:rsid w:val="001F0E55"/>
    <w:rsid w:val="001F36F5"/>
    <w:rsid w:val="00200550"/>
    <w:rsid w:val="00202455"/>
    <w:rsid w:val="0020330F"/>
    <w:rsid w:val="00206047"/>
    <w:rsid w:val="00212904"/>
    <w:rsid w:val="00212DF6"/>
    <w:rsid w:val="00220D9E"/>
    <w:rsid w:val="00221538"/>
    <w:rsid w:val="00231CDC"/>
    <w:rsid w:val="00234512"/>
    <w:rsid w:val="00236A16"/>
    <w:rsid w:val="00254CED"/>
    <w:rsid w:val="0026262D"/>
    <w:rsid w:val="00264C66"/>
    <w:rsid w:val="002745A7"/>
    <w:rsid w:val="00274E40"/>
    <w:rsid w:val="0027726E"/>
    <w:rsid w:val="002907AF"/>
    <w:rsid w:val="00293204"/>
    <w:rsid w:val="00293484"/>
    <w:rsid w:val="0029438E"/>
    <w:rsid w:val="00297AB5"/>
    <w:rsid w:val="002A49D3"/>
    <w:rsid w:val="002A6168"/>
    <w:rsid w:val="002A7C90"/>
    <w:rsid w:val="002B0267"/>
    <w:rsid w:val="002B33D5"/>
    <w:rsid w:val="002B491B"/>
    <w:rsid w:val="002B52DC"/>
    <w:rsid w:val="002B5DFA"/>
    <w:rsid w:val="002B602A"/>
    <w:rsid w:val="002B6B12"/>
    <w:rsid w:val="002C100F"/>
    <w:rsid w:val="002C4088"/>
    <w:rsid w:val="002D37C9"/>
    <w:rsid w:val="002E6208"/>
    <w:rsid w:val="002E6428"/>
    <w:rsid w:val="002E6FEA"/>
    <w:rsid w:val="00300054"/>
    <w:rsid w:val="00300F54"/>
    <w:rsid w:val="003044B9"/>
    <w:rsid w:val="0031327E"/>
    <w:rsid w:val="003157A4"/>
    <w:rsid w:val="00321F07"/>
    <w:rsid w:val="00324C1E"/>
    <w:rsid w:val="00330C05"/>
    <w:rsid w:val="00341B25"/>
    <w:rsid w:val="0034310A"/>
    <w:rsid w:val="00354D15"/>
    <w:rsid w:val="00356448"/>
    <w:rsid w:val="003575B2"/>
    <w:rsid w:val="0036113A"/>
    <w:rsid w:val="003626ED"/>
    <w:rsid w:val="00370F42"/>
    <w:rsid w:val="003710C5"/>
    <w:rsid w:val="003813E0"/>
    <w:rsid w:val="003851CB"/>
    <w:rsid w:val="00390541"/>
    <w:rsid w:val="003913AC"/>
    <w:rsid w:val="00391963"/>
    <w:rsid w:val="003933AA"/>
    <w:rsid w:val="003937F1"/>
    <w:rsid w:val="00395EB9"/>
    <w:rsid w:val="003A135D"/>
    <w:rsid w:val="003B47FA"/>
    <w:rsid w:val="003B6D78"/>
    <w:rsid w:val="003C1E44"/>
    <w:rsid w:val="003C417B"/>
    <w:rsid w:val="003C549D"/>
    <w:rsid w:val="003C67F9"/>
    <w:rsid w:val="003D06AE"/>
    <w:rsid w:val="003D1791"/>
    <w:rsid w:val="003D24E3"/>
    <w:rsid w:val="003D4F32"/>
    <w:rsid w:val="003D5692"/>
    <w:rsid w:val="003E0106"/>
    <w:rsid w:val="003E43C6"/>
    <w:rsid w:val="003E7F29"/>
    <w:rsid w:val="003F29E5"/>
    <w:rsid w:val="003F4AF1"/>
    <w:rsid w:val="003F7A05"/>
    <w:rsid w:val="00401024"/>
    <w:rsid w:val="00402AFA"/>
    <w:rsid w:val="00403FC5"/>
    <w:rsid w:val="004057B6"/>
    <w:rsid w:val="0040743C"/>
    <w:rsid w:val="00411B95"/>
    <w:rsid w:val="0042199A"/>
    <w:rsid w:val="00421BDD"/>
    <w:rsid w:val="00427B99"/>
    <w:rsid w:val="004331E5"/>
    <w:rsid w:val="0044390D"/>
    <w:rsid w:val="00445B03"/>
    <w:rsid w:val="00446388"/>
    <w:rsid w:val="00446E7A"/>
    <w:rsid w:val="0045021B"/>
    <w:rsid w:val="004513AA"/>
    <w:rsid w:val="0045482A"/>
    <w:rsid w:val="00455241"/>
    <w:rsid w:val="00456B6E"/>
    <w:rsid w:val="004827B4"/>
    <w:rsid w:val="0048541D"/>
    <w:rsid w:val="00493F92"/>
    <w:rsid w:val="00495EE4"/>
    <w:rsid w:val="00495FA9"/>
    <w:rsid w:val="004A106A"/>
    <w:rsid w:val="004A17B6"/>
    <w:rsid w:val="004A3201"/>
    <w:rsid w:val="004A32F8"/>
    <w:rsid w:val="004A5987"/>
    <w:rsid w:val="004B009A"/>
    <w:rsid w:val="004B02B5"/>
    <w:rsid w:val="004B28CB"/>
    <w:rsid w:val="004B5632"/>
    <w:rsid w:val="004C518F"/>
    <w:rsid w:val="004C5FF1"/>
    <w:rsid w:val="004C6A99"/>
    <w:rsid w:val="004D4AB7"/>
    <w:rsid w:val="004D5585"/>
    <w:rsid w:val="004E15CC"/>
    <w:rsid w:val="004E39C9"/>
    <w:rsid w:val="004E5E37"/>
    <w:rsid w:val="004E65C3"/>
    <w:rsid w:val="00500F27"/>
    <w:rsid w:val="00512659"/>
    <w:rsid w:val="00514012"/>
    <w:rsid w:val="00515970"/>
    <w:rsid w:val="00515E11"/>
    <w:rsid w:val="00520BD1"/>
    <w:rsid w:val="00525A0B"/>
    <w:rsid w:val="00525B0F"/>
    <w:rsid w:val="00532C43"/>
    <w:rsid w:val="00535920"/>
    <w:rsid w:val="00540A38"/>
    <w:rsid w:val="0054355C"/>
    <w:rsid w:val="00546B74"/>
    <w:rsid w:val="005502BF"/>
    <w:rsid w:val="005504B7"/>
    <w:rsid w:val="00551FCB"/>
    <w:rsid w:val="00552D3D"/>
    <w:rsid w:val="00554FBF"/>
    <w:rsid w:val="00556FE1"/>
    <w:rsid w:val="00562847"/>
    <w:rsid w:val="005671EB"/>
    <w:rsid w:val="00572382"/>
    <w:rsid w:val="00577758"/>
    <w:rsid w:val="005839E3"/>
    <w:rsid w:val="00583BF7"/>
    <w:rsid w:val="005914D6"/>
    <w:rsid w:val="00595CF1"/>
    <w:rsid w:val="005A0E1A"/>
    <w:rsid w:val="005A3214"/>
    <w:rsid w:val="005A5F40"/>
    <w:rsid w:val="005B0A0C"/>
    <w:rsid w:val="005B1A44"/>
    <w:rsid w:val="005B4B0C"/>
    <w:rsid w:val="005C08F9"/>
    <w:rsid w:val="005C11EF"/>
    <w:rsid w:val="005C1610"/>
    <w:rsid w:val="005C42A6"/>
    <w:rsid w:val="005D25F7"/>
    <w:rsid w:val="005D2626"/>
    <w:rsid w:val="005D4E14"/>
    <w:rsid w:val="005E3E36"/>
    <w:rsid w:val="005E709C"/>
    <w:rsid w:val="005F4746"/>
    <w:rsid w:val="005F7CAB"/>
    <w:rsid w:val="0060604F"/>
    <w:rsid w:val="00611EC7"/>
    <w:rsid w:val="00612A05"/>
    <w:rsid w:val="00612A27"/>
    <w:rsid w:val="00615155"/>
    <w:rsid w:val="00627EE3"/>
    <w:rsid w:val="0063295E"/>
    <w:rsid w:val="006411D8"/>
    <w:rsid w:val="0064410A"/>
    <w:rsid w:val="00650C1C"/>
    <w:rsid w:val="006548C2"/>
    <w:rsid w:val="00662170"/>
    <w:rsid w:val="006653D0"/>
    <w:rsid w:val="0066598F"/>
    <w:rsid w:val="00666316"/>
    <w:rsid w:val="00671BD8"/>
    <w:rsid w:val="006806D8"/>
    <w:rsid w:val="00680968"/>
    <w:rsid w:val="00680C2E"/>
    <w:rsid w:val="00682F01"/>
    <w:rsid w:val="006A0115"/>
    <w:rsid w:val="006A07F0"/>
    <w:rsid w:val="006A4611"/>
    <w:rsid w:val="006A5900"/>
    <w:rsid w:val="006A7C8E"/>
    <w:rsid w:val="006C3EFA"/>
    <w:rsid w:val="006C585D"/>
    <w:rsid w:val="006C6B5B"/>
    <w:rsid w:val="006C7548"/>
    <w:rsid w:val="006D2419"/>
    <w:rsid w:val="006D24FC"/>
    <w:rsid w:val="006D2CA7"/>
    <w:rsid w:val="006D36FD"/>
    <w:rsid w:val="006D4EAE"/>
    <w:rsid w:val="006E0A67"/>
    <w:rsid w:val="006E31FF"/>
    <w:rsid w:val="006E3B16"/>
    <w:rsid w:val="006E3F74"/>
    <w:rsid w:val="006E5A42"/>
    <w:rsid w:val="006E634C"/>
    <w:rsid w:val="006E7115"/>
    <w:rsid w:val="006F2183"/>
    <w:rsid w:val="006F3ED4"/>
    <w:rsid w:val="006F78E9"/>
    <w:rsid w:val="007005AA"/>
    <w:rsid w:val="007010F3"/>
    <w:rsid w:val="00710C1B"/>
    <w:rsid w:val="00712F74"/>
    <w:rsid w:val="007139A8"/>
    <w:rsid w:val="00713F2B"/>
    <w:rsid w:val="00713FF1"/>
    <w:rsid w:val="00717F40"/>
    <w:rsid w:val="00720072"/>
    <w:rsid w:val="00721247"/>
    <w:rsid w:val="007254F0"/>
    <w:rsid w:val="0073353D"/>
    <w:rsid w:val="0073361D"/>
    <w:rsid w:val="007375B8"/>
    <w:rsid w:val="00737B0A"/>
    <w:rsid w:val="00740E73"/>
    <w:rsid w:val="00744D4E"/>
    <w:rsid w:val="00756D8E"/>
    <w:rsid w:val="00764CCC"/>
    <w:rsid w:val="0078038C"/>
    <w:rsid w:val="0079026E"/>
    <w:rsid w:val="00793B2E"/>
    <w:rsid w:val="00795C0B"/>
    <w:rsid w:val="007A039D"/>
    <w:rsid w:val="007B354E"/>
    <w:rsid w:val="007B457D"/>
    <w:rsid w:val="007B6560"/>
    <w:rsid w:val="007C0F59"/>
    <w:rsid w:val="007C4E1D"/>
    <w:rsid w:val="007D4478"/>
    <w:rsid w:val="007D52C9"/>
    <w:rsid w:val="007E1396"/>
    <w:rsid w:val="007E1669"/>
    <w:rsid w:val="007E1CBB"/>
    <w:rsid w:val="007E2AB1"/>
    <w:rsid w:val="007E5161"/>
    <w:rsid w:val="007F110D"/>
    <w:rsid w:val="007F30BE"/>
    <w:rsid w:val="007F68F1"/>
    <w:rsid w:val="00803226"/>
    <w:rsid w:val="00803C76"/>
    <w:rsid w:val="00810BB4"/>
    <w:rsid w:val="00815FBE"/>
    <w:rsid w:val="008204FB"/>
    <w:rsid w:val="0082627B"/>
    <w:rsid w:val="00826874"/>
    <w:rsid w:val="00826C02"/>
    <w:rsid w:val="00830463"/>
    <w:rsid w:val="008326AC"/>
    <w:rsid w:val="00837F3E"/>
    <w:rsid w:val="00844BD9"/>
    <w:rsid w:val="00851168"/>
    <w:rsid w:val="008539AC"/>
    <w:rsid w:val="008657EE"/>
    <w:rsid w:val="00880707"/>
    <w:rsid w:val="00881356"/>
    <w:rsid w:val="00881E75"/>
    <w:rsid w:val="0088630B"/>
    <w:rsid w:val="00886BBD"/>
    <w:rsid w:val="00887C38"/>
    <w:rsid w:val="008934A5"/>
    <w:rsid w:val="0089731E"/>
    <w:rsid w:val="008B0C64"/>
    <w:rsid w:val="008B6213"/>
    <w:rsid w:val="008C0D62"/>
    <w:rsid w:val="008C40BA"/>
    <w:rsid w:val="008C40D3"/>
    <w:rsid w:val="008C42A7"/>
    <w:rsid w:val="008C4E27"/>
    <w:rsid w:val="008C6291"/>
    <w:rsid w:val="008C64A1"/>
    <w:rsid w:val="008C7C7D"/>
    <w:rsid w:val="008D37DF"/>
    <w:rsid w:val="008D5B68"/>
    <w:rsid w:val="008D5F8C"/>
    <w:rsid w:val="008E15DC"/>
    <w:rsid w:val="008E247C"/>
    <w:rsid w:val="008E3AC4"/>
    <w:rsid w:val="008E5231"/>
    <w:rsid w:val="008F09BA"/>
    <w:rsid w:val="008F17A4"/>
    <w:rsid w:val="008F1FE8"/>
    <w:rsid w:val="009028D0"/>
    <w:rsid w:val="00903593"/>
    <w:rsid w:val="00904B28"/>
    <w:rsid w:val="00905D9C"/>
    <w:rsid w:val="00906705"/>
    <w:rsid w:val="00906B31"/>
    <w:rsid w:val="00910B91"/>
    <w:rsid w:val="00915813"/>
    <w:rsid w:val="0091589A"/>
    <w:rsid w:val="009165FC"/>
    <w:rsid w:val="009222F4"/>
    <w:rsid w:val="009319AF"/>
    <w:rsid w:val="00933D86"/>
    <w:rsid w:val="0093429F"/>
    <w:rsid w:val="00935B34"/>
    <w:rsid w:val="009376A9"/>
    <w:rsid w:val="009376FB"/>
    <w:rsid w:val="00944B69"/>
    <w:rsid w:val="009466DB"/>
    <w:rsid w:val="00947DCD"/>
    <w:rsid w:val="009510F9"/>
    <w:rsid w:val="00953DFF"/>
    <w:rsid w:val="009576D3"/>
    <w:rsid w:val="00960141"/>
    <w:rsid w:val="0096382B"/>
    <w:rsid w:val="00964079"/>
    <w:rsid w:val="00967A62"/>
    <w:rsid w:val="009723AB"/>
    <w:rsid w:val="00973061"/>
    <w:rsid w:val="0097454F"/>
    <w:rsid w:val="00974A03"/>
    <w:rsid w:val="00976C7E"/>
    <w:rsid w:val="009816D3"/>
    <w:rsid w:val="00982941"/>
    <w:rsid w:val="00985575"/>
    <w:rsid w:val="00985A15"/>
    <w:rsid w:val="009907C5"/>
    <w:rsid w:val="00994832"/>
    <w:rsid w:val="0099641E"/>
    <w:rsid w:val="009A120D"/>
    <w:rsid w:val="009A39BE"/>
    <w:rsid w:val="009A6E6D"/>
    <w:rsid w:val="009A75F5"/>
    <w:rsid w:val="009B7BE4"/>
    <w:rsid w:val="009C3596"/>
    <w:rsid w:val="009C5B93"/>
    <w:rsid w:val="009D0181"/>
    <w:rsid w:val="009D1718"/>
    <w:rsid w:val="009D6AFD"/>
    <w:rsid w:val="009E7C15"/>
    <w:rsid w:val="009F0761"/>
    <w:rsid w:val="009F12D4"/>
    <w:rsid w:val="009F2689"/>
    <w:rsid w:val="009F3562"/>
    <w:rsid w:val="009F358F"/>
    <w:rsid w:val="009F52FA"/>
    <w:rsid w:val="009F6D31"/>
    <w:rsid w:val="009F777A"/>
    <w:rsid w:val="00A05079"/>
    <w:rsid w:val="00A13B89"/>
    <w:rsid w:val="00A14377"/>
    <w:rsid w:val="00A167C6"/>
    <w:rsid w:val="00A17123"/>
    <w:rsid w:val="00A2604E"/>
    <w:rsid w:val="00A30A8E"/>
    <w:rsid w:val="00A30BCE"/>
    <w:rsid w:val="00A34375"/>
    <w:rsid w:val="00A35E51"/>
    <w:rsid w:val="00A36A87"/>
    <w:rsid w:val="00A40D66"/>
    <w:rsid w:val="00A44F2A"/>
    <w:rsid w:val="00A45C85"/>
    <w:rsid w:val="00A47C9E"/>
    <w:rsid w:val="00A55DA8"/>
    <w:rsid w:val="00A624ED"/>
    <w:rsid w:val="00A6397B"/>
    <w:rsid w:val="00A65728"/>
    <w:rsid w:val="00A719D6"/>
    <w:rsid w:val="00A739AD"/>
    <w:rsid w:val="00A75C7A"/>
    <w:rsid w:val="00A76B24"/>
    <w:rsid w:val="00A77A8F"/>
    <w:rsid w:val="00A809CD"/>
    <w:rsid w:val="00A822FA"/>
    <w:rsid w:val="00A86118"/>
    <w:rsid w:val="00A90C36"/>
    <w:rsid w:val="00A91552"/>
    <w:rsid w:val="00A95713"/>
    <w:rsid w:val="00A95F3D"/>
    <w:rsid w:val="00A96FC2"/>
    <w:rsid w:val="00AA1A2E"/>
    <w:rsid w:val="00AA424C"/>
    <w:rsid w:val="00AA7473"/>
    <w:rsid w:val="00AB28B9"/>
    <w:rsid w:val="00AB5692"/>
    <w:rsid w:val="00AB6BA0"/>
    <w:rsid w:val="00AC0387"/>
    <w:rsid w:val="00AC0F4F"/>
    <w:rsid w:val="00AC420F"/>
    <w:rsid w:val="00AC43EE"/>
    <w:rsid w:val="00AC5C11"/>
    <w:rsid w:val="00AC7C78"/>
    <w:rsid w:val="00AD311B"/>
    <w:rsid w:val="00AE0FE0"/>
    <w:rsid w:val="00AF7A99"/>
    <w:rsid w:val="00B04F11"/>
    <w:rsid w:val="00B1132A"/>
    <w:rsid w:val="00B16408"/>
    <w:rsid w:val="00B17B26"/>
    <w:rsid w:val="00B301B5"/>
    <w:rsid w:val="00B3483D"/>
    <w:rsid w:val="00B37681"/>
    <w:rsid w:val="00B417E1"/>
    <w:rsid w:val="00B441A2"/>
    <w:rsid w:val="00B449E1"/>
    <w:rsid w:val="00B570AC"/>
    <w:rsid w:val="00B7513E"/>
    <w:rsid w:val="00B77177"/>
    <w:rsid w:val="00B83428"/>
    <w:rsid w:val="00B924AA"/>
    <w:rsid w:val="00B94EBC"/>
    <w:rsid w:val="00B96CC8"/>
    <w:rsid w:val="00B979D5"/>
    <w:rsid w:val="00BA329B"/>
    <w:rsid w:val="00BA376B"/>
    <w:rsid w:val="00BA480E"/>
    <w:rsid w:val="00BB27D5"/>
    <w:rsid w:val="00BB294E"/>
    <w:rsid w:val="00BC134F"/>
    <w:rsid w:val="00BD101C"/>
    <w:rsid w:val="00BD51CC"/>
    <w:rsid w:val="00BD7293"/>
    <w:rsid w:val="00BE0102"/>
    <w:rsid w:val="00BE355A"/>
    <w:rsid w:val="00BE53A3"/>
    <w:rsid w:val="00BE657C"/>
    <w:rsid w:val="00BE78D6"/>
    <w:rsid w:val="00BF322B"/>
    <w:rsid w:val="00BF61C9"/>
    <w:rsid w:val="00BF6283"/>
    <w:rsid w:val="00BF6706"/>
    <w:rsid w:val="00BF6F8A"/>
    <w:rsid w:val="00C03FE4"/>
    <w:rsid w:val="00C06259"/>
    <w:rsid w:val="00C06699"/>
    <w:rsid w:val="00C10565"/>
    <w:rsid w:val="00C11AB6"/>
    <w:rsid w:val="00C25C4B"/>
    <w:rsid w:val="00C27EE6"/>
    <w:rsid w:val="00C31031"/>
    <w:rsid w:val="00C31EB9"/>
    <w:rsid w:val="00C36B8C"/>
    <w:rsid w:val="00C43D3F"/>
    <w:rsid w:val="00C51877"/>
    <w:rsid w:val="00C54BFA"/>
    <w:rsid w:val="00C556B4"/>
    <w:rsid w:val="00C557A0"/>
    <w:rsid w:val="00C7624E"/>
    <w:rsid w:val="00C7698D"/>
    <w:rsid w:val="00C80EC0"/>
    <w:rsid w:val="00C83F63"/>
    <w:rsid w:val="00C8544A"/>
    <w:rsid w:val="00C86688"/>
    <w:rsid w:val="00C93336"/>
    <w:rsid w:val="00C957C6"/>
    <w:rsid w:val="00C969E0"/>
    <w:rsid w:val="00C97AA8"/>
    <w:rsid w:val="00CA136A"/>
    <w:rsid w:val="00CA5B5A"/>
    <w:rsid w:val="00CA5FCF"/>
    <w:rsid w:val="00CB3E37"/>
    <w:rsid w:val="00CB4802"/>
    <w:rsid w:val="00CB4BAD"/>
    <w:rsid w:val="00CB7580"/>
    <w:rsid w:val="00CC2BBD"/>
    <w:rsid w:val="00CF2C31"/>
    <w:rsid w:val="00CF69D2"/>
    <w:rsid w:val="00D037AD"/>
    <w:rsid w:val="00D07187"/>
    <w:rsid w:val="00D1405B"/>
    <w:rsid w:val="00D27D04"/>
    <w:rsid w:val="00D34A8E"/>
    <w:rsid w:val="00D420BB"/>
    <w:rsid w:val="00D462A1"/>
    <w:rsid w:val="00D50EF9"/>
    <w:rsid w:val="00D51D0D"/>
    <w:rsid w:val="00D52924"/>
    <w:rsid w:val="00D540CF"/>
    <w:rsid w:val="00D5441C"/>
    <w:rsid w:val="00D567C1"/>
    <w:rsid w:val="00D567D8"/>
    <w:rsid w:val="00D57380"/>
    <w:rsid w:val="00D62F6E"/>
    <w:rsid w:val="00D64E76"/>
    <w:rsid w:val="00D746BA"/>
    <w:rsid w:val="00D76D96"/>
    <w:rsid w:val="00D771E7"/>
    <w:rsid w:val="00D779D0"/>
    <w:rsid w:val="00D85C76"/>
    <w:rsid w:val="00D927CD"/>
    <w:rsid w:val="00D92A7D"/>
    <w:rsid w:val="00D934BF"/>
    <w:rsid w:val="00D945D8"/>
    <w:rsid w:val="00D97352"/>
    <w:rsid w:val="00D97D0E"/>
    <w:rsid w:val="00DA77D9"/>
    <w:rsid w:val="00DB59B7"/>
    <w:rsid w:val="00DB75B9"/>
    <w:rsid w:val="00DC3A65"/>
    <w:rsid w:val="00DC7780"/>
    <w:rsid w:val="00DD05C0"/>
    <w:rsid w:val="00DD1934"/>
    <w:rsid w:val="00DD64B5"/>
    <w:rsid w:val="00DE0112"/>
    <w:rsid w:val="00DE0DE6"/>
    <w:rsid w:val="00DE5463"/>
    <w:rsid w:val="00DE6E92"/>
    <w:rsid w:val="00DF5B2A"/>
    <w:rsid w:val="00DF6D7D"/>
    <w:rsid w:val="00E00F46"/>
    <w:rsid w:val="00E02F41"/>
    <w:rsid w:val="00E04C85"/>
    <w:rsid w:val="00E062F8"/>
    <w:rsid w:val="00E06AB7"/>
    <w:rsid w:val="00E0786D"/>
    <w:rsid w:val="00E07BCD"/>
    <w:rsid w:val="00E07C47"/>
    <w:rsid w:val="00E154C1"/>
    <w:rsid w:val="00E16B7E"/>
    <w:rsid w:val="00E30DC6"/>
    <w:rsid w:val="00E31E84"/>
    <w:rsid w:val="00E33F25"/>
    <w:rsid w:val="00E36F47"/>
    <w:rsid w:val="00E43056"/>
    <w:rsid w:val="00E4387F"/>
    <w:rsid w:val="00E44005"/>
    <w:rsid w:val="00E50341"/>
    <w:rsid w:val="00E55576"/>
    <w:rsid w:val="00E55805"/>
    <w:rsid w:val="00E6168A"/>
    <w:rsid w:val="00E66453"/>
    <w:rsid w:val="00E70B08"/>
    <w:rsid w:val="00E7159C"/>
    <w:rsid w:val="00E715B3"/>
    <w:rsid w:val="00E75771"/>
    <w:rsid w:val="00E8492B"/>
    <w:rsid w:val="00E87E08"/>
    <w:rsid w:val="00E9196C"/>
    <w:rsid w:val="00E9335D"/>
    <w:rsid w:val="00EA0395"/>
    <w:rsid w:val="00EA0903"/>
    <w:rsid w:val="00EA68DC"/>
    <w:rsid w:val="00EB1965"/>
    <w:rsid w:val="00ED010C"/>
    <w:rsid w:val="00ED1B67"/>
    <w:rsid w:val="00ED2AEB"/>
    <w:rsid w:val="00ED45CF"/>
    <w:rsid w:val="00ED7391"/>
    <w:rsid w:val="00EE0568"/>
    <w:rsid w:val="00EE0A02"/>
    <w:rsid w:val="00EE5D39"/>
    <w:rsid w:val="00EE673E"/>
    <w:rsid w:val="00EE7AC5"/>
    <w:rsid w:val="00EF20ED"/>
    <w:rsid w:val="00EF32B5"/>
    <w:rsid w:val="00EF38C1"/>
    <w:rsid w:val="00EF3F0E"/>
    <w:rsid w:val="00EF4A40"/>
    <w:rsid w:val="00EF5A6F"/>
    <w:rsid w:val="00F00645"/>
    <w:rsid w:val="00F02A16"/>
    <w:rsid w:val="00F04641"/>
    <w:rsid w:val="00F103A4"/>
    <w:rsid w:val="00F13F1A"/>
    <w:rsid w:val="00F21B7F"/>
    <w:rsid w:val="00F227F3"/>
    <w:rsid w:val="00F34AED"/>
    <w:rsid w:val="00F36D61"/>
    <w:rsid w:val="00F41A04"/>
    <w:rsid w:val="00F4340C"/>
    <w:rsid w:val="00F46169"/>
    <w:rsid w:val="00F54F57"/>
    <w:rsid w:val="00F64CE9"/>
    <w:rsid w:val="00F816F0"/>
    <w:rsid w:val="00F842D2"/>
    <w:rsid w:val="00F844A3"/>
    <w:rsid w:val="00FA1692"/>
    <w:rsid w:val="00FA201E"/>
    <w:rsid w:val="00FA4DDF"/>
    <w:rsid w:val="00FA4F4D"/>
    <w:rsid w:val="00FB263A"/>
    <w:rsid w:val="00FC1134"/>
    <w:rsid w:val="00FD5029"/>
    <w:rsid w:val="00FD7DBD"/>
    <w:rsid w:val="00FE492C"/>
    <w:rsid w:val="00FE5994"/>
    <w:rsid w:val="00FF33B8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117E8"/>
  <w15:docId w15:val="{A644CAD0-11E7-4D50-96A4-A007BBF6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C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0C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40CF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C36B8C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36B8C"/>
    <w:rPr>
      <w:rFonts w:ascii="Arial" w:hAnsi="Arial" w:cs="Arial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36B8C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36B8C"/>
    <w:rPr>
      <w:rFonts w:ascii="Arial" w:hAnsi="Arial" w:cs="Arial"/>
      <w:noProof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D5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58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D5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585"/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D34A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4A8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A8E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0A4395"/>
    <w:pPr>
      <w:spacing w:after="0" w:line="240" w:lineRule="auto"/>
    </w:pPr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15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0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Le, Linh</dc:creator>
  <cp:keywords/>
  <dc:description/>
  <cp:lastModifiedBy>Le, Linh</cp:lastModifiedBy>
  <cp:revision>7</cp:revision>
  <dcterms:created xsi:type="dcterms:W3CDTF">2024-11-07T15:29:00Z</dcterms:created>
  <dcterms:modified xsi:type="dcterms:W3CDTF">2024-11-10T17:16:00Z</dcterms:modified>
</cp:coreProperties>
</file>