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C6658" w14:textId="77777777" w:rsidR="00606159" w:rsidRPr="00607BFB" w:rsidRDefault="00000000">
      <w:pPr>
        <w:rPr>
          <w:rFonts w:ascii="Times New Roman" w:hAnsi="Times New Roman" w:cs="Times New Roman"/>
          <w:b/>
          <w:bCs/>
        </w:rPr>
      </w:pPr>
      <w:r w:rsidRPr="00607BFB">
        <w:rPr>
          <w:rFonts w:ascii="Times New Roman" w:hAnsi="Times New Roman" w:cs="Times New Roman" w:hint="eastAsia"/>
          <w:b/>
          <w:bCs/>
        </w:rPr>
        <w:t>1 Data sources</w:t>
      </w:r>
    </w:p>
    <w:p w14:paraId="391C1404" w14:textId="77777777" w:rsidR="00606159" w:rsidRPr="00607BFB" w:rsidRDefault="00000000">
      <w:pPr>
        <w:spacing w:after="0" w:line="240" w:lineRule="auto"/>
        <w:jc w:val="center"/>
        <w:rPr>
          <w:rFonts w:ascii="Times New Roman" w:eastAsia="宋体" w:hAnsi="Times New Roman" w:cs="Times New Roman"/>
          <w:sz w:val="21"/>
          <w14:ligatures w14:val="none"/>
        </w:rPr>
      </w:pPr>
      <w:r w:rsidRPr="00607BFB">
        <w:rPr>
          <w:rFonts w:ascii="Times New Roman" w:eastAsia="宋体" w:hAnsi="Times New Roman" w:cs="Times New Roman" w:hint="eastAsia"/>
          <w:sz w:val="21"/>
          <w14:ligatures w14:val="none"/>
        </w:rPr>
        <w:t xml:space="preserve">Supplementary </w:t>
      </w:r>
      <w:r w:rsidRPr="00607BFB">
        <w:rPr>
          <w:rFonts w:ascii="Times New Roman" w:eastAsia="宋体" w:hAnsi="Times New Roman" w:cs="Times New Roman"/>
          <w:sz w:val="21"/>
          <w14:ligatures w14:val="none"/>
        </w:rPr>
        <w:t>Table</w:t>
      </w:r>
      <w:r w:rsidRPr="00607BFB">
        <w:rPr>
          <w:rFonts w:ascii="Times New Roman" w:eastAsia="宋体" w:hAnsi="Times New Roman" w:cs="Times New Roman" w:hint="eastAsia"/>
          <w:sz w:val="21"/>
          <w14:ligatures w14:val="none"/>
        </w:rPr>
        <w:t>. Data sources for different components and indicators</w:t>
      </w:r>
    </w:p>
    <w:tbl>
      <w:tblPr>
        <w:tblStyle w:val="ac"/>
        <w:tblW w:w="0" w:type="auto"/>
        <w:tblLook w:val="04A0" w:firstRow="1" w:lastRow="0" w:firstColumn="1" w:lastColumn="0" w:noHBand="0" w:noVBand="1"/>
      </w:tblPr>
      <w:tblGrid>
        <w:gridCol w:w="2689"/>
        <w:gridCol w:w="4252"/>
        <w:gridCol w:w="1355"/>
      </w:tblGrid>
      <w:tr w:rsidR="00606159" w14:paraId="0017438D" w14:textId="77777777">
        <w:tc>
          <w:tcPr>
            <w:tcW w:w="2689" w:type="dxa"/>
            <w:tcBorders>
              <w:top w:val="single" w:sz="4" w:space="0" w:color="auto"/>
              <w:bottom w:val="single" w:sz="4" w:space="0" w:color="auto"/>
            </w:tcBorders>
            <w:shd w:val="clear" w:color="auto" w:fill="FBE5D5"/>
            <w:vAlign w:val="center"/>
          </w:tcPr>
          <w:p w14:paraId="0538A3E4" w14:textId="77777777" w:rsidR="00606159" w:rsidRDefault="00000000">
            <w:pPr>
              <w:spacing w:after="0" w:line="240" w:lineRule="auto"/>
              <w:jc w:val="center"/>
              <w:rPr>
                <w:rFonts w:ascii="Times New Roman" w:eastAsia="宋体" w:hAnsi="Times New Roman" w:cs="Times New Roman"/>
                <w:b/>
                <w:bCs/>
                <w:sz w:val="21"/>
              </w:rPr>
            </w:pPr>
            <w:r>
              <w:rPr>
                <w:rFonts w:ascii="Times New Roman" w:eastAsia="宋体" w:hAnsi="Times New Roman" w:cs="Times New Roman" w:hint="eastAsia"/>
                <w:b/>
                <w:bCs/>
                <w:sz w:val="21"/>
              </w:rPr>
              <w:t>Content and indicators</w:t>
            </w:r>
          </w:p>
        </w:tc>
        <w:tc>
          <w:tcPr>
            <w:tcW w:w="4252" w:type="dxa"/>
            <w:tcBorders>
              <w:top w:val="single" w:sz="4" w:space="0" w:color="auto"/>
              <w:bottom w:val="single" w:sz="4" w:space="0" w:color="auto"/>
            </w:tcBorders>
            <w:shd w:val="clear" w:color="auto" w:fill="FBE5D5"/>
            <w:vAlign w:val="center"/>
          </w:tcPr>
          <w:p w14:paraId="68F40B69" w14:textId="77777777" w:rsidR="00606159" w:rsidRDefault="00000000">
            <w:pPr>
              <w:spacing w:after="0" w:line="240" w:lineRule="auto"/>
              <w:jc w:val="center"/>
              <w:rPr>
                <w:rFonts w:ascii="Times New Roman" w:eastAsia="宋体" w:hAnsi="Times New Roman" w:cs="Times New Roman"/>
                <w:b/>
                <w:bCs/>
                <w:sz w:val="21"/>
              </w:rPr>
            </w:pPr>
            <w:r>
              <w:rPr>
                <w:rFonts w:ascii="Times New Roman" w:eastAsia="宋体" w:hAnsi="Times New Roman" w:cs="Times New Roman" w:hint="eastAsia"/>
                <w:b/>
                <w:bCs/>
                <w:sz w:val="21"/>
              </w:rPr>
              <w:t>Data sources</w:t>
            </w:r>
          </w:p>
        </w:tc>
        <w:tc>
          <w:tcPr>
            <w:tcW w:w="1355" w:type="dxa"/>
            <w:tcBorders>
              <w:top w:val="single" w:sz="4" w:space="0" w:color="auto"/>
              <w:bottom w:val="single" w:sz="4" w:space="0" w:color="auto"/>
            </w:tcBorders>
            <w:shd w:val="clear" w:color="auto" w:fill="FBE5D5"/>
            <w:vAlign w:val="center"/>
          </w:tcPr>
          <w:p w14:paraId="7566B413" w14:textId="77777777" w:rsidR="00606159" w:rsidRDefault="00000000">
            <w:pPr>
              <w:spacing w:after="0" w:line="240" w:lineRule="auto"/>
              <w:jc w:val="center"/>
              <w:rPr>
                <w:rFonts w:ascii="Times New Roman" w:eastAsia="宋体" w:hAnsi="Times New Roman" w:cs="Times New Roman"/>
                <w:b/>
                <w:bCs/>
                <w:sz w:val="21"/>
              </w:rPr>
            </w:pPr>
            <w:r>
              <w:rPr>
                <w:rFonts w:ascii="Times New Roman" w:eastAsia="宋体" w:hAnsi="Times New Roman" w:cs="Times New Roman" w:hint="eastAsia"/>
                <w:b/>
                <w:bCs/>
                <w:sz w:val="21"/>
              </w:rPr>
              <w:t>sample size</w:t>
            </w:r>
          </w:p>
        </w:tc>
      </w:tr>
      <w:tr w:rsidR="00606159" w14:paraId="05239918" w14:textId="77777777">
        <w:tc>
          <w:tcPr>
            <w:tcW w:w="2689" w:type="dxa"/>
            <w:tcBorders>
              <w:top w:val="single" w:sz="4" w:space="0" w:color="auto"/>
            </w:tcBorders>
            <w:vAlign w:val="center"/>
          </w:tcPr>
          <w:p w14:paraId="17873B70"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Mortality level</w:t>
            </w:r>
          </w:p>
        </w:tc>
        <w:tc>
          <w:tcPr>
            <w:tcW w:w="4252" w:type="dxa"/>
            <w:tcBorders>
              <w:top w:val="single" w:sz="4" w:space="0" w:color="auto"/>
            </w:tcBorders>
            <w:vAlign w:val="center"/>
          </w:tcPr>
          <w:p w14:paraId="39FFE88B"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The National Mortality Surveillance (2019)</w:t>
            </w:r>
          </w:p>
        </w:tc>
        <w:tc>
          <w:tcPr>
            <w:tcW w:w="1355" w:type="dxa"/>
            <w:tcBorders>
              <w:top w:val="single" w:sz="4" w:space="0" w:color="auto"/>
            </w:tcBorders>
            <w:vAlign w:val="center"/>
          </w:tcPr>
          <w:p w14:paraId="2988EE1D" w14:textId="77777777" w:rsidR="00606159" w:rsidRDefault="00000000">
            <w:pPr>
              <w:spacing w:after="0" w:line="240" w:lineRule="auto"/>
              <w:jc w:val="center"/>
              <w:rPr>
                <w:rFonts w:ascii="Times New Roman" w:eastAsia="宋体" w:hAnsi="Times New Roman" w:cs="Times New Roman"/>
                <w:sz w:val="21"/>
              </w:rPr>
            </w:pPr>
            <w:r>
              <w:rPr>
                <w:rFonts w:ascii="Times New Roman" w:eastAsia="宋体" w:hAnsi="Times New Roman" w:cs="Times New Roman" w:hint="eastAsia"/>
                <w:sz w:val="21"/>
              </w:rPr>
              <w:t>52,479,359</w:t>
            </w:r>
          </w:p>
        </w:tc>
      </w:tr>
      <w:tr w:rsidR="00606159" w14:paraId="1F03C5CD" w14:textId="77777777">
        <w:tc>
          <w:tcPr>
            <w:tcW w:w="2689" w:type="dxa"/>
            <w:shd w:val="clear" w:color="auto" w:fill="FBE5D5"/>
            <w:vAlign w:val="center"/>
          </w:tcPr>
          <w:p w14:paraId="41B4D6EE"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Burden of disease</w:t>
            </w:r>
          </w:p>
        </w:tc>
        <w:tc>
          <w:tcPr>
            <w:tcW w:w="4252" w:type="dxa"/>
            <w:shd w:val="clear" w:color="auto" w:fill="FBE5D5"/>
            <w:vAlign w:val="center"/>
          </w:tcPr>
          <w:p w14:paraId="51A63E8E"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The provincial data of China from the 2019 GBD</w:t>
            </w:r>
          </w:p>
        </w:tc>
        <w:tc>
          <w:tcPr>
            <w:tcW w:w="1355" w:type="dxa"/>
            <w:shd w:val="clear" w:color="auto" w:fill="FBE5D5"/>
            <w:vAlign w:val="center"/>
          </w:tcPr>
          <w:p w14:paraId="71BA9C1C" w14:textId="77777777" w:rsidR="00606159" w:rsidRDefault="00000000">
            <w:pPr>
              <w:spacing w:after="0" w:line="240" w:lineRule="auto"/>
              <w:jc w:val="center"/>
              <w:rPr>
                <w:rFonts w:ascii="Times New Roman" w:eastAsia="宋体" w:hAnsi="Times New Roman" w:cs="Times New Roman"/>
                <w:sz w:val="21"/>
              </w:rPr>
            </w:pPr>
            <w:r>
              <w:rPr>
                <w:rFonts w:ascii="Times New Roman" w:eastAsia="宋体" w:hAnsi="Times New Roman" w:cs="Times New Roman" w:hint="eastAsia"/>
                <w:sz w:val="21"/>
              </w:rPr>
              <w:t>52,479,359</w:t>
            </w:r>
          </w:p>
        </w:tc>
      </w:tr>
      <w:tr w:rsidR="00606159" w14:paraId="023399FE" w14:textId="77777777">
        <w:tc>
          <w:tcPr>
            <w:tcW w:w="2689" w:type="dxa"/>
            <w:vAlign w:val="center"/>
          </w:tcPr>
          <w:p w14:paraId="6EC8050A"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Major risk factors for chronic diseases</w:t>
            </w:r>
          </w:p>
        </w:tc>
        <w:tc>
          <w:tcPr>
            <w:tcW w:w="4252" w:type="dxa"/>
            <w:vAlign w:val="center"/>
          </w:tcPr>
          <w:p w14:paraId="0A7639FC"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The China Chronic Disease and Risk Factor Surveillance (2018)</w:t>
            </w:r>
          </w:p>
        </w:tc>
        <w:tc>
          <w:tcPr>
            <w:tcW w:w="1355" w:type="dxa"/>
            <w:vAlign w:val="center"/>
          </w:tcPr>
          <w:p w14:paraId="749B3B01" w14:textId="77777777" w:rsidR="00606159" w:rsidRDefault="00000000">
            <w:pPr>
              <w:spacing w:after="0" w:line="240" w:lineRule="auto"/>
              <w:jc w:val="center"/>
              <w:rPr>
                <w:rFonts w:ascii="Times New Roman" w:eastAsia="宋体" w:hAnsi="Times New Roman" w:cs="Times New Roman"/>
                <w:sz w:val="21"/>
              </w:rPr>
            </w:pPr>
            <w:r>
              <w:rPr>
                <w:rFonts w:ascii="Times New Roman" w:eastAsia="宋体" w:hAnsi="Times New Roman" w:cs="Times New Roman" w:hint="eastAsia"/>
                <w:sz w:val="21"/>
              </w:rPr>
              <w:t>74,426</w:t>
            </w:r>
          </w:p>
        </w:tc>
      </w:tr>
      <w:tr w:rsidR="00606159" w14:paraId="3DC5FEE5" w14:textId="77777777">
        <w:tc>
          <w:tcPr>
            <w:tcW w:w="2689" w:type="dxa"/>
            <w:tcBorders>
              <w:bottom w:val="single" w:sz="4" w:space="0" w:color="auto"/>
            </w:tcBorders>
            <w:shd w:val="clear" w:color="auto" w:fill="FBE5D5"/>
            <w:vAlign w:val="center"/>
          </w:tcPr>
          <w:p w14:paraId="10A745DF"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Disability and dysfunction</w:t>
            </w:r>
          </w:p>
        </w:tc>
        <w:tc>
          <w:tcPr>
            <w:tcW w:w="4252" w:type="dxa"/>
            <w:tcBorders>
              <w:bottom w:val="single" w:sz="4" w:space="0" w:color="auto"/>
            </w:tcBorders>
            <w:shd w:val="clear" w:color="auto" w:fill="FBE5D5"/>
            <w:vAlign w:val="center"/>
          </w:tcPr>
          <w:p w14:paraId="7C303003"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T</w:t>
            </w:r>
            <w:r>
              <w:rPr>
                <w:rFonts w:ascii="Times New Roman" w:eastAsia="宋体" w:hAnsi="Times New Roman" w:cs="Times New Roman"/>
                <w:sz w:val="21"/>
              </w:rPr>
              <w:t>he Prevention and Intervention on Neurodegenerative Disease for the Elderly in China (PINDEC) program</w:t>
            </w:r>
            <w:r>
              <w:rPr>
                <w:rFonts w:ascii="Times New Roman" w:eastAsia="宋体" w:hAnsi="Times New Roman" w:cs="Times New Roman" w:hint="eastAsia"/>
                <w:sz w:val="21"/>
              </w:rPr>
              <w:t>,</w:t>
            </w:r>
          </w:p>
          <w:p w14:paraId="5FAED62E" w14:textId="77777777" w:rsidR="00606159" w:rsidRDefault="00000000">
            <w:pPr>
              <w:spacing w:after="0" w:line="240" w:lineRule="auto"/>
              <w:jc w:val="both"/>
              <w:rPr>
                <w:rFonts w:ascii="Times New Roman" w:eastAsia="宋体" w:hAnsi="Times New Roman" w:cs="Times New Roman"/>
                <w:sz w:val="21"/>
              </w:rPr>
            </w:pPr>
            <w:r>
              <w:rPr>
                <w:rFonts w:ascii="Times New Roman" w:eastAsia="宋体" w:hAnsi="Times New Roman" w:cs="Times New Roman" w:hint="eastAsia"/>
                <w:sz w:val="21"/>
              </w:rPr>
              <w:t>The China Osteoporosis Epidemiology Survey (2018).</w:t>
            </w:r>
          </w:p>
        </w:tc>
        <w:tc>
          <w:tcPr>
            <w:tcW w:w="1355" w:type="dxa"/>
            <w:tcBorders>
              <w:bottom w:val="single" w:sz="4" w:space="0" w:color="auto"/>
            </w:tcBorders>
            <w:shd w:val="clear" w:color="auto" w:fill="FBE5D5"/>
            <w:vAlign w:val="center"/>
          </w:tcPr>
          <w:p w14:paraId="515B7C8D" w14:textId="77777777" w:rsidR="00606159" w:rsidRDefault="00000000">
            <w:pPr>
              <w:spacing w:after="0" w:line="240" w:lineRule="auto"/>
              <w:jc w:val="center"/>
              <w:rPr>
                <w:rFonts w:ascii="Times New Roman" w:eastAsia="宋体" w:hAnsi="Times New Roman" w:cs="Times New Roman"/>
                <w:sz w:val="21"/>
              </w:rPr>
            </w:pPr>
            <w:r>
              <w:rPr>
                <w:rFonts w:ascii="Times New Roman" w:eastAsia="宋体" w:hAnsi="Times New Roman" w:cs="Times New Roman" w:hint="eastAsia"/>
                <w:sz w:val="21"/>
              </w:rPr>
              <w:t>38,533</w:t>
            </w:r>
          </w:p>
        </w:tc>
      </w:tr>
    </w:tbl>
    <w:p w14:paraId="09670BD7" w14:textId="77777777" w:rsidR="00606159" w:rsidRDefault="00606159">
      <w:pPr>
        <w:rPr>
          <w:rFonts w:ascii="Times New Roman" w:hAnsi="Times New Roman" w:cs="Times New Roman"/>
          <w:b/>
          <w:bCs/>
        </w:rPr>
      </w:pPr>
    </w:p>
    <w:p w14:paraId="404DEE55"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 </w:t>
      </w:r>
      <w:r>
        <w:rPr>
          <w:rFonts w:ascii="Times New Roman" w:hAnsi="Times New Roman" w:cs="Times New Roman"/>
          <w:b/>
          <w:bCs/>
        </w:rPr>
        <w:t>Definition of indicators</w:t>
      </w:r>
    </w:p>
    <w:p w14:paraId="72C20982" w14:textId="77777777" w:rsidR="00606159" w:rsidRDefault="00000000">
      <w:pPr>
        <w:pStyle w:val="af"/>
        <w:ind w:left="440" w:hanging="440"/>
        <w:rPr>
          <w:rFonts w:ascii="Times New Roman" w:hAnsi="Times New Roman" w:cs="Times New Roman"/>
          <w:b/>
          <w:bCs/>
        </w:rPr>
      </w:pPr>
      <w:r>
        <w:rPr>
          <w:rFonts w:ascii="Times New Roman" w:hAnsi="Times New Roman" w:cs="Times New Roman" w:hint="eastAsia"/>
          <w:b/>
          <w:bCs/>
        </w:rPr>
        <w:t xml:space="preserve">2.1 </w:t>
      </w:r>
      <w:r>
        <w:rPr>
          <w:rFonts w:ascii="Times New Roman" w:hAnsi="Times New Roman" w:cs="Times New Roman"/>
          <w:b/>
          <w:bCs/>
        </w:rPr>
        <w:t>Mortality and burden of disease</w:t>
      </w:r>
    </w:p>
    <w:p w14:paraId="5ADDE08D"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2.1.1 </w:t>
      </w:r>
      <w:r>
        <w:rPr>
          <w:rFonts w:ascii="Times New Roman" w:hAnsi="Times New Roman" w:cs="Times New Roman"/>
          <w:b/>
          <w:bCs/>
        </w:rPr>
        <w:t>Mortality rate, sex, cause-specific mortality rates</w:t>
      </w:r>
    </w:p>
    <w:p w14:paraId="1FEEEEB2" w14:textId="77777777" w:rsidR="00606159" w:rsidRDefault="00000000">
      <w:pPr>
        <w:rPr>
          <w:rFonts w:ascii="Times New Roman" w:hAnsi="Times New Roman" w:cs="Times New Roman"/>
        </w:rPr>
      </w:pPr>
      <w:r>
        <w:rPr>
          <w:rFonts w:ascii="Times New Roman" w:hAnsi="Times New Roman" w:cs="Times New Roman"/>
        </w:rPr>
        <w:t>Mortality rate</w:t>
      </w:r>
      <w:r>
        <w:rPr>
          <w:rFonts w:ascii="Times New Roman" w:hAnsi="Times New Roman" w:cs="Times New Roman" w:hint="eastAsia"/>
        </w:rPr>
        <w:t>=</w:t>
      </w:r>
      <w:r>
        <w:t xml:space="preserve"> </w:t>
      </w:r>
      <w:r>
        <w:rPr>
          <w:rFonts w:ascii="Times New Roman" w:hAnsi="Times New Roman" w:cs="Times New Roman"/>
        </w:rPr>
        <w:t>number of deaths</w:t>
      </w:r>
      <w:r>
        <w:rPr>
          <w:rFonts w:ascii="Times New Roman" w:hAnsi="Times New Roman" w:cs="Times New Roman" w:hint="eastAsia"/>
        </w:rPr>
        <w:t>/</w:t>
      </w:r>
      <w:r>
        <w:t xml:space="preserve"> </w:t>
      </w:r>
      <w:r>
        <w:rPr>
          <w:rFonts w:ascii="Times New Roman" w:hAnsi="Times New Roman" w:cs="Times New Roman"/>
        </w:rPr>
        <w:t>size of population</w:t>
      </w:r>
      <w:r>
        <w:rPr>
          <w:rFonts w:hint="eastAsia"/>
        </w:rPr>
        <w:t>×</w:t>
      </w:r>
      <w:r>
        <w:rPr>
          <w:rFonts w:ascii="Times New Roman" w:hAnsi="Times New Roman" w:cs="Times New Roman"/>
        </w:rPr>
        <w:t>100</w:t>
      </w:r>
      <w:r>
        <w:rPr>
          <w:rFonts w:ascii="Times New Roman" w:hAnsi="Times New Roman" w:cs="Times New Roman" w:hint="eastAsia"/>
        </w:rPr>
        <w:t xml:space="preserve"> </w:t>
      </w:r>
      <w:r>
        <w:rPr>
          <w:rFonts w:ascii="Times New Roman" w:hAnsi="Times New Roman" w:cs="Times New Roman"/>
        </w:rPr>
        <w:t>000</w:t>
      </w:r>
    </w:p>
    <w:p w14:paraId="1E91D60E" w14:textId="77777777" w:rsidR="00606159" w:rsidRDefault="00000000">
      <w:pPr>
        <w:rPr>
          <w:rFonts w:ascii="Times New Roman" w:hAnsi="Times New Roman" w:cs="Times New Roman"/>
        </w:rPr>
      </w:pPr>
      <w:r>
        <w:rPr>
          <w:rFonts w:ascii="Times New Roman" w:hAnsi="Times New Roman" w:cs="Times New Roman"/>
        </w:rPr>
        <w:t>In the case of sex-specific mortality rates, the corresponding number of deaths is the number of deaths of a particular sex and the corresponding number of people is the number of people of a particular sex. In the case of cause-specific mortality rates, the corresponding number of deaths is the number of deaths due to a particular cause, and the corresponding number of people is the same as the number of people used in the calculation of the mortality rate.</w:t>
      </w:r>
    </w:p>
    <w:p w14:paraId="799C8D36" w14:textId="77777777" w:rsidR="00606159" w:rsidRDefault="00606159">
      <w:pPr>
        <w:rPr>
          <w:rFonts w:ascii="Times New Roman" w:hAnsi="Times New Roman" w:cs="Times New Roman"/>
        </w:rPr>
      </w:pPr>
    </w:p>
    <w:p w14:paraId="54D64A62"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2.1.2 </w:t>
      </w:r>
      <w:r>
        <w:rPr>
          <w:rFonts w:ascii="Times New Roman" w:hAnsi="Times New Roman" w:cs="Times New Roman"/>
          <w:b/>
          <w:bCs/>
        </w:rPr>
        <w:t>Standardized mortality rate</w:t>
      </w:r>
    </w:p>
    <w:p w14:paraId="2FCFE079" w14:textId="77777777" w:rsidR="00606159" w:rsidRDefault="00000000">
      <w:pPr>
        <w:rPr>
          <w:rFonts w:ascii="Times New Roman" w:hAnsi="Times New Roman" w:cs="Times New Roman"/>
        </w:rPr>
      </w:pPr>
      <w:r>
        <w:rPr>
          <w:rFonts w:ascii="Times New Roman" w:hAnsi="Times New Roman" w:cs="Times New Roman"/>
        </w:rPr>
        <w:t>Mortality rates calculated using age composition ratios of the same population (standard population composition ratios) and actual age-specific mortality rates are known as standardized mortality rates (SMRs). Standardized mortality rates are used to compare population-wide mortality rates in areas where there are differences in the age structure of two or more populations.</w:t>
      </w:r>
    </w:p>
    <w:p w14:paraId="27E0F73C" w14:textId="77777777" w:rsidR="00606159" w:rsidRDefault="00000000">
      <w:pPr>
        <w:rPr>
          <w:rFonts w:ascii="Times New Roman" w:hAnsi="Times New Roman" w:cs="Times New Roman"/>
        </w:rPr>
      </w:pPr>
      <w:r>
        <w:rPr>
          <w:rFonts w:ascii="Times New Roman" w:hAnsi="Times New Roman" w:cs="Times New Roman"/>
        </w:rPr>
        <w:t xml:space="preserve">The standardized mortality rate is used to compare the mortality rates of the whole population in two or more areas where there are differences in the age structure of the population. The steps of calculating the standardized mortality rate are as follows: (1) calculate the age group mortality rate; (2) multiply the age group mortality rate by the corresponding standard population age composition ratio to get the corresponding theoretical mortality rate; (3) add </w:t>
      </w:r>
      <w:r>
        <w:rPr>
          <w:rFonts w:ascii="Times New Roman" w:hAnsi="Times New Roman" w:cs="Times New Roman"/>
        </w:rPr>
        <w:lastRenderedPageBreak/>
        <w:t>up the theoretical mortality rate of each age group, that is, the standardized mortality rate. The formula is as follows.</w:t>
      </w:r>
    </w:p>
    <w:p w14:paraId="07E156DE" w14:textId="77777777" w:rsidR="00606159" w:rsidRDefault="00000000">
      <w:pPr>
        <w:rPr>
          <w:rFonts w:ascii="Times New Roman" w:hAnsi="Times New Roman" w:cs="Times New Roman"/>
          <w:vertAlign w:val="subscript"/>
        </w:rPr>
      </w:pPr>
      <w:r>
        <w:rPr>
          <w:rFonts w:ascii="Times New Roman" w:hAnsi="Times New Roman" w:cs="Times New Roman"/>
        </w:rPr>
        <w:t>Standardized mortality rate</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nP</w:t>
      </w:r>
      <w:r>
        <w:rPr>
          <w:rFonts w:ascii="Times New Roman" w:hAnsi="Times New Roman" w:cs="Times New Roman" w:hint="eastAsia"/>
          <w:vertAlign w:val="subscript"/>
        </w:rPr>
        <w:t>x</w:t>
      </w:r>
      <w:r>
        <w:rPr>
          <w:rFonts w:ascii="Times New Roman" w:hAnsi="Times New Roman" w:cs="Times New Roman"/>
          <w:b/>
          <w:bCs/>
        </w:rPr>
        <w:t>∙</w:t>
      </w:r>
      <w:r>
        <w:rPr>
          <w:rFonts w:ascii="Times New Roman" w:hAnsi="Times New Roman" w:cs="Times New Roman" w:hint="eastAsia"/>
        </w:rPr>
        <w:t>nM</w:t>
      </w:r>
      <w:r>
        <w:rPr>
          <w:rFonts w:ascii="Times New Roman" w:hAnsi="Times New Roman" w:cs="Times New Roman" w:hint="eastAsia"/>
          <w:vertAlign w:val="subscript"/>
        </w:rPr>
        <w:t>x</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nP</w:t>
      </w:r>
      <w:r>
        <w:rPr>
          <w:rFonts w:ascii="Times New Roman" w:hAnsi="Times New Roman" w:cs="Times New Roman" w:hint="eastAsia"/>
          <w:vertAlign w:val="subscript"/>
        </w:rPr>
        <w:t>x</w:t>
      </w:r>
    </w:p>
    <w:p w14:paraId="5F6189B3" w14:textId="77777777" w:rsidR="00606159" w:rsidRDefault="00000000">
      <w:pPr>
        <w:rPr>
          <w:rFonts w:ascii="Times New Roman" w:hAnsi="Times New Roman" w:cs="Times New Roman"/>
        </w:rPr>
      </w:pPr>
      <w:r>
        <w:rPr>
          <w:rFonts w:ascii="Times New Roman" w:hAnsi="Times New Roman" w:cs="Times New Roman"/>
        </w:rPr>
        <w:t>Where, nP, is the age-specific population size of the standard population, nM, is the age-specific mortality rate of the population to be standardized, n is the spacing of the age groups. x is the starting age of each age group.</w:t>
      </w:r>
    </w:p>
    <w:p w14:paraId="5469B36F" w14:textId="77777777" w:rsidR="00606159" w:rsidRDefault="00000000">
      <w:pPr>
        <w:rPr>
          <w:rFonts w:ascii="Times New Roman" w:hAnsi="Times New Roman" w:cs="Times New Roman"/>
        </w:rPr>
      </w:pPr>
      <w:r>
        <w:rPr>
          <w:rFonts w:ascii="Times New Roman" w:hAnsi="Times New Roman" w:cs="Times New Roman"/>
        </w:rPr>
        <w:t>For the present analysis, the standardized mortality rate was calculated using the population aged 60 years and over from the sixth population census in 2010 as the standard population.</w:t>
      </w:r>
    </w:p>
    <w:p w14:paraId="3AE89ECB" w14:textId="77777777" w:rsidR="00606159" w:rsidRDefault="00606159">
      <w:pPr>
        <w:rPr>
          <w:rFonts w:ascii="Times New Roman" w:hAnsi="Times New Roman" w:cs="Times New Roman"/>
        </w:rPr>
      </w:pPr>
    </w:p>
    <w:p w14:paraId="46D35A9C" w14:textId="77777777" w:rsidR="00606159" w:rsidRDefault="00000000">
      <w:pPr>
        <w:rPr>
          <w:rFonts w:ascii="Times New Roman" w:hAnsi="Times New Roman" w:cs="Times New Roman"/>
          <w:b/>
          <w:bCs/>
        </w:rPr>
      </w:pPr>
      <w:r>
        <w:rPr>
          <w:rFonts w:ascii="Times New Roman" w:hAnsi="Times New Roman" w:cs="Times New Roman" w:hint="eastAsia"/>
          <w:b/>
          <w:bCs/>
        </w:rPr>
        <w:t>2.1.3</w:t>
      </w:r>
      <w:r>
        <w:rPr>
          <w:b/>
          <w:bCs/>
        </w:rPr>
        <w:t xml:space="preserve"> </w:t>
      </w:r>
      <w:r>
        <w:rPr>
          <w:rFonts w:ascii="Times New Roman" w:hAnsi="Times New Roman" w:cs="Times New Roman"/>
          <w:b/>
          <w:bCs/>
        </w:rPr>
        <w:t>Indicators related to the burden of disease</w:t>
      </w:r>
    </w:p>
    <w:p w14:paraId="60E450C4" w14:textId="77777777" w:rsidR="00606159" w:rsidRDefault="00000000">
      <w:pPr>
        <w:rPr>
          <w:rFonts w:ascii="Times New Roman" w:hAnsi="Times New Roman" w:cs="Times New Roman"/>
        </w:rPr>
      </w:pPr>
      <w:r>
        <w:rPr>
          <w:rFonts w:ascii="Times New Roman" w:hAnsi="Times New Roman" w:cs="Times New Roman"/>
          <w:b/>
          <w:bCs/>
        </w:rPr>
        <w:t>1) Disability-adjusted life year (DALY)</w:t>
      </w:r>
      <w:r>
        <w:rPr>
          <w:rFonts w:ascii="Times New Roman" w:hAnsi="Times New Roman" w:cs="Times New Roman"/>
        </w:rPr>
        <w:t xml:space="preserve">: refers to the total number of healthy life years lost from the onset of illness to death, including both the life years lost due to premature death and the healthy life years lost due to disease-induced disability. DALY is the total number of years of healthy life lost from the onset of disease to death, including premature death and disease-induced disability years of healthy life. </w:t>
      </w:r>
    </w:p>
    <w:p w14:paraId="7277F783" w14:textId="77777777" w:rsidR="00606159" w:rsidRDefault="00000000">
      <w:pPr>
        <w:rPr>
          <w:rFonts w:ascii="Times New Roman" w:hAnsi="Times New Roman" w:cs="Times New Roman"/>
        </w:rPr>
      </w:pPr>
      <w:r>
        <w:rPr>
          <w:rFonts w:ascii="Times New Roman" w:hAnsi="Times New Roman" w:cs="Times New Roman"/>
          <w:b/>
          <w:bCs/>
        </w:rPr>
        <w:t>2) Years of life lost due to premature death (YLL)</w:t>
      </w:r>
      <w:r>
        <w:rPr>
          <w:rFonts w:ascii="Times New Roman" w:hAnsi="Times New Roman" w:cs="Times New Roman"/>
        </w:rPr>
        <w:t>: YLL=N</w:t>
      </w:r>
      <w:r>
        <w:rPr>
          <w:rFonts w:ascii="Times New Roman" w:hAnsi="Times New Roman" w:cs="Times New Roman" w:hint="eastAsia"/>
        </w:rPr>
        <w:t>×</w:t>
      </w:r>
      <w:r>
        <w:rPr>
          <w:rFonts w:ascii="Times New Roman" w:hAnsi="Times New Roman" w:cs="Times New Roman"/>
        </w:rPr>
        <w:t xml:space="preserve">L for a certain gender and age group, where N is the number of deaths caused by a certain cause of death for a certain gender in a certain age group and L is the value of life lost for each age group, i.e., the value of life expectancy corresponding to the age of death in the standard life expectancy table. If it is necessary to calculate the YL of the whole population, the YL of each sex and age group will be summed up. </w:t>
      </w:r>
    </w:p>
    <w:p w14:paraId="6CCB69C5" w14:textId="77777777" w:rsidR="00606159" w:rsidRDefault="00000000">
      <w:pPr>
        <w:rPr>
          <w:rFonts w:ascii="Times New Roman" w:hAnsi="Times New Roman" w:cs="Times New Roman"/>
        </w:rPr>
      </w:pPr>
      <w:r>
        <w:rPr>
          <w:rFonts w:ascii="Times New Roman" w:hAnsi="Times New Roman" w:cs="Times New Roman"/>
          <w:b/>
          <w:bCs/>
        </w:rPr>
        <w:t>3) Years of healthy life lost due to disease-induced disability (YLD)</w:t>
      </w:r>
      <w:r>
        <w:rPr>
          <w:rFonts w:ascii="Times New Roman" w:hAnsi="Times New Roman" w:cs="Times New Roman"/>
        </w:rPr>
        <w:t>: YLD for the sequelae of a disease = the number of people with the sequelae</w:t>
      </w:r>
      <w:r>
        <w:rPr>
          <w:rFonts w:ascii="Times New Roman" w:hAnsi="Times New Roman" w:cs="Times New Roman" w:hint="eastAsia"/>
        </w:rPr>
        <w:t>×</w:t>
      </w:r>
      <w:r>
        <w:rPr>
          <w:rFonts w:ascii="Times New Roman" w:hAnsi="Times New Roman" w:cs="Times New Roman"/>
        </w:rPr>
        <w:t>the weight of the disability. If you need to calculate the entire YLD, then for each disease sequelae are calculated independently. The sum is then calculated.</w:t>
      </w:r>
    </w:p>
    <w:p w14:paraId="082A0CEA" w14:textId="77777777" w:rsidR="00606159" w:rsidRDefault="00606159">
      <w:pPr>
        <w:rPr>
          <w:rFonts w:ascii="Times New Roman" w:hAnsi="Times New Roman" w:cs="Times New Roman"/>
        </w:rPr>
      </w:pPr>
    </w:p>
    <w:p w14:paraId="79D00DF5" w14:textId="77777777" w:rsidR="00606159" w:rsidRDefault="00000000">
      <w:pPr>
        <w:pStyle w:val="af"/>
        <w:ind w:left="440" w:hanging="440"/>
        <w:rPr>
          <w:rFonts w:ascii="Times New Roman" w:hAnsi="Times New Roman" w:cs="Times New Roman"/>
          <w:b/>
          <w:bCs/>
        </w:rPr>
      </w:pPr>
      <w:r>
        <w:rPr>
          <w:rFonts w:ascii="Times New Roman" w:hAnsi="Times New Roman" w:cs="Times New Roman" w:hint="eastAsia"/>
          <w:b/>
          <w:bCs/>
        </w:rPr>
        <w:t xml:space="preserve">2.2 </w:t>
      </w:r>
      <w:r>
        <w:rPr>
          <w:rFonts w:ascii="Times New Roman" w:hAnsi="Times New Roman" w:cs="Times New Roman"/>
          <w:b/>
          <w:bCs/>
        </w:rPr>
        <w:t>Prevalence of major risk factors for chronic diseases</w:t>
      </w:r>
    </w:p>
    <w:p w14:paraId="511F0D3A"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2.2.1 </w:t>
      </w:r>
      <w:r>
        <w:rPr>
          <w:rFonts w:ascii="Times New Roman" w:hAnsi="Times New Roman" w:cs="Times New Roman"/>
          <w:b/>
          <w:bCs/>
        </w:rPr>
        <w:t>Diet</w:t>
      </w:r>
    </w:p>
    <w:p w14:paraId="2D679DD7" w14:textId="77777777" w:rsidR="00606159" w:rsidRDefault="00000000">
      <w:pPr>
        <w:rPr>
          <w:rFonts w:ascii="Times New Roman" w:hAnsi="Times New Roman" w:cs="Times New Roman"/>
        </w:rPr>
      </w:pPr>
      <w:r>
        <w:rPr>
          <w:rFonts w:ascii="Times New Roman" w:hAnsi="Times New Roman" w:cs="Times New Roman"/>
        </w:rPr>
        <w:t>1) Vegetables: a variety of fresh vegetables without special processing (such as pickling, sun, soaking, etc.).</w:t>
      </w:r>
    </w:p>
    <w:p w14:paraId="7B1F08BC" w14:textId="77777777" w:rsidR="00606159" w:rsidRDefault="00000000">
      <w:pPr>
        <w:rPr>
          <w:rFonts w:ascii="Times New Roman" w:hAnsi="Times New Roman" w:cs="Times New Roman"/>
        </w:rPr>
      </w:pPr>
      <w:r>
        <w:rPr>
          <w:rFonts w:ascii="Times New Roman" w:hAnsi="Times New Roman" w:cs="Times New Roman"/>
        </w:rPr>
        <w:t>2) Fruits: all kinds of fresh fruits without special processing (such as pickling, tanning, soaking, steaming, boiling, etc.).</w:t>
      </w:r>
    </w:p>
    <w:p w14:paraId="709F0702" w14:textId="77777777" w:rsidR="00606159" w:rsidRDefault="00000000">
      <w:pPr>
        <w:rPr>
          <w:rFonts w:ascii="Times New Roman" w:hAnsi="Times New Roman" w:cs="Times New Roman"/>
        </w:rPr>
      </w:pPr>
      <w:r>
        <w:rPr>
          <w:rFonts w:ascii="Times New Roman" w:hAnsi="Times New Roman" w:cs="Times New Roman"/>
        </w:rPr>
        <w:lastRenderedPageBreak/>
        <w:t>3) Red meat: all kinds of fresh or frozen livestock meat without special processing (e.g., cured, smoked, sauced, etc.), including pigs, cows, sheep, and so on.</w:t>
      </w:r>
    </w:p>
    <w:p w14:paraId="76DE90FF" w14:textId="77777777" w:rsidR="00606159" w:rsidRDefault="00000000">
      <w:pPr>
        <w:rPr>
          <w:rFonts w:ascii="Times New Roman" w:hAnsi="Times New Roman" w:cs="Times New Roman"/>
        </w:rPr>
      </w:pPr>
      <w:r>
        <w:rPr>
          <w:rFonts w:ascii="Times New Roman" w:hAnsi="Times New Roman" w:cs="Times New Roman"/>
        </w:rPr>
        <w:t>4) Inadequate daily intake of fruits and vegetables: According to the WHO Integrated Global Monitoring Framework and Voluntary Targets for Non-communicable Diseases (2013-2025), the average daily intake of fruits and vegetables is about 1.5 times higher than the average daily intake of vegetables and vegetables.</w:t>
      </w:r>
    </w:p>
    <w:p w14:paraId="536D875D" w14:textId="77777777" w:rsidR="00606159" w:rsidRDefault="00000000">
      <w:pPr>
        <w:rPr>
          <w:rFonts w:ascii="Times New Roman" w:hAnsi="Times New Roman" w:cs="Times New Roman"/>
        </w:rPr>
      </w:pPr>
      <w:r>
        <w:rPr>
          <w:rFonts w:ascii="Times New Roman" w:hAnsi="Times New Roman" w:cs="Times New Roman"/>
        </w:rPr>
        <w:t>5) Excessive intake of red meat: According to the recommendation of the World Cancer Research Fund (WCRF) "Food, Nutrition, Physical Activity and Cancer Prevention", the average daily intake of red meat such as pork, beef and mutton should not be more than 100g on a raw weight basis, and in this report, the average daily intake of more than 100g is regarded as excessive intake of red meat.</w:t>
      </w:r>
    </w:p>
    <w:p w14:paraId="2BEED706" w14:textId="77777777" w:rsidR="00606159" w:rsidRDefault="00000000">
      <w:pPr>
        <w:rPr>
          <w:rFonts w:ascii="Times New Roman" w:hAnsi="Times New Roman" w:cs="Times New Roman"/>
        </w:rPr>
      </w:pPr>
      <w:r>
        <w:rPr>
          <w:rFonts w:ascii="Times New Roman" w:hAnsi="Times New Roman" w:cs="Times New Roman"/>
        </w:rPr>
        <w:t>6) Inadequate intake of vegetables and fruits: the proportion of people whose average daily intake of vegetables and fruits is less than 400g in the total population.</w:t>
      </w:r>
    </w:p>
    <w:p w14:paraId="04BBCBAA" w14:textId="77777777" w:rsidR="00606159" w:rsidRDefault="00000000">
      <w:pPr>
        <w:rPr>
          <w:rFonts w:ascii="Times New Roman" w:hAnsi="Times New Roman" w:cs="Times New Roman"/>
        </w:rPr>
      </w:pPr>
      <w:r>
        <w:rPr>
          <w:rFonts w:ascii="Times New Roman" w:hAnsi="Times New Roman" w:cs="Times New Roman"/>
        </w:rPr>
        <w:t>7) Excessive intake of red meat: the proportion of people whose average daily intake of red meat is more than 100g in the total population.</w:t>
      </w:r>
    </w:p>
    <w:p w14:paraId="10285A19" w14:textId="77777777" w:rsidR="00606159" w:rsidRDefault="00000000">
      <w:pPr>
        <w:rPr>
          <w:rFonts w:ascii="Times New Roman" w:hAnsi="Times New Roman" w:cs="Times New Roman"/>
        </w:rPr>
      </w:pPr>
      <w:r>
        <w:rPr>
          <w:rFonts w:ascii="Times New Roman" w:hAnsi="Times New Roman" w:cs="Times New Roman"/>
        </w:rPr>
        <w:t>8) Nutritional supplement use rate: the proportion of people who use nutritional supplements (including calcium, iron, and vitamins) in the population.</w:t>
      </w:r>
    </w:p>
    <w:p w14:paraId="2072B718" w14:textId="77777777" w:rsidR="00606159" w:rsidRDefault="00606159">
      <w:pPr>
        <w:rPr>
          <w:rFonts w:ascii="Times New Roman" w:hAnsi="Times New Roman" w:cs="Times New Roman"/>
        </w:rPr>
      </w:pPr>
    </w:p>
    <w:p w14:paraId="61232E7C"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2.2.2 </w:t>
      </w:r>
      <w:r>
        <w:rPr>
          <w:rFonts w:ascii="Times New Roman" w:hAnsi="Times New Roman" w:cs="Times New Roman"/>
          <w:b/>
          <w:bCs/>
        </w:rPr>
        <w:t>Physical activity</w:t>
      </w:r>
    </w:p>
    <w:p w14:paraId="78828C44" w14:textId="77777777" w:rsidR="00606159" w:rsidRDefault="00000000">
      <w:pPr>
        <w:rPr>
          <w:rFonts w:ascii="Times New Roman" w:hAnsi="Times New Roman" w:cs="Times New Roman"/>
        </w:rPr>
      </w:pPr>
      <w:r>
        <w:rPr>
          <w:rFonts w:ascii="Times New Roman" w:hAnsi="Times New Roman" w:cs="Times New Roman"/>
        </w:rPr>
        <w:t>1) Regular exercise rate: the proportion of the total population who participate in amateur exercise at least three days a week and for at least 10 minutes a day.</w:t>
      </w:r>
    </w:p>
    <w:p w14:paraId="434BF501" w14:textId="77777777" w:rsidR="00606159" w:rsidRDefault="00000000">
      <w:pPr>
        <w:rPr>
          <w:rFonts w:ascii="Times New Roman" w:hAnsi="Times New Roman" w:cs="Times New Roman"/>
        </w:rPr>
      </w:pPr>
      <w:r>
        <w:rPr>
          <w:rFonts w:ascii="Times New Roman" w:hAnsi="Times New Roman" w:cs="Times New Roman"/>
        </w:rPr>
        <w:t>2) Physical inactivity: As defined in the WHO Comprehensive Global Monitoring Framework for Non-communicable Diseases and Voluntary Targets (2013-2025), this is defined as a total activity time (high-intensity activity time x 2, moderate-intensity activity time) of less than 150 minutes in a typical week.</w:t>
      </w:r>
    </w:p>
    <w:p w14:paraId="5402FB35" w14:textId="77777777" w:rsidR="00606159" w:rsidRDefault="00000000">
      <w:pPr>
        <w:rPr>
          <w:rFonts w:ascii="Times New Roman" w:hAnsi="Times New Roman" w:cs="Times New Roman"/>
        </w:rPr>
      </w:pPr>
      <w:r>
        <w:rPr>
          <w:rFonts w:ascii="Times New Roman" w:hAnsi="Times New Roman" w:cs="Times New Roman"/>
        </w:rPr>
        <w:t>3) Physical inactivity rate: the proportion of physically inactive persons in the total population.</w:t>
      </w:r>
    </w:p>
    <w:p w14:paraId="11EBA368" w14:textId="77777777" w:rsidR="00606159" w:rsidRDefault="00000000">
      <w:pPr>
        <w:rPr>
          <w:rFonts w:ascii="Times New Roman" w:hAnsi="Times New Roman" w:cs="Times New Roman"/>
        </w:rPr>
      </w:pPr>
      <w:r>
        <w:rPr>
          <w:rFonts w:ascii="Times New Roman" w:hAnsi="Times New Roman" w:cs="Times New Roman"/>
        </w:rPr>
        <w:t>4) Total Static Behavior Time: The sum of time spent quietly sitting, leaning, or lying down watching television, using a computer, playing video games, reading, and other static behaviors.</w:t>
      </w:r>
    </w:p>
    <w:p w14:paraId="140F25D1" w14:textId="77777777" w:rsidR="00606159" w:rsidRDefault="00606159">
      <w:pPr>
        <w:rPr>
          <w:rFonts w:ascii="Times New Roman" w:hAnsi="Times New Roman" w:cs="Times New Roman"/>
        </w:rPr>
      </w:pPr>
    </w:p>
    <w:p w14:paraId="3E6959A1" w14:textId="77777777" w:rsidR="00606159" w:rsidRDefault="00000000">
      <w:pPr>
        <w:rPr>
          <w:rFonts w:ascii="Times New Roman" w:hAnsi="Times New Roman" w:cs="Times New Roman"/>
          <w:b/>
          <w:bCs/>
        </w:rPr>
      </w:pPr>
      <w:r>
        <w:rPr>
          <w:rFonts w:ascii="Times New Roman" w:hAnsi="Times New Roman" w:cs="Times New Roman" w:hint="eastAsia"/>
          <w:b/>
          <w:bCs/>
        </w:rPr>
        <w:t>2.2.3</w:t>
      </w:r>
      <w:r>
        <w:rPr>
          <w:rFonts w:ascii="Times New Roman" w:hAnsi="Times New Roman" w:cs="Times New Roman"/>
          <w:b/>
          <w:bCs/>
        </w:rPr>
        <w:t xml:space="preserve"> Smoking behavior</w:t>
      </w:r>
    </w:p>
    <w:p w14:paraId="61B60782" w14:textId="77777777" w:rsidR="00606159" w:rsidRDefault="00000000">
      <w:pPr>
        <w:rPr>
          <w:rFonts w:ascii="Times New Roman" w:hAnsi="Times New Roman" w:cs="Times New Roman"/>
        </w:rPr>
      </w:pPr>
      <w:r>
        <w:rPr>
          <w:rFonts w:ascii="Times New Roman" w:hAnsi="Times New Roman" w:cs="Times New Roman"/>
        </w:rPr>
        <w:lastRenderedPageBreak/>
        <w:t>1) Current smokers: Those who are smoking at the time of the survey, including daily smokers and occasional smokers.</w:t>
      </w:r>
    </w:p>
    <w:p w14:paraId="1F4AF220" w14:textId="77777777" w:rsidR="00606159" w:rsidRDefault="00000000">
      <w:pPr>
        <w:rPr>
          <w:rFonts w:ascii="Times New Roman" w:hAnsi="Times New Roman" w:cs="Times New Roman"/>
        </w:rPr>
      </w:pPr>
      <w:r>
        <w:rPr>
          <w:rFonts w:ascii="Times New Roman" w:hAnsi="Times New Roman" w:cs="Times New Roman"/>
        </w:rPr>
        <w:t>2) Daily smokers: People who smoke every day at the time of the survey.</w:t>
      </w:r>
    </w:p>
    <w:p w14:paraId="19377EAF" w14:textId="77777777" w:rsidR="00606159" w:rsidRDefault="00000000">
      <w:pPr>
        <w:rPr>
          <w:rFonts w:ascii="Times New Roman" w:hAnsi="Times New Roman" w:cs="Times New Roman"/>
        </w:rPr>
      </w:pPr>
      <w:r>
        <w:rPr>
          <w:rFonts w:ascii="Times New Roman" w:hAnsi="Times New Roman" w:cs="Times New Roman"/>
        </w:rPr>
        <w:t>3) Prevalence of current smoking: The proportion of current smokers in the total population.</w:t>
      </w:r>
    </w:p>
    <w:p w14:paraId="0103B6E0" w14:textId="77777777" w:rsidR="00606159" w:rsidRDefault="00000000">
      <w:pPr>
        <w:rPr>
          <w:rFonts w:ascii="Times New Roman" w:hAnsi="Times New Roman" w:cs="Times New Roman"/>
        </w:rPr>
      </w:pPr>
      <w:r>
        <w:rPr>
          <w:rFonts w:ascii="Times New Roman" w:hAnsi="Times New Roman" w:cs="Times New Roman"/>
        </w:rPr>
        <w:t>4) Prevalence of current daily smokers: Percentage of daily smokers in the total population.</w:t>
      </w:r>
    </w:p>
    <w:p w14:paraId="068B64CD" w14:textId="77777777" w:rsidR="00606159" w:rsidRDefault="00000000">
      <w:pPr>
        <w:rPr>
          <w:rFonts w:ascii="Times New Roman" w:hAnsi="Times New Roman" w:cs="Times New Roman"/>
        </w:rPr>
      </w:pPr>
      <w:r>
        <w:rPr>
          <w:rFonts w:ascii="Times New Roman" w:hAnsi="Times New Roman" w:cs="Times New Roman"/>
        </w:rPr>
        <w:t>5) Secondhand smoke exposure rate: The proportion of never-smokers who are exposed to secondhand smoke at least one day per week under normal circumstances.</w:t>
      </w:r>
    </w:p>
    <w:p w14:paraId="2CA6D382" w14:textId="77777777" w:rsidR="00606159" w:rsidRDefault="00000000">
      <w:pPr>
        <w:rPr>
          <w:rFonts w:ascii="Times New Roman" w:hAnsi="Times New Roman" w:cs="Times New Roman"/>
        </w:rPr>
      </w:pPr>
      <w:r>
        <w:rPr>
          <w:rFonts w:ascii="Times New Roman" w:hAnsi="Times New Roman" w:cs="Times New Roman"/>
        </w:rPr>
        <w:t>6) Quitters: People who used to smoke but had stopped smoking at the time of the survey.</w:t>
      </w:r>
    </w:p>
    <w:p w14:paraId="170CE8B2" w14:textId="77777777" w:rsidR="00606159" w:rsidRDefault="00000000">
      <w:pPr>
        <w:rPr>
          <w:rFonts w:ascii="Times New Roman" w:hAnsi="Times New Roman" w:cs="Times New Roman"/>
        </w:rPr>
      </w:pPr>
      <w:r>
        <w:rPr>
          <w:rFonts w:ascii="Times New Roman" w:hAnsi="Times New Roman" w:cs="Times New Roman"/>
        </w:rPr>
        <w:t>7) Quit rate: The proportion of quitters among all former and current smokers.</w:t>
      </w:r>
    </w:p>
    <w:p w14:paraId="5C190369" w14:textId="77777777" w:rsidR="00606159" w:rsidRDefault="00000000">
      <w:pPr>
        <w:rPr>
          <w:rFonts w:ascii="Times New Roman" w:hAnsi="Times New Roman" w:cs="Times New Roman"/>
        </w:rPr>
      </w:pPr>
      <w:r>
        <w:rPr>
          <w:rFonts w:ascii="Times New Roman" w:hAnsi="Times New Roman" w:cs="Times New Roman"/>
        </w:rPr>
        <w:t>8) Successful quit rate: The proportion of all smokers who have quit smoking for two years or more at the time of the survey.</w:t>
      </w:r>
    </w:p>
    <w:p w14:paraId="0BBCA2B7" w14:textId="77777777" w:rsidR="00606159" w:rsidRDefault="00606159">
      <w:pPr>
        <w:rPr>
          <w:rFonts w:ascii="Times New Roman" w:hAnsi="Times New Roman" w:cs="Times New Roman"/>
        </w:rPr>
      </w:pPr>
    </w:p>
    <w:p w14:paraId="6AED7AAF"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2.2.4 </w:t>
      </w:r>
      <w:r>
        <w:rPr>
          <w:rFonts w:ascii="Times New Roman" w:hAnsi="Times New Roman" w:cs="Times New Roman"/>
          <w:b/>
          <w:bCs/>
        </w:rPr>
        <w:t>Drinking behavior</w:t>
      </w:r>
    </w:p>
    <w:p w14:paraId="6568BD10" w14:textId="77777777" w:rsidR="00606159" w:rsidRDefault="00000000">
      <w:pPr>
        <w:rPr>
          <w:rFonts w:ascii="Times New Roman" w:hAnsi="Times New Roman" w:cs="Times New Roman"/>
        </w:rPr>
      </w:pPr>
      <w:r>
        <w:rPr>
          <w:rFonts w:ascii="Times New Roman" w:hAnsi="Times New Roman" w:cs="Times New Roman"/>
        </w:rPr>
        <w:t>1) Alcohol consumption: Drinking purchased or homemade beverages containing ethanol, including beer, fruit wines, liquor, and yellow wine. Glutinous rice wine, barley wine, etc.</w:t>
      </w:r>
    </w:p>
    <w:p w14:paraId="7E29EF8B" w14:textId="77777777" w:rsidR="00606159" w:rsidRDefault="00000000">
      <w:pPr>
        <w:rPr>
          <w:rFonts w:ascii="Times New Roman" w:hAnsi="Times New Roman" w:cs="Times New Roman"/>
        </w:rPr>
      </w:pPr>
      <w:r>
        <w:rPr>
          <w:rFonts w:ascii="Times New Roman" w:hAnsi="Times New Roman" w:cs="Times New Roman"/>
        </w:rPr>
        <w:t>2) Average daily alcohol intake of drinkers: the average daily intake of alcohol grams of drinkers.</w:t>
      </w:r>
    </w:p>
    <w:p w14:paraId="29D79472" w14:textId="77777777" w:rsidR="00606159" w:rsidRDefault="00000000">
      <w:pPr>
        <w:rPr>
          <w:rFonts w:ascii="Times New Roman" w:hAnsi="Times New Roman" w:cs="Times New Roman"/>
        </w:rPr>
      </w:pPr>
      <w:r>
        <w:rPr>
          <w:rFonts w:ascii="Times New Roman" w:hAnsi="Times New Roman" w:cs="Times New Roman"/>
        </w:rPr>
        <w:t>3) Hazardous drinking: defined according to the WHO "Intermational Cuide for Monitoring Alcohol Consumption and Related Harm". It is defined as drinking behavior in which the average daily alcohol intake of male drinkers is ≥41g and &lt;6lg, and drinking behavior in which the average daily alcohol intake of female drinkers is ≥21g and &lt;41g.</w:t>
      </w:r>
    </w:p>
    <w:p w14:paraId="4E669116" w14:textId="77777777" w:rsidR="00606159" w:rsidRDefault="00000000">
      <w:pPr>
        <w:rPr>
          <w:rFonts w:ascii="Times New Roman" w:hAnsi="Times New Roman" w:cs="Times New Roman"/>
        </w:rPr>
      </w:pPr>
      <w:r>
        <w:rPr>
          <w:rFonts w:ascii="Times New Roman" w:hAnsi="Times New Roman" w:cs="Times New Roman"/>
        </w:rPr>
        <w:t>4) Harmful drinking: Defined according to the WHO "Intermational Guide for Monitoring Alcohol Consumption and Related Hanm". This refers to drinking behaviors in which the average daily intake of alcohol is 61g or more for male drinkers and 41g or more for female drinkers.</w:t>
      </w:r>
    </w:p>
    <w:p w14:paraId="4FD8D142" w14:textId="77777777" w:rsidR="00606159" w:rsidRDefault="00000000">
      <w:pPr>
        <w:rPr>
          <w:rFonts w:ascii="Times New Roman" w:hAnsi="Times New Roman" w:cs="Times New Roman"/>
        </w:rPr>
      </w:pPr>
      <w:r>
        <w:rPr>
          <w:rFonts w:ascii="Times New Roman" w:hAnsi="Times New Roman" w:cs="Times New Roman"/>
        </w:rPr>
        <w:t>5) Drinking rate in the past 30 days: The proportion of people who have consumed alcohol in the past 30 days out of the total population.</w:t>
      </w:r>
    </w:p>
    <w:p w14:paraId="4BE0A9C4" w14:textId="77777777" w:rsidR="00606159" w:rsidRDefault="00000000">
      <w:pPr>
        <w:rPr>
          <w:rFonts w:ascii="Times New Roman" w:hAnsi="Times New Roman" w:cs="Times New Roman"/>
        </w:rPr>
      </w:pPr>
      <w:r>
        <w:rPr>
          <w:rFonts w:ascii="Times New Roman" w:hAnsi="Times New Roman" w:cs="Times New Roman"/>
        </w:rPr>
        <w:t>6) Frequent Drinking Rate: The proportion of people who drank alcohol 5 or more days per week among those who drank alcohol in the past 12 months from the date of the survey.</w:t>
      </w:r>
    </w:p>
    <w:p w14:paraId="04DDA76A" w14:textId="77777777" w:rsidR="00606159" w:rsidRDefault="00000000">
      <w:pPr>
        <w:rPr>
          <w:rFonts w:ascii="Times New Roman" w:hAnsi="Times New Roman" w:cs="Times New Roman"/>
        </w:rPr>
      </w:pPr>
      <w:r>
        <w:rPr>
          <w:rFonts w:ascii="Times New Roman" w:hAnsi="Times New Roman" w:cs="Times New Roman"/>
        </w:rPr>
        <w:t>7) Hazardous drinking rate: The proportion of people with hazardous drinking behavior among those who drink alcohol.</w:t>
      </w:r>
    </w:p>
    <w:p w14:paraId="466C2D81" w14:textId="77777777" w:rsidR="00606159" w:rsidRDefault="00000000">
      <w:pPr>
        <w:rPr>
          <w:rFonts w:ascii="Times New Roman" w:hAnsi="Times New Roman" w:cs="Times New Roman"/>
        </w:rPr>
      </w:pPr>
      <w:r>
        <w:rPr>
          <w:rFonts w:ascii="Times New Roman" w:hAnsi="Times New Roman" w:cs="Times New Roman"/>
        </w:rPr>
        <w:lastRenderedPageBreak/>
        <w:t>8) Harmful drinking rate: The proportion of people with harmful drinking behavior among those who drink alcohol.</w:t>
      </w:r>
    </w:p>
    <w:p w14:paraId="18E54B40" w14:textId="77777777" w:rsidR="00606159" w:rsidRDefault="00000000">
      <w:pPr>
        <w:rPr>
          <w:rFonts w:ascii="Times New Roman" w:hAnsi="Times New Roman" w:cs="Times New Roman"/>
        </w:rPr>
      </w:pPr>
      <w:r>
        <w:rPr>
          <w:rFonts w:ascii="Times New Roman" w:hAnsi="Times New Roman" w:cs="Times New Roman"/>
        </w:rPr>
        <w:t>In this report, the alcohol content of high liquor is calculated at 52%, low liquor at 38%, beer at 4%, yellow wine and glutinous rice wine at 18%, and wine at 10%.</w:t>
      </w:r>
    </w:p>
    <w:p w14:paraId="460E3DEF" w14:textId="77777777" w:rsidR="00606159" w:rsidRDefault="00606159">
      <w:pPr>
        <w:rPr>
          <w:rFonts w:ascii="Times New Roman" w:hAnsi="Times New Roman" w:cs="Times New Roman"/>
        </w:rPr>
      </w:pPr>
    </w:p>
    <w:p w14:paraId="4DC6E4F5" w14:textId="77777777" w:rsidR="00606159" w:rsidRDefault="00000000">
      <w:pPr>
        <w:rPr>
          <w:rFonts w:ascii="Times New Roman" w:hAnsi="Times New Roman" w:cs="Times New Roman"/>
          <w:b/>
          <w:bCs/>
        </w:rPr>
      </w:pPr>
      <w:r>
        <w:rPr>
          <w:rFonts w:ascii="Times New Roman" w:hAnsi="Times New Roman" w:cs="Times New Roman" w:hint="eastAsia"/>
          <w:b/>
          <w:bCs/>
        </w:rPr>
        <w:t>2.2.5</w:t>
      </w:r>
      <w:r>
        <w:rPr>
          <w:rFonts w:ascii="Times New Roman" w:hAnsi="Times New Roman" w:cs="Times New Roman"/>
          <w:b/>
          <w:bCs/>
        </w:rPr>
        <w:t xml:space="preserve"> Weight</w:t>
      </w:r>
    </w:p>
    <w:p w14:paraId="5FC68F97" w14:textId="77777777" w:rsidR="00606159" w:rsidRDefault="00000000">
      <w:pPr>
        <w:rPr>
          <w:rFonts w:ascii="Times New Roman" w:hAnsi="Times New Roman" w:cs="Times New Roman"/>
        </w:rPr>
      </w:pPr>
      <w:r>
        <w:rPr>
          <w:rFonts w:ascii="Times New Roman" w:hAnsi="Times New Roman" w:cs="Times New Roman"/>
        </w:rPr>
        <w:t>1) Body mass index (BMI): the formula is BM=weight (kg)/height (m)</w:t>
      </w:r>
      <w:r>
        <w:rPr>
          <w:rFonts w:ascii="Times New Roman" w:hAnsi="Times New Roman" w:cs="Times New Roman" w:hint="eastAsia"/>
          <w:vertAlign w:val="superscript"/>
        </w:rPr>
        <w:t xml:space="preserve"> 2</w:t>
      </w:r>
      <w:r>
        <w:rPr>
          <w:rFonts w:ascii="Times New Roman" w:hAnsi="Times New Roman" w:cs="Times New Roman"/>
        </w:rPr>
        <w:t>.</w:t>
      </w:r>
    </w:p>
    <w:p w14:paraId="5F7F6B5F" w14:textId="77777777" w:rsidR="00606159" w:rsidRDefault="00000000">
      <w:pPr>
        <w:rPr>
          <w:rFonts w:ascii="Times New Roman" w:hAnsi="Times New Roman" w:cs="Times New Roman"/>
        </w:rPr>
      </w:pPr>
      <w:r>
        <w:rPr>
          <w:rFonts w:ascii="Times New Roman" w:hAnsi="Times New Roman" w:cs="Times New Roman"/>
        </w:rPr>
        <w:t>2) Low weight, normal weight, overweight and obesity: according to the standard of "Adult Weight Determination" (WST 428-2013), BMI&lt;18.5kg/m</w:t>
      </w:r>
      <w:r>
        <w:rPr>
          <w:rFonts w:ascii="Times New Roman" w:hAnsi="Times New Roman" w:cs="Times New Roman" w:hint="eastAsia"/>
          <w:vertAlign w:val="superscript"/>
        </w:rPr>
        <w:t>2</w:t>
      </w:r>
      <w:r>
        <w:rPr>
          <w:rFonts w:ascii="Times New Roman" w:hAnsi="Times New Roman" w:cs="Times New Roman"/>
        </w:rPr>
        <w:t xml:space="preserve"> is low weight, 18.5kg/m</w:t>
      </w:r>
      <w:r>
        <w:rPr>
          <w:rFonts w:ascii="Times New Roman" w:hAnsi="Times New Roman" w:cs="Times New Roman" w:hint="eastAsia"/>
          <w:vertAlign w:val="superscript"/>
        </w:rPr>
        <w:t>2</w:t>
      </w:r>
      <w:r>
        <w:rPr>
          <w:rFonts w:ascii="Times New Roman" w:hAnsi="Times New Roman" w:cs="Times New Roman"/>
        </w:rPr>
        <w:t>&lt;BMI&lt;24.0kg</w:t>
      </w:r>
      <w:r>
        <w:rPr>
          <w:rFonts w:ascii="Times New Roman" w:hAnsi="Times New Roman" w:cs="Times New Roman" w:hint="eastAsia"/>
        </w:rPr>
        <w:t>/</w:t>
      </w:r>
      <w:r>
        <w:rPr>
          <w:rFonts w:ascii="Times New Roman" w:hAnsi="Times New Roman" w:cs="Times New Roman"/>
        </w:rPr>
        <w:t>m</w:t>
      </w:r>
      <w:r>
        <w:rPr>
          <w:rFonts w:ascii="Times New Roman" w:hAnsi="Times New Roman" w:cs="Times New Roman" w:hint="eastAsia"/>
          <w:vertAlign w:val="superscript"/>
        </w:rPr>
        <w:t>2</w:t>
      </w:r>
      <w:r>
        <w:rPr>
          <w:rFonts w:ascii="Times New Roman" w:hAnsi="Times New Roman" w:cs="Times New Roman"/>
        </w:rPr>
        <w:t>is normal weight, 24.0kg/m</w:t>
      </w:r>
      <w:r>
        <w:rPr>
          <w:rFonts w:ascii="Times New Roman" w:hAnsi="Times New Roman" w:cs="Times New Roman" w:hint="eastAsia"/>
          <w:vertAlign w:val="superscript"/>
        </w:rPr>
        <w:t>2</w:t>
      </w:r>
      <w:r>
        <w:rPr>
          <w:rFonts w:ascii="Times New Roman" w:hAnsi="Times New Roman" w:cs="Times New Roman"/>
        </w:rPr>
        <w:t>&lt;BMI&lt;28.0kg/m</w:t>
      </w:r>
      <w:r>
        <w:rPr>
          <w:rFonts w:ascii="Times New Roman" w:hAnsi="Times New Roman" w:cs="Times New Roman" w:hint="eastAsia"/>
          <w:vertAlign w:val="superscript"/>
        </w:rPr>
        <w:t>2</w:t>
      </w:r>
      <w:r>
        <w:rPr>
          <w:rFonts w:ascii="Times New Roman" w:hAnsi="Times New Roman" w:cs="Times New Roman"/>
        </w:rPr>
        <w:t xml:space="preserve"> is overweight; BMI≥28.0kg/m</w:t>
      </w:r>
      <w:r>
        <w:rPr>
          <w:rFonts w:ascii="Times New Roman" w:hAnsi="Times New Roman" w:cs="Times New Roman" w:hint="eastAsia"/>
          <w:vertAlign w:val="superscript"/>
        </w:rPr>
        <w:t>2</w:t>
      </w:r>
      <w:r>
        <w:rPr>
          <w:rFonts w:ascii="Times New Roman" w:hAnsi="Times New Roman" w:cs="Times New Roman"/>
        </w:rPr>
        <w:t xml:space="preserve"> is obese.</w:t>
      </w:r>
    </w:p>
    <w:p w14:paraId="3646FB59" w14:textId="77777777" w:rsidR="00606159" w:rsidRDefault="00000000">
      <w:pPr>
        <w:rPr>
          <w:rFonts w:ascii="Times New Roman" w:hAnsi="Times New Roman" w:cs="Times New Roman"/>
        </w:rPr>
      </w:pPr>
      <w:r>
        <w:rPr>
          <w:rFonts w:ascii="Times New Roman" w:hAnsi="Times New Roman" w:cs="Times New Roman"/>
        </w:rPr>
        <w:t>3) Low body weight rate: the proportion of people whose BMI value reaches the low body weight range in the total population.</w:t>
      </w:r>
    </w:p>
    <w:p w14:paraId="5C254505" w14:textId="77777777" w:rsidR="00606159" w:rsidRDefault="00000000">
      <w:pPr>
        <w:rPr>
          <w:rFonts w:ascii="Times New Roman" w:hAnsi="Times New Roman" w:cs="Times New Roman"/>
        </w:rPr>
      </w:pPr>
      <w:r>
        <w:rPr>
          <w:rFonts w:ascii="Times New Roman" w:hAnsi="Times New Roman" w:cs="Times New Roman"/>
        </w:rPr>
        <w:t>4) Overweight rate: the percentage of the total population whose BMI value reaches the overweight range.</w:t>
      </w:r>
    </w:p>
    <w:p w14:paraId="1CD5B9CB" w14:textId="77777777" w:rsidR="00606159" w:rsidRDefault="00000000">
      <w:pPr>
        <w:rPr>
          <w:rFonts w:ascii="Times New Roman" w:hAnsi="Times New Roman" w:cs="Times New Roman"/>
        </w:rPr>
      </w:pPr>
      <w:r>
        <w:rPr>
          <w:rFonts w:ascii="Times New Roman" w:hAnsi="Times New Roman" w:cs="Times New Roman"/>
        </w:rPr>
        <w:t>5) Obesity rate: the proportion of the total population whose BMI calculation value reaches the obese range.</w:t>
      </w:r>
    </w:p>
    <w:p w14:paraId="4E456694" w14:textId="77777777" w:rsidR="00606159" w:rsidRDefault="00000000">
      <w:pPr>
        <w:rPr>
          <w:rFonts w:ascii="Times New Roman" w:hAnsi="Times New Roman" w:cs="Times New Roman"/>
        </w:rPr>
      </w:pPr>
      <w:r>
        <w:rPr>
          <w:rFonts w:ascii="Times New Roman" w:hAnsi="Times New Roman" w:cs="Times New Roman"/>
        </w:rPr>
        <w:t>6) Central obesity: According to "Adult Weight Determination" (WS/T 428-2013), waist circumference ≥ 90cm for men and ≥ 85cm for women is defined as central obesity.</w:t>
      </w:r>
    </w:p>
    <w:p w14:paraId="37FBB8F9" w14:textId="77777777" w:rsidR="00606159" w:rsidRDefault="00000000">
      <w:pPr>
        <w:rPr>
          <w:rFonts w:ascii="Times New Roman" w:hAnsi="Times New Roman" w:cs="Times New Roman"/>
        </w:rPr>
      </w:pPr>
      <w:r>
        <w:rPr>
          <w:rFonts w:ascii="Times New Roman" w:hAnsi="Times New Roman" w:cs="Times New Roman"/>
        </w:rPr>
        <w:t>7) Central obesity rate: the proportion of people whose waist circumference reaches the range of central obesity in the total population.</w:t>
      </w:r>
    </w:p>
    <w:p w14:paraId="2F9A87E2" w14:textId="77777777" w:rsidR="00606159" w:rsidRDefault="00606159">
      <w:pPr>
        <w:rPr>
          <w:rFonts w:ascii="Times New Roman" w:hAnsi="Times New Roman" w:cs="Times New Roman"/>
        </w:rPr>
      </w:pPr>
    </w:p>
    <w:p w14:paraId="16FF63FF" w14:textId="77777777" w:rsidR="00606159" w:rsidRDefault="00000000">
      <w:pPr>
        <w:pStyle w:val="af"/>
        <w:ind w:left="440" w:hanging="440"/>
        <w:rPr>
          <w:rFonts w:ascii="Times New Roman" w:hAnsi="Times New Roman" w:cs="Times New Roman"/>
          <w:b/>
          <w:bCs/>
        </w:rPr>
      </w:pPr>
      <w:r>
        <w:rPr>
          <w:rFonts w:ascii="Times New Roman" w:hAnsi="Times New Roman" w:cs="Times New Roman" w:hint="eastAsia"/>
          <w:b/>
          <w:bCs/>
        </w:rPr>
        <w:t xml:space="preserve">2.3 </w:t>
      </w:r>
      <w:r>
        <w:rPr>
          <w:rFonts w:ascii="Times New Roman" w:hAnsi="Times New Roman" w:cs="Times New Roman"/>
          <w:b/>
          <w:bCs/>
        </w:rPr>
        <w:t>Dysfunctional status</w:t>
      </w:r>
    </w:p>
    <w:p w14:paraId="794C00DC" w14:textId="77777777" w:rsidR="00606159" w:rsidRDefault="00000000">
      <w:pPr>
        <w:rPr>
          <w:rFonts w:ascii="Times New Roman" w:hAnsi="Times New Roman" w:cs="Times New Roman"/>
          <w:b/>
          <w:bCs/>
        </w:rPr>
      </w:pPr>
      <w:r>
        <w:rPr>
          <w:rFonts w:ascii="Times New Roman" w:hAnsi="Times New Roman" w:cs="Times New Roman" w:hint="eastAsia"/>
          <w:b/>
          <w:bCs/>
        </w:rPr>
        <w:t xml:space="preserve">2.3.1 </w:t>
      </w:r>
      <w:r>
        <w:rPr>
          <w:rFonts w:ascii="Times New Roman" w:hAnsi="Times New Roman" w:cs="Times New Roman"/>
          <w:b/>
          <w:bCs/>
        </w:rPr>
        <w:t>Disability</w:t>
      </w:r>
    </w:p>
    <w:p w14:paraId="5A1438AD" w14:textId="77777777" w:rsidR="00606159" w:rsidRDefault="00000000">
      <w:pPr>
        <w:rPr>
          <w:rFonts w:ascii="Times New Roman" w:hAnsi="Times New Roman" w:cs="Times New Roman"/>
        </w:rPr>
      </w:pPr>
      <w:r>
        <w:rPr>
          <w:rFonts w:ascii="Times New Roman" w:hAnsi="Times New Roman" w:cs="Times New Roman"/>
        </w:rPr>
        <w:t>1) Activities of daily living (ADL): reflecting the disability, it can be assessed by the 6-item (dressing, eating, bathing, walking indoors, going to the toilet, and getting in and out of bed) basic activities of daily living (BADL) scale and 8-item (making phone calls, shopping, cooking, doing household chores, doing laundry, taking the bus, taking medication, and taking care of one's own money) instrumental activities of daily living (IADL) scale.</w:t>
      </w:r>
    </w:p>
    <w:p w14:paraId="54CF3577" w14:textId="77777777" w:rsidR="00606159" w:rsidRDefault="00000000">
      <w:pPr>
        <w:rPr>
          <w:rFonts w:ascii="Times New Roman" w:hAnsi="Times New Roman" w:cs="Times New Roman"/>
        </w:rPr>
      </w:pPr>
      <w:r>
        <w:rPr>
          <w:rFonts w:ascii="Times New Roman" w:hAnsi="Times New Roman" w:cs="Times New Roman"/>
        </w:rPr>
        <w:t xml:space="preserve">2) Impairment of ADLs: Each function of ADLs is rated on a 4-point scale: "1" can do it by oneself, "2" has some difficulty, "3" needs help, "4" needs no help at all, "5" needs help at all, "6" needs help at all, "7" needs help at all, "8" needs help at all, "9" needs help at all, and "10" </w:t>
      </w:r>
      <w:r>
        <w:rPr>
          <w:rFonts w:ascii="Times New Roman" w:hAnsi="Times New Roman" w:cs="Times New Roman"/>
        </w:rPr>
        <w:lastRenderedPageBreak/>
        <w:t>needs help at all. "4" can't do it at all. Individual functions were assessed as "3. need help" or "4. can't do it at all" as impaired for that item.</w:t>
      </w:r>
    </w:p>
    <w:p w14:paraId="09518DBD" w14:textId="77777777" w:rsidR="00606159" w:rsidRDefault="00000000">
      <w:pPr>
        <w:rPr>
          <w:rFonts w:ascii="Times New Roman" w:hAnsi="Times New Roman" w:cs="Times New Roman"/>
        </w:rPr>
      </w:pPr>
      <w:r>
        <w:rPr>
          <w:rFonts w:ascii="Times New Roman" w:hAnsi="Times New Roman" w:cs="Times New Roman"/>
        </w:rPr>
        <w:t>3) ADL Disability: A person who is impaired in at least one of the ADLs.</w:t>
      </w:r>
    </w:p>
    <w:p w14:paraId="43E192AE" w14:textId="77777777" w:rsidR="00606159" w:rsidRDefault="00000000">
      <w:pPr>
        <w:rPr>
          <w:rFonts w:ascii="Times New Roman" w:hAnsi="Times New Roman" w:cs="Times New Roman"/>
        </w:rPr>
      </w:pPr>
      <w:r>
        <w:rPr>
          <w:rFonts w:ascii="Times New Roman" w:hAnsi="Times New Roman" w:cs="Times New Roman"/>
        </w:rPr>
        <w:t>4) ADL incapacity rate: is the proportion of people with ADL incapacity in the total population</w:t>
      </w:r>
    </w:p>
    <w:p w14:paraId="6FB27F27" w14:textId="77777777" w:rsidR="00606159" w:rsidRDefault="00606159">
      <w:pPr>
        <w:rPr>
          <w:rFonts w:ascii="Times New Roman" w:hAnsi="Times New Roman" w:cs="Times New Roman"/>
        </w:rPr>
      </w:pPr>
    </w:p>
    <w:p w14:paraId="746B9131" w14:textId="77777777" w:rsidR="00606159" w:rsidRDefault="00000000">
      <w:pPr>
        <w:rPr>
          <w:rFonts w:ascii="Times New Roman" w:hAnsi="Times New Roman" w:cs="Times New Roman"/>
          <w:b/>
          <w:bCs/>
        </w:rPr>
      </w:pPr>
      <w:r>
        <w:rPr>
          <w:rFonts w:ascii="Times New Roman" w:hAnsi="Times New Roman" w:cs="Times New Roman" w:hint="eastAsia"/>
          <w:b/>
          <w:bCs/>
        </w:rPr>
        <w:t>2.3.2</w:t>
      </w:r>
      <w:r>
        <w:rPr>
          <w:rFonts w:ascii="Times New Roman" w:hAnsi="Times New Roman" w:cs="Times New Roman"/>
          <w:b/>
          <w:bCs/>
        </w:rPr>
        <w:t xml:space="preserve"> Sleep condition</w:t>
      </w:r>
    </w:p>
    <w:p w14:paraId="3B8C9396" w14:textId="77777777" w:rsidR="00606159" w:rsidRDefault="00000000">
      <w:pPr>
        <w:rPr>
          <w:rFonts w:ascii="Times New Roman" w:hAnsi="Times New Roman" w:cs="Times New Roman"/>
        </w:rPr>
      </w:pPr>
      <w:r>
        <w:rPr>
          <w:rFonts w:ascii="Times New Roman" w:hAnsi="Times New Roman" w:cs="Times New Roman"/>
        </w:rPr>
        <w:t>1) Mean daily sleep time: the average duration of nighttime sleep per day.</w:t>
      </w:r>
    </w:p>
    <w:p w14:paraId="1B06C00E" w14:textId="77777777" w:rsidR="00606159" w:rsidRDefault="00000000">
      <w:pPr>
        <w:rPr>
          <w:rFonts w:ascii="Times New Roman" w:hAnsi="Times New Roman" w:cs="Times New Roman"/>
        </w:rPr>
      </w:pPr>
      <w:r>
        <w:rPr>
          <w:rFonts w:ascii="Times New Roman" w:hAnsi="Times New Roman" w:cs="Times New Roman"/>
        </w:rPr>
        <w:t>2) Sleep disorders: Difficulty sleeping, waking up twice or more, taking sleeping pills, or waking up early on at least 3 days a week during the past 30 days.</w:t>
      </w:r>
    </w:p>
    <w:p w14:paraId="540C8E4E" w14:textId="77777777" w:rsidR="00606159" w:rsidRDefault="00000000">
      <w:pPr>
        <w:rPr>
          <w:rFonts w:ascii="Times New Roman" w:hAnsi="Times New Roman" w:cs="Times New Roman"/>
        </w:rPr>
      </w:pPr>
      <w:r>
        <w:rPr>
          <w:rFonts w:ascii="Times New Roman" w:hAnsi="Times New Roman" w:cs="Times New Roman"/>
        </w:rPr>
        <w:t>3) Prevalence of self-reported sleep disorders: the proportion of people with self-reported sleep disorders in the total population.</w:t>
      </w:r>
    </w:p>
    <w:p w14:paraId="52800909" w14:textId="77777777" w:rsidR="00606159" w:rsidRDefault="00606159">
      <w:pPr>
        <w:rPr>
          <w:rFonts w:ascii="Times New Roman" w:hAnsi="Times New Roman" w:cs="Times New Roman"/>
        </w:rPr>
      </w:pPr>
    </w:p>
    <w:p w14:paraId="0E1A45CE" w14:textId="77777777" w:rsidR="00606159" w:rsidRDefault="00000000">
      <w:pPr>
        <w:rPr>
          <w:rFonts w:ascii="Times New Roman" w:hAnsi="Times New Roman" w:cs="Times New Roman"/>
          <w:b/>
          <w:bCs/>
        </w:rPr>
      </w:pPr>
      <w:r>
        <w:rPr>
          <w:rFonts w:ascii="Times New Roman" w:hAnsi="Times New Roman" w:cs="Times New Roman" w:hint="eastAsia"/>
          <w:b/>
          <w:bCs/>
        </w:rPr>
        <w:t>2.3.3</w:t>
      </w:r>
      <w:r>
        <w:rPr>
          <w:rFonts w:ascii="Times New Roman" w:hAnsi="Times New Roman" w:cs="Times New Roman"/>
          <w:b/>
          <w:bCs/>
        </w:rPr>
        <w:t xml:space="preserve"> Depressive symptoms</w:t>
      </w:r>
    </w:p>
    <w:p w14:paraId="69BD880F" w14:textId="77777777" w:rsidR="00606159" w:rsidRDefault="00000000">
      <w:pPr>
        <w:rPr>
          <w:rFonts w:ascii="Times New Roman" w:hAnsi="Times New Roman" w:cs="Times New Roman"/>
        </w:rPr>
      </w:pPr>
      <w:r>
        <w:rPr>
          <w:rFonts w:ascii="Times New Roman" w:hAnsi="Times New Roman" w:cs="Times New Roman"/>
        </w:rPr>
        <w:t>1) Depressive symptoms: The PHQ-9 Depression Screening Scale was used to screen for depressive symptoms based on the past two weeks. There are 9 questions in the scale, each question is divided into four options, not at all = 0 points, a few days = 1 point, more than half of the days = 2 points, Л almost every day = 3 points, 9 questions scores are summed up for the score of the scale, the total score of 0-27 points, the total score of 0-4 points for normal, 5-9 points for the possible existence of mild depression, 10-14 points for the possibility of the existence of moderate depressive symptoms, 15 points and above for the possibility of the existence of severe depression. The score of 15 and above is considered as the possible existence of major depressive symptoms.</w:t>
      </w:r>
    </w:p>
    <w:p w14:paraId="4891AC8C" w14:textId="77777777" w:rsidR="00606159" w:rsidRDefault="00000000">
      <w:pPr>
        <w:rPr>
          <w:rFonts w:ascii="Times New Roman" w:hAnsi="Times New Roman" w:cs="Times New Roman"/>
        </w:rPr>
      </w:pPr>
      <w:r>
        <w:rPr>
          <w:rFonts w:ascii="Times New Roman" w:hAnsi="Times New Roman" w:cs="Times New Roman"/>
        </w:rPr>
        <w:t>2) Prevalence of depressive symptoms: Percentage of the number of people with mild or above depressive symptoms in the survey.</w:t>
      </w:r>
    </w:p>
    <w:p w14:paraId="0DB65CF2" w14:textId="77777777" w:rsidR="00606159" w:rsidRDefault="00606159">
      <w:pPr>
        <w:rPr>
          <w:rFonts w:ascii="Times New Roman" w:hAnsi="Times New Roman" w:cs="Times New Roman"/>
        </w:rPr>
      </w:pPr>
    </w:p>
    <w:p w14:paraId="4BB7F8D8" w14:textId="77777777" w:rsidR="00606159" w:rsidRDefault="00000000">
      <w:pPr>
        <w:rPr>
          <w:rFonts w:ascii="Times New Roman" w:hAnsi="Times New Roman" w:cs="Times New Roman"/>
          <w:b/>
          <w:bCs/>
        </w:rPr>
      </w:pPr>
      <w:r>
        <w:rPr>
          <w:rFonts w:ascii="Times New Roman" w:hAnsi="Times New Roman" w:cs="Times New Roman" w:hint="eastAsia"/>
          <w:b/>
          <w:bCs/>
        </w:rPr>
        <w:t>2.3.4</w:t>
      </w:r>
      <w:r>
        <w:rPr>
          <w:rFonts w:ascii="Times New Roman" w:hAnsi="Times New Roman" w:cs="Times New Roman"/>
          <w:b/>
          <w:bCs/>
        </w:rPr>
        <w:t xml:space="preserve"> Hearing status</w:t>
      </w:r>
    </w:p>
    <w:p w14:paraId="48183F2F" w14:textId="77777777" w:rsidR="00606159" w:rsidRDefault="00000000">
      <w:pPr>
        <w:rPr>
          <w:rFonts w:ascii="Times New Roman" w:hAnsi="Times New Roman" w:cs="Times New Roman"/>
        </w:rPr>
      </w:pPr>
      <w:r>
        <w:rPr>
          <w:rFonts w:ascii="Times New Roman" w:hAnsi="Times New Roman" w:cs="Times New Roman"/>
        </w:rPr>
        <w:t xml:space="preserve">The air-conducted pure-tone screening audiometry was performed using a screening audiometer with uniform specifications in accordance with the standard of Electroacoustic Audiometric Equipment Part 1: Pure Tone Audiometer (GB/T 7341.1-2010) to evaluate the loss of hearing function in the elderly. The audiometric tests were conducted in a room with a background noise of 50 dB, and the hearing thresholds of 500 Hz, 1000 Hz, 2000 Hz and </w:t>
      </w:r>
      <w:r>
        <w:rPr>
          <w:rFonts w:ascii="Times New Roman" w:hAnsi="Times New Roman" w:cs="Times New Roman"/>
        </w:rPr>
        <w:lastRenderedPageBreak/>
        <w:t>4000 Hz were measured in the bare ear of the test subjects, with the better ear counted, and the average hearing thresholds were taken. According to the WHO 1997 classification standard for hearing loss, the degree of hearing loss was determined according to the average pure tone hearing threshold (PTA) at the four frequencies (500 Hz, 1000 Hz, 2000 Hz, and 4000 Hz), and was divided into four grades, namely, mild (26-40/dB HL), moderate (41-60/dB HL), severe (61-80/dB HL), and extremely severe (≥81/dB HL).</w:t>
      </w:r>
    </w:p>
    <w:p w14:paraId="391ACC0F" w14:textId="77777777" w:rsidR="00606159" w:rsidRDefault="00000000">
      <w:pPr>
        <w:rPr>
          <w:rFonts w:ascii="Times New Roman" w:hAnsi="Times New Roman" w:cs="Times New Roman"/>
        </w:rPr>
      </w:pPr>
      <w:r>
        <w:rPr>
          <w:rFonts w:ascii="Times New Roman" w:hAnsi="Times New Roman" w:cs="Times New Roman"/>
        </w:rPr>
        <w:t>Prevalence of hearing loss, i.e., the number of persons with all levels of hearing loss based on pure tone audiometry as a percentage of the survey population</w:t>
      </w:r>
      <w:r>
        <w:rPr>
          <w:rFonts w:ascii="Times New Roman" w:hAnsi="Times New Roman" w:cs="Times New Roman" w:hint="eastAsia"/>
        </w:rPr>
        <w:t>.</w:t>
      </w:r>
    </w:p>
    <w:p w14:paraId="30BF1BE9" w14:textId="77777777" w:rsidR="00606159" w:rsidRDefault="00606159">
      <w:pPr>
        <w:rPr>
          <w:rFonts w:ascii="Times New Roman" w:hAnsi="Times New Roman" w:cs="Times New Roman"/>
        </w:rPr>
      </w:pPr>
    </w:p>
    <w:p w14:paraId="7082BB41" w14:textId="77777777" w:rsidR="00606159" w:rsidRDefault="00000000">
      <w:pPr>
        <w:rPr>
          <w:rFonts w:ascii="Times New Roman" w:hAnsi="Times New Roman" w:cs="Times New Roman"/>
          <w:b/>
          <w:bCs/>
        </w:rPr>
      </w:pPr>
      <w:r>
        <w:rPr>
          <w:rFonts w:ascii="Times New Roman" w:hAnsi="Times New Roman" w:cs="Times New Roman" w:hint="eastAsia"/>
          <w:b/>
          <w:bCs/>
        </w:rPr>
        <w:t>2.3.5</w:t>
      </w:r>
      <w:r>
        <w:rPr>
          <w:rFonts w:ascii="Times New Roman" w:hAnsi="Times New Roman" w:cs="Times New Roman"/>
          <w:b/>
          <w:bCs/>
        </w:rPr>
        <w:t xml:space="preserve"> Constipation</w:t>
      </w:r>
    </w:p>
    <w:p w14:paraId="72B7902C" w14:textId="77777777" w:rsidR="00606159" w:rsidRDefault="00000000">
      <w:pPr>
        <w:rPr>
          <w:rFonts w:ascii="Times New Roman" w:hAnsi="Times New Roman" w:cs="Times New Roman"/>
        </w:rPr>
      </w:pPr>
      <w:r>
        <w:rPr>
          <w:rFonts w:ascii="Times New Roman" w:hAnsi="Times New Roman" w:cs="Times New Roman"/>
        </w:rPr>
        <w:t>(1) Constipation: less than 3 bowel movements per week, with poor, laborious and difficult defecation, dry stools and small amount of feces.</w:t>
      </w:r>
    </w:p>
    <w:p w14:paraId="2F7BDEEB" w14:textId="77777777" w:rsidR="00606159" w:rsidRDefault="00000000">
      <w:pPr>
        <w:rPr>
          <w:rFonts w:ascii="Times New Roman" w:hAnsi="Times New Roman" w:cs="Times New Roman"/>
        </w:rPr>
      </w:pPr>
      <w:r>
        <w:rPr>
          <w:rFonts w:ascii="Times New Roman" w:hAnsi="Times New Roman" w:cs="Times New Roman"/>
        </w:rPr>
        <w:t>(2) Prevalence of self-reported constipation: the proportion of patients who reported constipation in the total population.</w:t>
      </w:r>
    </w:p>
    <w:p w14:paraId="6E667F33" w14:textId="77777777" w:rsidR="00606159" w:rsidRDefault="00606159">
      <w:pPr>
        <w:rPr>
          <w:rFonts w:ascii="Times New Roman" w:hAnsi="Times New Roman" w:cs="Times New Roman"/>
        </w:rPr>
      </w:pPr>
    </w:p>
    <w:p w14:paraId="1891587C" w14:textId="77777777" w:rsidR="00606159" w:rsidRDefault="00606159">
      <w:pPr>
        <w:rPr>
          <w:rFonts w:ascii="Times New Roman" w:hAnsi="Times New Roman" w:cs="Times New Roman"/>
        </w:rPr>
      </w:pPr>
    </w:p>
    <w:p w14:paraId="59752FA9" w14:textId="77777777" w:rsidR="00606159" w:rsidRPr="00607BFB" w:rsidRDefault="00000000">
      <w:pPr>
        <w:rPr>
          <w:rFonts w:ascii="Times New Roman" w:hAnsi="Times New Roman" w:cs="Times New Roman"/>
          <w:b/>
          <w:bCs/>
          <w:sz w:val="24"/>
          <w:szCs w:val="28"/>
        </w:rPr>
      </w:pPr>
      <w:r w:rsidRPr="00607BFB">
        <w:rPr>
          <w:rFonts w:ascii="Times New Roman" w:hAnsi="Times New Roman" w:cs="Times New Roman" w:hint="eastAsia"/>
          <w:b/>
          <w:bCs/>
          <w:sz w:val="24"/>
          <w:szCs w:val="28"/>
        </w:rPr>
        <w:t>3 Statistical analysis</w:t>
      </w:r>
    </w:p>
    <w:p w14:paraId="1CEA482B" w14:textId="77777777" w:rsidR="00606159" w:rsidRPr="00607BFB" w:rsidRDefault="00000000">
      <w:pPr>
        <w:rPr>
          <w:rFonts w:ascii="Times New Roman" w:hAnsi="Times New Roman" w:cs="Times New Roman"/>
          <w:b/>
          <w:bCs/>
        </w:rPr>
      </w:pPr>
      <w:r w:rsidRPr="00607BFB">
        <w:rPr>
          <w:rFonts w:ascii="Times New Roman" w:hAnsi="Times New Roman" w:cs="Times New Roman" w:hint="eastAsia"/>
          <w:b/>
          <w:bCs/>
        </w:rPr>
        <w:t xml:space="preserve">3.1 </w:t>
      </w:r>
      <w:r w:rsidRPr="00607BFB">
        <w:rPr>
          <w:rFonts w:ascii="Times New Roman" w:hAnsi="Times New Roman" w:cs="Times New Roman"/>
          <w:b/>
          <w:bCs/>
        </w:rPr>
        <w:t>Gaussian Process Regression, GPR</w:t>
      </w:r>
      <w:r w:rsidRPr="00607BFB">
        <w:rPr>
          <w:rFonts w:ascii="Times New Roman" w:hAnsi="Times New Roman" w:cs="Times New Roman"/>
        </w:rPr>
        <w:br/>
        <w:t>Gaussian Process Regression (GPR) is a non-parametric Bayesian approach used to estimate continuous variables across age groups, regions, and time periods. In our study, GPR was used to estimate mortality rates and other health outcomes where direct data were sparse or incomplete. The key advantage of GPR is its ability to generate smooth trends by accounting for both observed data and uncertainty, thus avoiding overfitting.</w:t>
      </w:r>
    </w:p>
    <w:p w14:paraId="62DF642C" w14:textId="77777777" w:rsidR="00606159" w:rsidRPr="00607BFB" w:rsidRDefault="00000000">
      <w:pPr>
        <w:rPr>
          <w:rFonts w:ascii="Times New Roman" w:hAnsi="Times New Roman" w:cs="Times New Roman"/>
        </w:rPr>
      </w:pPr>
      <w:r w:rsidRPr="00607BFB">
        <w:rPr>
          <w:rFonts w:ascii="Times New Roman" w:hAnsi="Times New Roman" w:cs="Times New Roman" w:hint="eastAsia"/>
          <w:b/>
          <w:bCs/>
        </w:rPr>
        <w:t xml:space="preserve">3.1.1 </w:t>
      </w:r>
      <w:r w:rsidRPr="00607BFB">
        <w:rPr>
          <w:rFonts w:ascii="Times New Roman" w:hAnsi="Times New Roman" w:cs="Times New Roman"/>
          <w:b/>
          <w:bCs/>
        </w:rPr>
        <w:t>Assumptions</w:t>
      </w:r>
      <w:r w:rsidRPr="00607BFB">
        <w:rPr>
          <w:rFonts w:ascii="Times New Roman" w:hAnsi="Times New Roman" w:cs="Times New Roman"/>
        </w:rPr>
        <w:t>:</w:t>
      </w:r>
      <w:r w:rsidRPr="00607BFB">
        <w:rPr>
          <w:rFonts w:ascii="Times New Roman" w:hAnsi="Times New Roman" w:cs="Times New Roman"/>
        </w:rPr>
        <w:br/>
        <w:t>GPR assumes that the underlying trend in the data is smooth and continuous across different groups. The correlation between observations is modeled using a covariance function, which captures the expected smoothness and variability in the data. In this study, we assume that mortality rates change smoothly over time and across different regions.</w:t>
      </w:r>
    </w:p>
    <w:p w14:paraId="2F12E1EC" w14:textId="77777777" w:rsidR="00606159" w:rsidRPr="00607BFB" w:rsidRDefault="00000000">
      <w:pPr>
        <w:rPr>
          <w:rFonts w:ascii="Times New Roman" w:hAnsi="Times New Roman" w:cs="Times New Roman"/>
        </w:rPr>
      </w:pPr>
      <w:r w:rsidRPr="00607BFB">
        <w:rPr>
          <w:rFonts w:ascii="Times New Roman" w:hAnsi="Times New Roman" w:cs="Times New Roman" w:hint="eastAsia"/>
          <w:b/>
          <w:bCs/>
        </w:rPr>
        <w:t xml:space="preserve">3.1.2 </w:t>
      </w:r>
      <w:r w:rsidRPr="00607BFB">
        <w:rPr>
          <w:rFonts w:ascii="Times New Roman" w:hAnsi="Times New Roman" w:cs="Times New Roman"/>
          <w:b/>
          <w:bCs/>
        </w:rPr>
        <w:t>Rationale for Using GPR</w:t>
      </w:r>
      <w:r w:rsidRPr="00607BFB">
        <w:rPr>
          <w:rFonts w:ascii="Times New Roman" w:hAnsi="Times New Roman" w:cs="Times New Roman"/>
        </w:rPr>
        <w:t>:</w:t>
      </w:r>
      <w:r w:rsidRPr="00607BFB">
        <w:rPr>
          <w:rFonts w:ascii="Times New Roman" w:hAnsi="Times New Roman" w:cs="Times New Roman"/>
        </w:rPr>
        <w:br/>
        <w:t>GPR is widely used in global health studies, such as the Global Burden of Disease (GBD) study, for its flexibility in handling missing data and ability to smooth out variations in sparse datasets. It is particularly useful when data are incomplete or inconsistent across regions, as it provides a probabilistic framework for interpolation.</w:t>
      </w:r>
    </w:p>
    <w:p w14:paraId="7BF964D3" w14:textId="77777777" w:rsidR="00606159" w:rsidRPr="00607BFB" w:rsidRDefault="00000000">
      <w:pPr>
        <w:rPr>
          <w:rFonts w:ascii="Times New Roman" w:hAnsi="Times New Roman" w:cs="Times New Roman"/>
          <w:b/>
          <w:bCs/>
        </w:rPr>
      </w:pPr>
      <w:r w:rsidRPr="00607BFB">
        <w:rPr>
          <w:rFonts w:ascii="Times New Roman" w:hAnsi="Times New Roman" w:cs="Times New Roman" w:hint="eastAsia"/>
          <w:b/>
          <w:bCs/>
        </w:rPr>
        <w:lastRenderedPageBreak/>
        <w:t>3.2</w:t>
      </w:r>
      <w:r w:rsidRPr="00607BFB">
        <w:rPr>
          <w:rFonts w:ascii="Times New Roman" w:hAnsi="Times New Roman" w:cs="Times New Roman"/>
          <w:b/>
          <w:bCs/>
        </w:rPr>
        <w:t xml:space="preserve"> Population Attributable Fraction, PAF</w:t>
      </w:r>
      <w:r w:rsidRPr="00607BFB">
        <w:rPr>
          <w:rFonts w:ascii="Times New Roman" w:hAnsi="Times New Roman" w:cs="Times New Roman"/>
        </w:rPr>
        <w:br/>
        <w:t>Population Attributable Fraction (PAF) is used to estimate the contribution of specific risk factors to the overall disease burden. In our study, PAF was calculated to determine the proportion of DALYs, mortality, or other health outcomes attributable to risk factors such as smoking, hypertension, and dietary risks. PAF was estimated using the formula:</w:t>
      </w:r>
    </w:p>
    <w:p w14:paraId="299DFD7F" w14:textId="77777777" w:rsidR="00606159" w:rsidRPr="00607BFB" w:rsidRDefault="00000000">
      <w:pPr>
        <w:rPr>
          <w:rFonts w:ascii="Times New Roman" w:hAnsi="Times New Roman" w:cs="Times New Roman"/>
        </w:rPr>
      </w:pPr>
      <w:r w:rsidRPr="00607BFB">
        <w:rPr>
          <w:rFonts w:ascii="Times New Roman" w:hAnsi="Times New Roman" w:cs="Times New Roman"/>
        </w:rPr>
        <w:t>PAF=Pe×(RR−1)</w:t>
      </w:r>
      <w:r w:rsidRPr="00607BFB">
        <w:rPr>
          <w:rFonts w:ascii="Times New Roman" w:hAnsi="Times New Roman" w:cs="Times New Roman" w:hint="eastAsia"/>
        </w:rPr>
        <w:t>/</w:t>
      </w:r>
      <w:r w:rsidRPr="00607BFB">
        <w:rPr>
          <w:rFonts w:ascii="Times New Roman" w:hAnsi="Times New Roman" w:cs="Times New Roman"/>
        </w:rPr>
        <w:t>Pe×(RR−1)+1</w:t>
      </w:r>
    </w:p>
    <w:p w14:paraId="2D12BAF1" w14:textId="72B460F3" w:rsidR="00606159" w:rsidRPr="00607BFB" w:rsidRDefault="00000000">
      <w:pPr>
        <w:rPr>
          <w:rFonts w:ascii="Times New Roman" w:hAnsi="Times New Roman" w:cs="Times New Roman"/>
        </w:rPr>
      </w:pPr>
      <w:r w:rsidRPr="00607BFB">
        <w:rPr>
          <w:rFonts w:ascii="Times New Roman" w:hAnsi="Times New Roman" w:cs="Times New Roman"/>
        </w:rPr>
        <w:t>where Pe is the proportion of the population exposed to the risk factor, and RR is the relative risk associated with the factor.</w:t>
      </w:r>
    </w:p>
    <w:p w14:paraId="429A862B" w14:textId="77777777" w:rsidR="00606159" w:rsidRPr="00607BFB" w:rsidRDefault="00000000">
      <w:pPr>
        <w:rPr>
          <w:rFonts w:ascii="Times New Roman" w:hAnsi="Times New Roman" w:cs="Times New Roman"/>
        </w:rPr>
      </w:pPr>
      <w:r w:rsidRPr="00607BFB">
        <w:rPr>
          <w:rFonts w:ascii="Times New Roman" w:hAnsi="Times New Roman" w:cs="Times New Roman" w:hint="eastAsia"/>
          <w:b/>
          <w:bCs/>
        </w:rPr>
        <w:t xml:space="preserve">3.2.1 </w:t>
      </w:r>
      <w:r w:rsidRPr="00607BFB">
        <w:rPr>
          <w:rFonts w:ascii="Times New Roman" w:hAnsi="Times New Roman" w:cs="Times New Roman"/>
          <w:b/>
          <w:bCs/>
        </w:rPr>
        <w:t>Assumptions</w:t>
      </w:r>
      <w:r w:rsidRPr="00607BFB">
        <w:rPr>
          <w:rFonts w:ascii="Times New Roman" w:hAnsi="Times New Roman" w:cs="Times New Roman"/>
        </w:rPr>
        <w:t>:</w:t>
      </w:r>
      <w:r w:rsidRPr="00607BFB">
        <w:rPr>
          <w:rFonts w:ascii="Times New Roman" w:hAnsi="Times New Roman" w:cs="Times New Roman"/>
        </w:rPr>
        <w:br/>
        <w:t>We assumed that the exposure to risk factors and their relative risks were consistent across different population groups. The relative risk estimates were derived from meta-analyses of epidemiological studies, while exposure data were obtained from national surveys.</w:t>
      </w:r>
    </w:p>
    <w:p w14:paraId="3D19F890" w14:textId="77777777" w:rsidR="00606159" w:rsidRPr="00607BFB" w:rsidRDefault="00000000">
      <w:pPr>
        <w:rPr>
          <w:rFonts w:ascii="Times New Roman" w:hAnsi="Times New Roman" w:cs="Times New Roman"/>
        </w:rPr>
      </w:pPr>
      <w:r w:rsidRPr="00607BFB">
        <w:rPr>
          <w:rFonts w:ascii="Times New Roman" w:hAnsi="Times New Roman" w:cs="Times New Roman" w:hint="eastAsia"/>
          <w:b/>
          <w:bCs/>
        </w:rPr>
        <w:t xml:space="preserve">3.2.2 </w:t>
      </w:r>
      <w:r w:rsidRPr="00607BFB">
        <w:rPr>
          <w:rFonts w:ascii="Times New Roman" w:hAnsi="Times New Roman" w:cs="Times New Roman"/>
          <w:b/>
          <w:bCs/>
        </w:rPr>
        <w:t>Rationale for Using PAF</w:t>
      </w:r>
      <w:r w:rsidRPr="00607BFB">
        <w:rPr>
          <w:rFonts w:ascii="Times New Roman" w:hAnsi="Times New Roman" w:cs="Times New Roman"/>
        </w:rPr>
        <w:t>:</w:t>
      </w:r>
      <w:r w:rsidRPr="00607BFB">
        <w:rPr>
          <w:rFonts w:ascii="Times New Roman" w:hAnsi="Times New Roman" w:cs="Times New Roman"/>
        </w:rPr>
        <w:br/>
        <w:t>PAF allows us to quantify the public health impact of specific risk factors and informs targeted interventions. By calculating PAF, we can identify the most significant contributors to the disease burden, which is critical for policy development and resource allocation.</w:t>
      </w:r>
    </w:p>
    <w:p w14:paraId="29C03A45" w14:textId="77777777" w:rsidR="00606159" w:rsidRPr="00607BFB" w:rsidRDefault="00606159">
      <w:pPr>
        <w:rPr>
          <w:rFonts w:ascii="Times New Roman" w:hAnsi="Times New Roman" w:cs="Times New Roman"/>
          <w:b/>
          <w:bCs/>
        </w:rPr>
      </w:pPr>
    </w:p>
    <w:p w14:paraId="0DF8F080" w14:textId="77777777" w:rsidR="00606159" w:rsidRPr="00607BFB" w:rsidRDefault="00000000">
      <w:pPr>
        <w:rPr>
          <w:rFonts w:ascii="Times New Roman" w:hAnsi="Times New Roman" w:cs="Times New Roman"/>
          <w:b/>
          <w:bCs/>
        </w:rPr>
      </w:pPr>
      <w:r w:rsidRPr="00607BFB">
        <w:rPr>
          <w:rFonts w:ascii="Times New Roman" w:hAnsi="Times New Roman" w:cs="Times New Roman" w:hint="eastAsia"/>
          <w:b/>
          <w:bCs/>
        </w:rPr>
        <w:t>3.3 Estimation of mortality</w:t>
      </w:r>
      <w:r w:rsidRPr="00607BFB">
        <w:rPr>
          <w:rFonts w:ascii="Times New Roman" w:hAnsi="Times New Roman" w:cs="Times New Roman"/>
        </w:rPr>
        <w:br/>
        <w:t>Mortality rates were estimated using a combination of direct data and model-based approaches. For regions or age groups with sparse data, Gaussian Process Regression (GPR) was employed to estimate mortality trends. For areas with sufficient data, we relied on national mortality statistics.</w:t>
      </w:r>
    </w:p>
    <w:p w14:paraId="222F29BB" w14:textId="77777777" w:rsidR="00606159" w:rsidRPr="00607BFB" w:rsidRDefault="00000000">
      <w:pPr>
        <w:rPr>
          <w:rFonts w:ascii="Times New Roman" w:hAnsi="Times New Roman" w:cs="Times New Roman"/>
        </w:rPr>
      </w:pPr>
      <w:r w:rsidRPr="00607BFB">
        <w:rPr>
          <w:rFonts w:ascii="Times New Roman" w:hAnsi="Times New Roman" w:cs="Times New Roman" w:hint="eastAsia"/>
          <w:b/>
          <w:bCs/>
        </w:rPr>
        <w:t>3.3.1</w:t>
      </w:r>
      <w:r w:rsidRPr="00607BFB">
        <w:rPr>
          <w:rFonts w:ascii="Times New Roman" w:hAnsi="Times New Roman" w:cs="Times New Roman"/>
          <w:b/>
          <w:bCs/>
        </w:rPr>
        <w:t>Assumptions</w:t>
      </w:r>
      <w:r w:rsidRPr="00607BFB">
        <w:rPr>
          <w:rFonts w:ascii="Times New Roman" w:hAnsi="Times New Roman" w:cs="Times New Roman"/>
        </w:rPr>
        <w:t>:</w:t>
      </w:r>
      <w:r w:rsidRPr="00607BFB">
        <w:rPr>
          <w:rFonts w:ascii="Times New Roman" w:hAnsi="Times New Roman" w:cs="Times New Roman"/>
        </w:rPr>
        <w:br/>
        <w:t>We assumed that mortality rates vary smoothly across age groups and regions, and that GPR could provide a robust estimate in data-limited settings.</w:t>
      </w:r>
    </w:p>
    <w:p w14:paraId="787E9F9D" w14:textId="77777777" w:rsidR="00606159" w:rsidRDefault="00606159">
      <w:pPr>
        <w:rPr>
          <w:rFonts w:ascii="Times New Roman" w:hAnsi="Times New Roman" w:cs="Times New Roman"/>
        </w:rPr>
      </w:pPr>
    </w:p>
    <w:sectPr w:rsidR="006061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B4F2E" w14:textId="77777777" w:rsidR="00940AAD" w:rsidRDefault="00940AAD">
      <w:pPr>
        <w:spacing w:line="240" w:lineRule="auto"/>
        <w:rPr>
          <w:rFonts w:hint="eastAsia"/>
        </w:rPr>
      </w:pPr>
      <w:r>
        <w:separator/>
      </w:r>
    </w:p>
  </w:endnote>
  <w:endnote w:type="continuationSeparator" w:id="0">
    <w:p w14:paraId="5E65B96D" w14:textId="77777777" w:rsidR="00940AAD" w:rsidRDefault="00940AA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6084F" w14:textId="77777777" w:rsidR="00940AAD" w:rsidRDefault="00940AAD">
      <w:pPr>
        <w:spacing w:after="0"/>
        <w:rPr>
          <w:rFonts w:hint="eastAsia"/>
        </w:rPr>
      </w:pPr>
      <w:r>
        <w:separator/>
      </w:r>
    </w:p>
  </w:footnote>
  <w:footnote w:type="continuationSeparator" w:id="0">
    <w:p w14:paraId="35C6068C" w14:textId="77777777" w:rsidR="00940AAD" w:rsidRDefault="00940AAD">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gyOGQyODI3NTAyMDJjYmRjZmFkZWE1NDI5Y2Q4NDIifQ=="/>
  </w:docVars>
  <w:rsids>
    <w:rsidRoot w:val="00BC55E2"/>
    <w:rsid w:val="000D530F"/>
    <w:rsid w:val="000E6C89"/>
    <w:rsid w:val="001560BE"/>
    <w:rsid w:val="00183EDF"/>
    <w:rsid w:val="001D14F7"/>
    <w:rsid w:val="0020397E"/>
    <w:rsid w:val="00274A80"/>
    <w:rsid w:val="004C11FF"/>
    <w:rsid w:val="005A2A23"/>
    <w:rsid w:val="00606159"/>
    <w:rsid w:val="00607BFB"/>
    <w:rsid w:val="0071473D"/>
    <w:rsid w:val="00742EF1"/>
    <w:rsid w:val="0088105F"/>
    <w:rsid w:val="0093538D"/>
    <w:rsid w:val="00936D29"/>
    <w:rsid w:val="00940AAD"/>
    <w:rsid w:val="00AC0D55"/>
    <w:rsid w:val="00AE39E5"/>
    <w:rsid w:val="00B21058"/>
    <w:rsid w:val="00B26441"/>
    <w:rsid w:val="00B75500"/>
    <w:rsid w:val="00BC55E2"/>
    <w:rsid w:val="00C31629"/>
    <w:rsid w:val="00DF7977"/>
    <w:rsid w:val="00EF2DC9"/>
    <w:rsid w:val="12191EC2"/>
    <w:rsid w:val="384D2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9D106"/>
  <w15:docId w15:val="{A053DFFE-83F6-4682-B390-67C3B379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jc w:val="center"/>
    </w:pPr>
    <w:rPr>
      <w:i/>
      <w:iCs/>
      <w:color w:val="404040" w:themeColor="text1" w:themeTint="BF"/>
    </w:rPr>
  </w:style>
  <w:style w:type="character" w:customStyle="1" w:styleId="ae">
    <w:name w:val="引用 字符"/>
    <w:basedOn w:val="a0"/>
    <w:link w:val="ad"/>
    <w:uiPriority w:val="29"/>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character" w:styleId="af2">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2469</Words>
  <Characters>14077</Characters>
  <Application>Microsoft Office Word</Application>
  <DocSecurity>0</DocSecurity>
  <Lines>117</Lines>
  <Paragraphs>33</Paragraphs>
  <ScaleCrop>false</ScaleCrop>
  <Company/>
  <LinksUpToDate>false</LinksUpToDate>
  <CharactersWithSpaces>16513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HaoTian Wu</dc:creator>
  <cp:lastModifiedBy>HaoTian Wu</cp:lastModifiedBy>
  <cp:revision>5</cp:revision>
  <dcterms:created xsi:type="dcterms:W3CDTF">2024-09-19T11:20:00Z</dcterms:created>
  <dcterms:modified xsi:type="dcterms:W3CDTF">2024-09-25T10:13:00Z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32652312E7574237BC51905044A0D408_13</vt:lpwstr>
  </property>
</Properties>
</file>