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Supplementary Figure S1a: Survival data dependent </w:t>
      </w:r>
      <w:r>
        <w:rPr>
          <w:rFonts w:ascii="Arial" w:hAnsi="Arial" w:cs="Arial"/>
          <w:sz w:val="22"/>
          <w:szCs w:val="22"/>
          <w:lang w:val="en-US"/>
        </w:rPr>
        <w:t>on</w:t>
      </w:r>
      <w:r>
        <w:rPr>
          <w:rFonts w:ascii="Arial" w:hAnsi="Arial" w:cs="Arial"/>
          <w:sz w:val="22"/>
          <w:szCs w:val="22"/>
          <w:lang w:val="en-US"/>
        </w:rPr>
        <w:t xml:space="preserve"> TME Quality</w:t>
      </w:r>
      <w:r>
        <w:rPr>
          <w:rFonts w:ascii="Arial" w:hAnsi="Arial" w:cs="Arial"/>
          <w:sz w:val="22"/>
          <w:szCs w:val="22"/>
          <w:lang w:val="en-US"/>
        </w:rPr>
        <w:t>,</w:t>
      </w:r>
      <w:r>
        <w:rPr>
          <w:rFonts w:ascii="Arial" w:hAnsi="Arial" w:cs="Arial"/>
          <w:sz w:val="22"/>
          <w:szCs w:val="22"/>
          <w:lang w:val="en-US"/>
        </w:rPr>
        <w:t xml:space="preserve"> in all patients</w:t>
      </w: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Supplementary Figure S1b: Survival data dependent on TME quality</w:t>
      </w:r>
      <w:r>
        <w:rPr>
          <w:rFonts w:ascii="Arial" w:hAnsi="Arial" w:cs="Arial"/>
          <w:sz w:val="22"/>
          <w:szCs w:val="22"/>
          <w:lang w:val="en-US"/>
        </w:rPr>
        <w:t>,</w:t>
      </w:r>
      <w:r>
        <w:rPr>
          <w:rFonts w:ascii="Arial" w:hAnsi="Arial" w:cs="Arial"/>
          <w:sz w:val="22"/>
          <w:szCs w:val="22"/>
          <w:lang w:val="en-US"/>
        </w:rPr>
        <w:t xml:space="preserve"> in standard CRT patients. </w:t>
      </w: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Supplementary Figure S1c: Survival data dependent </w:t>
      </w:r>
      <w:r>
        <w:rPr>
          <w:rFonts w:ascii="Arial" w:hAnsi="Arial" w:cs="Arial"/>
          <w:sz w:val="22"/>
          <w:szCs w:val="22"/>
          <w:lang w:val="en-US"/>
        </w:rPr>
        <w:t xml:space="preserve">on </w:t>
      </w:r>
      <w:r>
        <w:rPr>
          <w:rFonts w:ascii="Arial" w:hAnsi="Arial" w:cs="Arial"/>
          <w:sz w:val="22"/>
          <w:szCs w:val="22"/>
          <w:lang w:val="en-US"/>
        </w:rPr>
        <w:t>TME quality</w:t>
      </w:r>
      <w:r>
        <w:rPr>
          <w:rFonts w:ascii="Arial" w:hAnsi="Arial" w:cs="Arial"/>
          <w:sz w:val="22"/>
          <w:szCs w:val="22"/>
          <w:lang w:val="en-US"/>
        </w:rPr>
        <w:t>,</w:t>
      </w:r>
      <w:r>
        <w:rPr>
          <w:rFonts w:ascii="Arial" w:hAnsi="Arial" w:cs="Arial"/>
          <w:sz w:val="22"/>
          <w:szCs w:val="22"/>
          <w:lang w:val="en-US"/>
        </w:rPr>
        <w:t xml:space="preserve"> in intensified CRT patients. </w:t>
      </w: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Supplementary Fig</w:t>
      </w:r>
      <w:bookmarkStart w:id="0" w:name="_GoBack"/>
      <w:bookmarkEnd w:id="0"/>
      <w:r>
        <w:rPr>
          <w:rFonts w:ascii="Arial" w:hAnsi="Arial" w:cs="Arial"/>
          <w:sz w:val="22"/>
          <w:szCs w:val="22"/>
          <w:lang w:val="en-US"/>
        </w:rPr>
        <w:t>ure S2a: Survival data dependent on TME Quality</w:t>
      </w:r>
      <w:r>
        <w:rPr>
          <w:rFonts w:ascii="Arial" w:hAnsi="Arial" w:cs="Arial"/>
          <w:sz w:val="22"/>
          <w:szCs w:val="22"/>
          <w:lang w:val="en-US"/>
        </w:rPr>
        <w:t>,</w:t>
      </w:r>
      <w:r>
        <w:rPr>
          <w:rFonts w:ascii="Arial" w:hAnsi="Arial" w:cs="Arial"/>
          <w:sz w:val="22"/>
          <w:szCs w:val="22"/>
          <w:lang w:val="en-US"/>
        </w:rPr>
        <w:t xml:space="preserve"> in APR patients</w:t>
      </w: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Supplementary Figure S2b: Survival data dependent on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TME Quality</w:t>
      </w:r>
      <w:r>
        <w:rPr>
          <w:rFonts w:ascii="Arial" w:hAnsi="Arial" w:cs="Arial"/>
          <w:sz w:val="22"/>
          <w:szCs w:val="22"/>
          <w:lang w:val="en-US"/>
        </w:rPr>
        <w:t>,</w:t>
      </w:r>
      <w:r>
        <w:rPr>
          <w:rFonts w:ascii="Arial" w:hAnsi="Arial" w:cs="Arial"/>
          <w:sz w:val="22"/>
          <w:szCs w:val="22"/>
          <w:lang w:val="en-US"/>
        </w:rPr>
        <w:t xml:space="preserve"> in LAR* patients</w:t>
      </w: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Supplementary Figure S3a: </w:t>
      </w:r>
      <w:r w:rsidR="008D5287">
        <w:rPr>
          <w:rFonts w:ascii="Arial" w:hAnsi="Arial" w:cs="Arial"/>
          <w:sz w:val="22"/>
          <w:szCs w:val="22"/>
          <w:lang w:val="en-US"/>
        </w:rPr>
        <w:t>Survival data</w:t>
      </w:r>
      <w:r>
        <w:rPr>
          <w:rFonts w:ascii="Arial" w:hAnsi="Arial" w:cs="Arial"/>
          <w:sz w:val="22"/>
          <w:szCs w:val="22"/>
          <w:lang w:val="en-US"/>
        </w:rPr>
        <w:t xml:space="preserve"> for APR </w:t>
      </w:r>
      <w:r w:rsidR="008D5287">
        <w:rPr>
          <w:rFonts w:ascii="Arial" w:hAnsi="Arial" w:cs="Arial"/>
          <w:sz w:val="22"/>
          <w:szCs w:val="22"/>
          <w:lang w:val="en-US"/>
        </w:rPr>
        <w:t xml:space="preserve">patients </w:t>
      </w:r>
      <w:r>
        <w:rPr>
          <w:rFonts w:ascii="Arial" w:hAnsi="Arial" w:cs="Arial"/>
          <w:sz w:val="22"/>
          <w:szCs w:val="22"/>
          <w:lang w:val="en-US"/>
        </w:rPr>
        <w:t>depending on completeness of resection (R0 vs. R1/2) after standard CRT</w:t>
      </w: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Supplementary Figure S3b: </w:t>
      </w:r>
      <w:r w:rsidR="008D5287">
        <w:rPr>
          <w:rFonts w:ascii="Arial" w:hAnsi="Arial" w:cs="Arial"/>
          <w:sz w:val="22"/>
          <w:szCs w:val="22"/>
          <w:lang w:val="en-US"/>
        </w:rPr>
        <w:t>Survival data for APR patients</w:t>
      </w:r>
      <w:r w:rsidR="008D5287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depending on completeness of resection (R0 vs. R&gt;0) after intensified CRT</w:t>
      </w: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383738" w:rsidRDefault="00383738" w:rsidP="0038373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07458C" w:rsidRPr="00383738" w:rsidRDefault="0007458C">
      <w:pPr>
        <w:rPr>
          <w:lang w:val="en-US"/>
        </w:rPr>
      </w:pPr>
    </w:p>
    <w:sectPr w:rsidR="0007458C" w:rsidRPr="00383738" w:rsidSect="00A20E1F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738"/>
    <w:rsid w:val="000029AF"/>
    <w:rsid w:val="0007458C"/>
    <w:rsid w:val="000B2FC3"/>
    <w:rsid w:val="001465E0"/>
    <w:rsid w:val="001B09B5"/>
    <w:rsid w:val="0020605C"/>
    <w:rsid w:val="00211969"/>
    <w:rsid w:val="00246E73"/>
    <w:rsid w:val="002670AE"/>
    <w:rsid w:val="003432BB"/>
    <w:rsid w:val="00383738"/>
    <w:rsid w:val="003B6415"/>
    <w:rsid w:val="004542FD"/>
    <w:rsid w:val="004560F1"/>
    <w:rsid w:val="004644EA"/>
    <w:rsid w:val="004A7908"/>
    <w:rsid w:val="004B2268"/>
    <w:rsid w:val="00533392"/>
    <w:rsid w:val="005B54B7"/>
    <w:rsid w:val="005C59FA"/>
    <w:rsid w:val="0062760D"/>
    <w:rsid w:val="00630E27"/>
    <w:rsid w:val="006A64C3"/>
    <w:rsid w:val="006B0F9C"/>
    <w:rsid w:val="006B7CFF"/>
    <w:rsid w:val="007C2158"/>
    <w:rsid w:val="00810A93"/>
    <w:rsid w:val="0081126E"/>
    <w:rsid w:val="008611E4"/>
    <w:rsid w:val="008A7D01"/>
    <w:rsid w:val="008D5287"/>
    <w:rsid w:val="009D56C2"/>
    <w:rsid w:val="00A17A5E"/>
    <w:rsid w:val="00A20E1F"/>
    <w:rsid w:val="00A34C2A"/>
    <w:rsid w:val="00AA60E0"/>
    <w:rsid w:val="00AD65CF"/>
    <w:rsid w:val="00B16019"/>
    <w:rsid w:val="00B31E9C"/>
    <w:rsid w:val="00BC57A9"/>
    <w:rsid w:val="00BE0A5B"/>
    <w:rsid w:val="00C93F79"/>
    <w:rsid w:val="00CB34A7"/>
    <w:rsid w:val="00D1794D"/>
    <w:rsid w:val="00D61E2D"/>
    <w:rsid w:val="00DB1BF8"/>
    <w:rsid w:val="00E14900"/>
    <w:rsid w:val="00E2795B"/>
    <w:rsid w:val="00E55515"/>
    <w:rsid w:val="00E7615C"/>
    <w:rsid w:val="00F01B58"/>
    <w:rsid w:val="00FF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C31ADB0"/>
  <w15:chartTrackingRefBased/>
  <w15:docId w15:val="{2F00D0C4-6087-DD49-BCF3-BCC97744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383738"/>
    <w:pPr>
      <w:suppressAutoHyphens/>
    </w:pPr>
    <w:rPr>
      <w:rFonts w:ascii="Times New Roman" w:eastAsia="Times New Roman" w:hAnsi="Times New Roman" w:cs="Times New Roman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 Azizian</dc:creator>
  <cp:keywords/>
  <dc:description/>
  <cp:lastModifiedBy>Azadeh Azizian</cp:lastModifiedBy>
  <cp:revision>1</cp:revision>
  <dcterms:created xsi:type="dcterms:W3CDTF">2023-02-17T08:28:00Z</dcterms:created>
  <dcterms:modified xsi:type="dcterms:W3CDTF">2023-02-17T08:57:00Z</dcterms:modified>
</cp:coreProperties>
</file>