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1FEFE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bookmarkStart w:id="0" w:name="_GoBack"/>
      <w:r>
        <w:rPr>
          <w:rFonts w:ascii="Times New Roman" w:hAnsi="Times New Roman" w:cs="Times New Roman"/>
          <w:sz w:val="30"/>
          <w:szCs w:val="30"/>
          <w:lang w:val="en-US"/>
        </w:rPr>
        <w:t>Supplemental Material</w:t>
      </w:r>
    </w:p>
    <w:bookmarkEnd w:id="0"/>
    <w:p w14:paraId="1D385B58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14:paraId="492C9199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 xml:space="preserve">Prediction of Ischemic Stroke in Patients With H-type 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H</w:t>
      </w:r>
      <w:r>
        <w:rPr>
          <w:rFonts w:ascii="Times New Roman" w:hAnsi="Times New Roman" w:cs="Times New Roman"/>
          <w:sz w:val="30"/>
          <w:szCs w:val="30"/>
          <w:lang w:val="en-US"/>
        </w:rPr>
        <w:t>ypertension</w:t>
      </w:r>
      <w:r>
        <w:rPr>
          <w:rFonts w:hint="default" w:ascii="Times New Roman" w:hAnsi="Times New Roman" w:cs="Times New Roman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>Based</w:t>
      </w:r>
      <w:r>
        <w:rPr>
          <w:rFonts w:hint="default" w:ascii="Times New Roman" w:hAnsi="Times New Roman" w:cs="Times New Roman"/>
          <w:sz w:val="30"/>
          <w:szCs w:val="30"/>
          <w:lang w:val="en-US"/>
        </w:rPr>
        <w:t xml:space="preserve"> on </w:t>
      </w:r>
      <w:r>
        <w:rPr>
          <w:rFonts w:ascii="Times New Roman" w:hAnsi="Times New Roman" w:cs="Times New Roman"/>
          <w:sz w:val="30"/>
          <w:szCs w:val="30"/>
          <w:lang w:val="en-US"/>
        </w:rPr>
        <w:t>Biomarker</w:t>
      </w:r>
    </w:p>
    <w:p w14:paraId="1ABA6BFC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center"/>
        <w:rPr>
          <w:rFonts w:hint="eastAsia"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 xml:space="preserve">Ke Chen, Jianxun He, 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L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an Fu, 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Xiaohua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Song</w:t>
      </w:r>
      <w:r>
        <w:rPr>
          <w:rFonts w:ascii="Times New Roman" w:hAnsi="Times New Roman" w:cs="Times New Roman"/>
          <w:sz w:val="30"/>
          <w:szCs w:val="30"/>
          <w:lang w:val="en-US"/>
        </w:rPr>
        <w:t>, Ning Cao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,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Hui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/>
        </w:rPr>
        <w:t>Yuan</w:t>
      </w:r>
    </w:p>
    <w:p w14:paraId="12562868">
      <w:pPr>
        <w:rPr>
          <w:rFonts w:hint="eastAsia" w:ascii="Times New Roman" w:hAnsi="Times New Roman" w:cs="Times New Roman"/>
          <w:sz w:val="30"/>
          <w:szCs w:val="30"/>
          <w:lang w:val="en-US"/>
        </w:rPr>
      </w:pPr>
      <w:r>
        <w:rPr>
          <w:rFonts w:hint="eastAsia" w:ascii="Times New Roman" w:hAnsi="Times New Roman" w:cs="Times New Roman"/>
          <w:sz w:val="30"/>
          <w:szCs w:val="30"/>
          <w:lang w:val="en-US"/>
        </w:rPr>
        <w:br w:type="page"/>
      </w:r>
    </w:p>
    <w:p w14:paraId="70D8EC44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 xml:space="preserve">TRIPOD 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>hecklist</w:t>
      </w:r>
    </w:p>
    <w:p w14:paraId="74975E1B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820410" cy="7643495"/>
            <wp:effectExtent l="0" t="0" r="21590" b="1905"/>
            <wp:docPr id="1" name="图片 1" descr="截屏2024-09-02 16.57.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09-02 16.57.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F450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2DF9073B">
      <w:p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Hans"/>
        </w:rPr>
        <w:t>Supplementary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Table 1.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Baseline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clinical and biochemical characteristics of the training set and validation set</w:t>
      </w:r>
    </w:p>
    <w:tbl>
      <w:tblPr>
        <w:tblStyle w:val="4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9"/>
        <w:gridCol w:w="2483"/>
        <w:gridCol w:w="2483"/>
        <w:gridCol w:w="1045"/>
      </w:tblGrid>
      <w:tr w14:paraId="71AC2690">
        <w:trPr>
          <w:trHeight w:val="620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5D8FEAA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Variable</w:t>
            </w:r>
          </w:p>
        </w:tc>
        <w:tc>
          <w:tcPr>
            <w:tcW w:w="24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A47DBB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Training set</w:t>
            </w:r>
          </w:p>
          <w:p w14:paraId="7077F86F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(n=2340)</w:t>
            </w:r>
          </w:p>
        </w:tc>
        <w:tc>
          <w:tcPr>
            <w:tcW w:w="24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E25AFE5">
            <w:pPr>
              <w:widowControl w:val="0"/>
              <w:jc w:val="center"/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Internal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Hans"/>
              </w:rPr>
              <w:t>v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alidation set</w:t>
            </w:r>
          </w:p>
          <w:p w14:paraId="1AD1DB7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(n=965)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5E6BD9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24"/>
                <w:szCs w:val="24"/>
                <w:vertAlign w:val="baseline"/>
                <w:lang w:eastAsia="zh-Hans"/>
              </w:rPr>
              <w:t>P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value</w:t>
            </w:r>
          </w:p>
        </w:tc>
      </w:tr>
      <w:tr w14:paraId="3BA94C99">
        <w:trPr>
          <w:trHeight w:val="315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D874F5D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Age, years, median (IQR)</w:t>
            </w:r>
          </w:p>
        </w:tc>
        <w:tc>
          <w:tcPr>
            <w:tcW w:w="24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6D2B5A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56 (42-67)</w:t>
            </w:r>
          </w:p>
        </w:tc>
        <w:tc>
          <w:tcPr>
            <w:tcW w:w="24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97D0F7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55 (42-66) 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17A77A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0.371</w:t>
            </w:r>
          </w:p>
        </w:tc>
      </w:tr>
      <w:tr w14:paraId="24C21335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94E5371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Male,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6C2C65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1652 (70.6%)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640657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701 (72.6%)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885AB02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0.238</w:t>
            </w:r>
          </w:p>
        </w:tc>
      </w:tr>
      <w:tr w14:paraId="3D1F5F26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8C62E46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BMI, 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34AC60D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26.26 (24.00-28.76)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2B6176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26.30 (24.12-29.03)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34E6121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0.424</w:t>
            </w:r>
          </w:p>
        </w:tc>
      </w:tr>
      <w:tr w14:paraId="351F4273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86077F6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SBP, mmHg,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668288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142 (130-155)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502537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141 (130-155)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C4BC3D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0.918</w:t>
            </w:r>
          </w:p>
        </w:tc>
      </w:tr>
      <w:tr w14:paraId="5BAD7673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68F1439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DBP, mmHg,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F6D27F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86 (78-96)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D8362C2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85 (77-96)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39B70D2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0.153</w:t>
            </w:r>
          </w:p>
        </w:tc>
      </w:tr>
      <w:tr w14:paraId="72D71656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82B8E24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Smoke,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847D42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1069 (45.7%)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52BE242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465 (48.2%)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CBB06D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0.190</w:t>
            </w:r>
          </w:p>
        </w:tc>
      </w:tr>
      <w:tr w14:paraId="3E8D944D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60C14DA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Drink,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3ABCEE9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957 (40.9%)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C281B99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459 (47.6%)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253F92D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&lt;0.001</w:t>
            </w:r>
          </w:p>
        </w:tc>
      </w:tr>
      <w:tr w14:paraId="42E68127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52D0937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Diabetes mellitus,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16135CF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700 (29.9%)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FDC8F7F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304 (31.5%)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3963CF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0.367</w:t>
            </w:r>
          </w:p>
        </w:tc>
      </w:tr>
      <w:tr w14:paraId="1F161F0A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32B39D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Hyperlipidemia,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34A7CD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1908 (81.5%)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58F11A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797 (82.6%)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32AA71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0.476</w:t>
            </w:r>
          </w:p>
        </w:tc>
      </w:tr>
      <w:tr w14:paraId="1FC0B032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819B18C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Coronary heart disease,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D3FF44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503 (21.5%)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4EE56B9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187 (19.4%)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1FB822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0.173</w:t>
            </w:r>
          </w:p>
        </w:tc>
      </w:tr>
      <w:tr w14:paraId="627BC3ED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32DBF13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trial fibrillation,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AC8507F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109 (4.7%)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A42A6E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66 (6.8%)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1729E1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0.011</w:t>
            </w:r>
          </w:p>
        </w:tc>
      </w:tr>
      <w:tr w14:paraId="7B997DD0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3823A84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Antihypertensive drugs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655427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1572 (67.2%)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EEE2245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634 (65.7%)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5EDB55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0.412</w:t>
            </w:r>
          </w:p>
        </w:tc>
      </w:tr>
      <w:tr w14:paraId="013A3000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5E17384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Antiplatelet drugs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A95B5A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149 (6.4%)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0A4AE5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60 (6.2%)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404E33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0.872</w:t>
            </w:r>
          </w:p>
        </w:tc>
      </w:tr>
      <w:tr w14:paraId="1A656453">
        <w:trPr>
          <w:trHeight w:val="620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A6F0D5E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Family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history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of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cerebral infarction,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92FB0E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141 (6.0%)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BBEB5F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60 (6.2%)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2CC308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0.834</w:t>
            </w:r>
          </w:p>
        </w:tc>
      </w:tr>
      <w:tr w14:paraId="1AE9851E">
        <w:trPr>
          <w:trHeight w:val="620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B3A1FA9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hs-CRP, mg/L,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5C50C0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1.35 (0.68-3.20)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BE7A2A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1.28 (0.62-3.34)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44908F5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0.161</w:t>
            </w:r>
          </w:p>
        </w:tc>
      </w:tr>
      <w:tr w14:paraId="38DAB70E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00E96B4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Na, mmol/L,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5751548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140.6 (139.0-142.0)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F1AEC6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140.5 (139.1-141.9)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A2ED9B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0.607</w:t>
            </w:r>
          </w:p>
        </w:tc>
      </w:tr>
      <w:tr w14:paraId="29557151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6B5E1CE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K, mmol/L,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D856F88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4.04 (3.80-4.26)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85C12C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4.06 (3.83-4.28)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D8ADA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0.127</w:t>
            </w:r>
          </w:p>
        </w:tc>
      </w:tr>
      <w:tr w14:paraId="1865D5CD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449A2F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Mg, mmol/L,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4F2319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0.90 (0.85-0.95)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DE98DE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0.90 (0.86-0.96)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8810DEB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0.272</w:t>
            </w:r>
          </w:p>
        </w:tc>
      </w:tr>
      <w:tr w14:paraId="2E80CB09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C810CD8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TBil, μmol/L,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4861B8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13.00 (10.08-16.83)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7F9B39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13.25 (10.20-17.19)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D7EEA2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0.130</w:t>
            </w:r>
          </w:p>
        </w:tc>
      </w:tr>
      <w:tr w14:paraId="47FCBF50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E355013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DBil, μmol/L,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median (IQR)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A5262D5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4.18 (3.01-5.54)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60ACDF9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4.19 (2.97-5.74)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ABB4275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0.664</w:t>
            </w:r>
          </w:p>
        </w:tc>
      </w:tr>
      <w:tr w14:paraId="5B92B37B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1B383C1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Urinary protein,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E5419DB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8F402D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B7BA9C1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0.040</w:t>
            </w:r>
          </w:p>
        </w:tc>
      </w:tr>
      <w:tr w14:paraId="7306348C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2934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-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860D7B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1957 (83.6%)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1AAD42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780 (80.8%)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E5CD405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49D771C7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440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+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7E711FB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275 (11.8%)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1B1DD3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147 (15.2%)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07B43B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1CB5C398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9831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++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07F98D3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76 (3.2%)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8BDB9C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29 (3.0%)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6D1F9B2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5AEE6BF4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7369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+++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8650D6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32 (1.4%)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1CD7895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9 (0.9%)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BE065A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31596595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7110DB3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Hcy, μmol/L,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22AC2D3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6F1FDC0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B7CC9F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0.322</w:t>
            </w:r>
          </w:p>
        </w:tc>
      </w:tr>
      <w:tr w14:paraId="10D3C335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9942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&lt; 15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F00CF38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1455 (62.2%)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2568B5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574 (59.5%)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0626ED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382B8131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3F01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15-30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FDA3E7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702 (30.0%)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569E3D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314 (32.5%)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C74B85D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43CBF124">
        <w:trPr>
          <w:trHeight w:val="31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2C7C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&gt;30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3AB675E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183 (7.8%)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6ECE54D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77 (8.0%)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B879C2A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4E3D932C">
        <w:trPr>
          <w:trHeight w:val="32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32821D9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Carotid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artery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stenosis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, %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1608892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178 (7.6%)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A4F3F0F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84 (8.7%)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5D41A26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0.288</w:t>
            </w:r>
          </w:p>
        </w:tc>
      </w:tr>
      <w:tr w14:paraId="580A81A3">
        <w:trPr>
          <w:trHeight w:val="32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92E1A11">
            <w:pPr>
              <w:widowControl w:val="0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Outcome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89EB653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6FB97F9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FE6EB04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0.251</w:t>
            </w:r>
          </w:p>
        </w:tc>
      </w:tr>
      <w:tr w14:paraId="35FAA410">
        <w:trPr>
          <w:trHeight w:val="32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0CE4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Non-stroke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EBF079F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1353 (57.8%)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EC6D527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537 (55.6%)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5AC1C3B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  <w:tr w14:paraId="33F156C2">
        <w:trPr>
          <w:trHeight w:val="325" w:hRule="atLeast"/>
          <w:jc w:val="center"/>
        </w:trPr>
        <w:tc>
          <w:tcPr>
            <w:tcW w:w="30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757A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Stroke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C946A1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987 (42.2%)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3CF82C8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428 (44.4%)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4B3C4C">
            <w:pPr>
              <w:widowControl w:val="0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</w:p>
        </w:tc>
      </w:tr>
    </w:tbl>
    <w:p w14:paraId="7808BAC5">
      <w:pPr>
        <w:jc w:val="both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IQR,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interquartile range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; BMI, body mass index; </w:t>
      </w:r>
      <w:r>
        <w:rPr>
          <w:rFonts w:ascii="Times New Roman" w:hAnsi="Times New Roman" w:eastAsia="宋体" w:cs="Times New Roman"/>
          <w:sz w:val="24"/>
          <w:szCs w:val="24"/>
        </w:rPr>
        <w:t>SBP, systolic blood pressure; DBP, diastolic blood pressure;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hs-CRP, 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begin"/>
      </w:r>
      <w:r>
        <w:rPr>
          <w:rFonts w:hint="default" w:ascii="Times New Roman" w:hAnsi="Times New Roman" w:cs="Times New Roman"/>
          <w:sz w:val="24"/>
          <w:lang w:eastAsia="zh-CN"/>
        </w:rPr>
        <w:instrText xml:space="preserve"> HYPERLINK "https://baike.baidu.com/item/hypersensitive/52108715?fromModule=lemma_inlink" \t "/Users/ck/Documents\\x/_blank" </w:instrText>
      </w:r>
      <w:r>
        <w:rPr>
          <w:rFonts w:hint="default" w:ascii="Times New Roman" w:hAnsi="Times New Roman" w:cs="Times New Roman"/>
          <w:sz w:val="24"/>
          <w:lang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lang w:eastAsia="zh-CN"/>
        </w:rPr>
        <w:t>hypersensitive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end"/>
      </w:r>
      <w:r>
        <w:rPr>
          <w:rFonts w:hint="default" w:ascii="Times New Roman" w:hAnsi="Times New Roman" w:cs="Times New Roman"/>
          <w:sz w:val="24"/>
          <w:lang w:eastAsia="zh-CN"/>
        </w:rPr>
        <w:t> C-reactive 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begin"/>
      </w:r>
      <w:r>
        <w:rPr>
          <w:rFonts w:hint="default" w:ascii="Times New Roman" w:hAnsi="Times New Roman" w:cs="Times New Roman"/>
          <w:sz w:val="24"/>
          <w:lang w:eastAsia="zh-CN"/>
        </w:rPr>
        <w:instrText xml:space="preserve"> HYPERLINK "https://baike.baidu.com/item/protein/9858702?fromModule=lemma_inlink" \t "/Users/ck/Documents\\x/_blank" </w:instrText>
      </w:r>
      <w:r>
        <w:rPr>
          <w:rFonts w:hint="default" w:ascii="Times New Roman" w:hAnsi="Times New Roman" w:cs="Times New Roman"/>
          <w:sz w:val="24"/>
          <w:lang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lang w:eastAsia="zh-CN"/>
        </w:rPr>
        <w:t>protein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end"/>
      </w:r>
      <w:r>
        <w:rPr>
          <w:rFonts w:hint="default" w:ascii="Times New Roman" w:hAnsi="Times New Roman" w:cs="Times New Roman"/>
          <w:sz w:val="24"/>
          <w:lang w:eastAsia="zh-CN"/>
        </w:rPr>
        <w:t xml:space="preserve">; </w:t>
      </w:r>
      <w:r>
        <w:rPr>
          <w:rFonts w:ascii="Times New Roman" w:hAnsi="Times New Roman" w:eastAsia="宋体" w:cs="Times New Roman"/>
          <w:sz w:val="24"/>
          <w:szCs w:val="24"/>
        </w:rPr>
        <w:t>N</w:t>
      </w:r>
      <w:r>
        <w:rPr>
          <w:rFonts w:hint="default" w:ascii="Times New Roman" w:hAnsi="Times New Roman" w:eastAsia="宋体" w:cs="Times New Roman"/>
          <w:sz w:val="24"/>
          <w:szCs w:val="24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/>
        </w:rPr>
        <w:t>s</w:t>
      </w:r>
      <w:r>
        <w:rPr>
          <w:rFonts w:ascii="Times New Roman" w:hAnsi="Times New Roman" w:eastAsia="宋体" w:cs="Times New Roman"/>
          <w:sz w:val="24"/>
          <w:szCs w:val="24"/>
        </w:rPr>
        <w:t>odium;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K, </w:t>
      </w:r>
      <w:r>
        <w:rPr>
          <w:rFonts w:hint="default" w:ascii="Times New Roman" w:hAnsi="Times New Roman" w:eastAsia="宋体" w:cs="Times New Roman"/>
          <w:sz w:val="24"/>
          <w:szCs w:val="24"/>
          <w:lang w:val="en-US"/>
        </w:rPr>
        <w:t>p</w:t>
      </w:r>
      <w:r>
        <w:rPr>
          <w:rFonts w:ascii="Times New Roman" w:hAnsi="Times New Roman" w:eastAsia="宋体" w:cs="Times New Roman"/>
          <w:sz w:val="24"/>
          <w:szCs w:val="24"/>
        </w:rPr>
        <w:t>otassium;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Mg, </w:t>
      </w:r>
      <w:r>
        <w:rPr>
          <w:rFonts w:hint="default" w:ascii="Times New Roman" w:hAnsi="Times New Roman" w:cs="Times New Roman"/>
          <w:sz w:val="24"/>
          <w:lang w:eastAsia="zh-CN"/>
        </w:rPr>
        <w:t xml:space="preserve">magnesium; TBil, total bilirubin; DBil, direct bilirubin; Hcy, </w:t>
      </w:r>
      <w:r>
        <w:rPr>
          <w:rFonts w:hint="eastAsia" w:ascii="Times New Roman" w:hAnsi="Times New Roman" w:cs="Times New Roman"/>
          <w:sz w:val="24"/>
          <w:lang w:val="en-US" w:eastAsia="zh-Hans"/>
        </w:rPr>
        <w:t>homocysteine</w:t>
      </w:r>
      <w:r>
        <w:rPr>
          <w:rFonts w:hint="default" w:ascii="Times New Roman" w:hAnsi="Times New Roman" w:cs="Times New Roman"/>
          <w:sz w:val="24"/>
          <w:lang w:eastAsia="zh-Hans"/>
        </w:rPr>
        <w:t>.</w:t>
      </w:r>
    </w:p>
    <w:p w14:paraId="04FCCA19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3710ED44">
      <w:pPr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</w:rPr>
        <w:t>Supplement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Hans"/>
        </w:rPr>
        <w:t>ary</w:t>
      </w: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</w:rPr>
        <w:t xml:space="preserve"> Table 2. </w:t>
      </w: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eastAsia="zh-CN"/>
        </w:rPr>
        <w:t xml:space="preserve">Univariate logistic regression analyses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 xml:space="preserve">of factors potentially associated with </w:t>
      </w: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</w:rPr>
        <w:t>ischemic stroke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 xml:space="preserve"> in the training set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4"/>
        <w:gridCol w:w="3220"/>
        <w:gridCol w:w="1604"/>
      </w:tblGrid>
      <w:tr w14:paraId="09304BF6">
        <w:tc>
          <w:tcPr>
            <w:tcW w:w="36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9ED4474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Variable</w:t>
            </w: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A6164DB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CN"/>
              </w:rPr>
              <w:t>OR (95%CI)</w:t>
            </w: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3EDE35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lang w:eastAsia="zh-CN"/>
              </w:rPr>
              <w:t>P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CN"/>
              </w:rPr>
              <w:t xml:space="preserve"> value</w:t>
            </w:r>
          </w:p>
        </w:tc>
      </w:tr>
      <w:tr w14:paraId="78B47CED">
        <w:tc>
          <w:tcPr>
            <w:tcW w:w="36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29244F5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Age</w:t>
            </w: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1536C2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1.102 (1.093-1.111)</w:t>
            </w: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48FAA9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4D025C97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8BAF570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Female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7121B0D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0.933 (0.779-1.118)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E82C86C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eastAsia="zh-Hans"/>
              </w:rPr>
              <w:t>452</w:t>
            </w:r>
          </w:p>
        </w:tc>
      </w:tr>
      <w:tr w14:paraId="0B894978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DE5B552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BMI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2D1941A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0.921 (0.901-0.941)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0533CFE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686552A8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FF83ABD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SBP (mmHg)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1DC1D15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 xml:space="preserve">1.011 (1.007-1.016)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6F5E8D7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43BE629E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DEDB291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DBP (mmHg)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7E3ADED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0.969 (0.963-0.975)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E74CA2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00586EAF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FD01602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Smoke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1251592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1.169 (0.991-1.378)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889783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0.063</w:t>
            </w:r>
          </w:p>
        </w:tc>
      </w:tr>
      <w:tr w14:paraId="0CFB212F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18B8D88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Drink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18E4C8E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0.886 (0.750-1.047)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32F7AD3C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0.156</w:t>
            </w:r>
          </w:p>
        </w:tc>
      </w:tr>
      <w:tr w14:paraId="6DEBDD66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5409005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Diabetes mellitus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2687061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3.124 (2.600-3.753)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7746275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5B962EDE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0D9F394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Hyperlipidemia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15F16E4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6.546 (4.865-8.807)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1EA6AFAC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4F64C5F2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4203159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Coronary heart disease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720D21C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2.049 (1.678-2.502)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C41601C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6B04015B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77D8AAC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trial fibrillation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2DD2519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14.973 (7.771-28.849)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36B8D66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4D947D4A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AD77C20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Antihypertensive drugs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777632C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0.706 (0.593-0.840)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7934C0D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42A8D7E1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952C961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Antiplatelet drugs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3D330B4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  <w:lang w:eastAsia="zh-Hans"/>
              </w:rPr>
              <w:t>975 (0.697-1.366)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5F5B69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0.884</w:t>
            </w:r>
          </w:p>
        </w:tc>
      </w:tr>
      <w:tr w14:paraId="0DF113A2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E4BD906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Family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history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of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i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schemic stroke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4BB7294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1.221 (0.868-1.718)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710E501B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0.252</w:t>
            </w:r>
          </w:p>
        </w:tc>
      </w:tr>
      <w:tr w14:paraId="50A780D4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183697C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hs-CRP (mg/L)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1A70F99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1.108 (1.086-1.130)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0B1C0A5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69368DEB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1577634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Na (mmol/L)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317BD05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1.051 (1.018-1.085)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FFEBE5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0.002</w:t>
            </w:r>
          </w:p>
        </w:tc>
      </w:tr>
      <w:tr w14:paraId="35DBCF1D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0F6C60F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K (mmol/L)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6D3DD16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0.181 (0.140-0.234)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6938CD8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75C49BFF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9417783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Mg (mmol/L)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63EEEA7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0.004 (0.001-0.013)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EBB314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2C092D86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2B870D6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TBil (μmol/L)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6E26AFF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1.002 (0.991-1.014)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38F2749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0.702</w:t>
            </w:r>
          </w:p>
        </w:tc>
      </w:tr>
      <w:tr w14:paraId="5C556568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A7EBAD8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DBil (μmol/L)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6828CCC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1.071 (1.031-1.113)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C84EE0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3E59A584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7513CA0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Urinary protein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73F8C46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BF5BEE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55AC87E7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1265C5A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+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5657E14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6.718 (4.957-9.106)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489054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3DAD674C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2DF1B90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++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09BC546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3.259 (2.019-5.260)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0839A5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&lt;0.001</w:t>
            </w:r>
          </w:p>
        </w:tc>
      </w:tr>
      <w:tr w14:paraId="04ECA840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0860A49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+++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3E9F9DE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3.428 (1.643-7.152)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5122633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0.001</w:t>
            </w:r>
          </w:p>
        </w:tc>
      </w:tr>
      <w:tr w14:paraId="297715E3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9F0ADA7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Hcy (μmol/L)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699B342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3CD74EB3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58353288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6F90593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15-30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3A16A40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0.907 (0.664-1.239)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115D897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0.539</w:t>
            </w:r>
          </w:p>
        </w:tc>
      </w:tr>
      <w:tr w14:paraId="65EBD38C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2CFF855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&gt;30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2AB8CEE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1.330 (0.957-1.848)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0FB980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0.090</w:t>
            </w:r>
          </w:p>
        </w:tc>
      </w:tr>
      <w:tr w14:paraId="61B4B628">
        <w:tc>
          <w:tcPr>
            <w:tcW w:w="36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2F95B3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Carotid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artery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stenosis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F15B58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1.216 (0.895-1.652)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87216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baseline"/>
              </w:rPr>
              <w:t>0.212</w:t>
            </w:r>
          </w:p>
        </w:tc>
      </w:tr>
    </w:tbl>
    <w:p w14:paraId="3919B3FE">
      <w:pPr>
        <w:jc w:val="both"/>
        <w:rPr>
          <w:rFonts w:hint="default" w:ascii="Times New Roman Regular" w:hAnsi="Times New Roman Regular" w:cs="Times New Roman Regular" w:eastAsiaTheme="minorEastAsia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BMI, body mass index; </w:t>
      </w:r>
      <w:r>
        <w:rPr>
          <w:rFonts w:ascii="Times New Roman" w:hAnsi="Times New Roman" w:eastAsia="宋体" w:cs="Times New Roman"/>
          <w:sz w:val="24"/>
          <w:szCs w:val="24"/>
        </w:rPr>
        <w:t>SBP, systolic blood pressure; DBP, diastolic blood pressure;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hs-CRP, 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begin"/>
      </w:r>
      <w:r>
        <w:rPr>
          <w:rFonts w:hint="default" w:ascii="Times New Roman" w:hAnsi="Times New Roman" w:cs="Times New Roman"/>
          <w:sz w:val="24"/>
          <w:lang w:eastAsia="zh-CN"/>
        </w:rPr>
        <w:instrText xml:space="preserve"> HYPERLINK "https://baike.baidu.com/item/hypersensitive/52108715?fromModule=lemma_inlink" \t "/Users/ck/Documents\\x/_blank" </w:instrText>
      </w:r>
      <w:r>
        <w:rPr>
          <w:rFonts w:hint="default" w:ascii="Times New Roman" w:hAnsi="Times New Roman" w:cs="Times New Roman"/>
          <w:sz w:val="24"/>
          <w:lang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lang w:eastAsia="zh-CN"/>
        </w:rPr>
        <w:t>hypersensitive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end"/>
      </w:r>
      <w:r>
        <w:rPr>
          <w:rFonts w:hint="default" w:ascii="Times New Roman" w:hAnsi="Times New Roman" w:cs="Times New Roman"/>
          <w:sz w:val="24"/>
          <w:lang w:eastAsia="zh-CN"/>
        </w:rPr>
        <w:t> C-reactive 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begin"/>
      </w:r>
      <w:r>
        <w:rPr>
          <w:rFonts w:hint="default" w:ascii="Times New Roman" w:hAnsi="Times New Roman" w:cs="Times New Roman"/>
          <w:sz w:val="24"/>
          <w:lang w:eastAsia="zh-CN"/>
        </w:rPr>
        <w:instrText xml:space="preserve"> HYPERLINK "https://baike.baidu.com/item/protein/9858702?fromModule=lemma_inlink" \t "/Users/ck/Documents\\x/_blank" </w:instrText>
      </w:r>
      <w:r>
        <w:rPr>
          <w:rFonts w:hint="default" w:ascii="Times New Roman" w:hAnsi="Times New Roman" w:cs="Times New Roman"/>
          <w:sz w:val="24"/>
          <w:lang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lang w:eastAsia="zh-CN"/>
        </w:rPr>
        <w:t>protein</w:t>
      </w:r>
      <w:r>
        <w:rPr>
          <w:rFonts w:hint="default" w:ascii="Times New Roman" w:hAnsi="Times New Roman" w:cs="Times New Roman"/>
          <w:sz w:val="24"/>
          <w:lang w:eastAsia="zh-CN"/>
        </w:rPr>
        <w:fldChar w:fldCharType="end"/>
      </w:r>
      <w:r>
        <w:rPr>
          <w:rFonts w:hint="default" w:ascii="Times New Roman" w:hAnsi="Times New Roman" w:cs="Times New Roman"/>
          <w:sz w:val="24"/>
          <w:lang w:eastAsia="zh-CN"/>
        </w:rPr>
        <w:t xml:space="preserve">; </w:t>
      </w:r>
      <w:r>
        <w:rPr>
          <w:rFonts w:ascii="Times New Roman" w:hAnsi="Times New Roman" w:eastAsia="宋体" w:cs="Times New Roman"/>
          <w:sz w:val="24"/>
          <w:szCs w:val="24"/>
        </w:rPr>
        <w:t>N</w:t>
      </w:r>
      <w:r>
        <w:rPr>
          <w:rFonts w:hint="default" w:ascii="Times New Roman" w:hAnsi="Times New Roman" w:eastAsia="宋体" w:cs="Times New Roman"/>
          <w:sz w:val="24"/>
          <w:szCs w:val="24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  <w:lang w:val="en-US"/>
        </w:rPr>
        <w:t>s</w:t>
      </w:r>
      <w:r>
        <w:rPr>
          <w:rFonts w:ascii="Times New Roman" w:hAnsi="Times New Roman" w:eastAsia="宋体" w:cs="Times New Roman"/>
          <w:sz w:val="24"/>
          <w:szCs w:val="24"/>
        </w:rPr>
        <w:t>odium;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K, </w:t>
      </w:r>
      <w:r>
        <w:rPr>
          <w:rFonts w:hint="default" w:ascii="Times New Roman" w:hAnsi="Times New Roman" w:eastAsia="宋体" w:cs="Times New Roman"/>
          <w:sz w:val="24"/>
          <w:szCs w:val="24"/>
          <w:lang w:val="en-US"/>
        </w:rPr>
        <w:t>p</w:t>
      </w:r>
      <w:r>
        <w:rPr>
          <w:rFonts w:ascii="Times New Roman" w:hAnsi="Times New Roman" w:eastAsia="宋体" w:cs="Times New Roman"/>
          <w:sz w:val="24"/>
          <w:szCs w:val="24"/>
        </w:rPr>
        <w:t>otassium;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Mg, </w:t>
      </w:r>
      <w:r>
        <w:rPr>
          <w:rFonts w:hint="default" w:ascii="Times New Roman" w:hAnsi="Times New Roman" w:cs="Times New Roman"/>
          <w:sz w:val="24"/>
          <w:lang w:eastAsia="zh-CN"/>
        </w:rPr>
        <w:t xml:space="preserve">magnesium; TBil, total bilirubin; DBil, direct bilirubin; Hcy, </w:t>
      </w:r>
      <w:r>
        <w:rPr>
          <w:rFonts w:hint="eastAsia" w:ascii="Times New Roman" w:hAnsi="Times New Roman" w:cs="Times New Roman"/>
          <w:sz w:val="24"/>
          <w:lang w:val="en-US" w:eastAsia="zh-Hans"/>
        </w:rPr>
        <w:t>homocysteine</w:t>
      </w:r>
      <w:r>
        <w:rPr>
          <w:rFonts w:hint="default" w:ascii="Times New Roman" w:hAnsi="Times New Roman" w:cs="Times New Roman"/>
          <w:sz w:val="24"/>
          <w:lang w:eastAsia="zh-Hans"/>
        </w:rPr>
        <w:t>.</w:t>
      </w:r>
    </w:p>
    <w:p w14:paraId="463C253B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6B320FC8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 Table 3. Predict performances of four models on the external validation set</w:t>
      </w:r>
    </w:p>
    <w:tbl>
      <w:tblPr>
        <w:tblStyle w:val="4"/>
        <w:tblW w:w="10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2290"/>
        <w:gridCol w:w="1245"/>
        <w:gridCol w:w="1296"/>
        <w:gridCol w:w="1195"/>
        <w:gridCol w:w="1185"/>
        <w:gridCol w:w="1248"/>
      </w:tblGrid>
      <w:tr w14:paraId="3CCCE95F">
        <w:trPr>
          <w:trHeight w:val="38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07D53D6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F064F06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AUC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 (95%CI)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727422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Sensitivity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B162C81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Specificity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A60B33C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Accuracy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49B38DF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PPV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80A01B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NPV</w:t>
            </w:r>
          </w:p>
        </w:tc>
      </w:tr>
      <w:tr w14:paraId="2290A6E1">
        <w:trPr>
          <w:trHeight w:val="332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0824522">
            <w:pPr>
              <w:widowControl w:val="0"/>
              <w:jc w:val="both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ogistic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D99AC0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0.872 (0.805-0.939)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449B6A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0.952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2748DE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0.656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12036DA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0.777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98AF8DA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0.656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21D7895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0.952</w:t>
            </w:r>
          </w:p>
        </w:tc>
      </w:tr>
      <w:tr w14:paraId="36C262DE">
        <w:trPr>
          <w:trHeight w:val="332" w:hRule="atLeast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2E337920">
            <w:pPr>
              <w:widowControl w:val="0"/>
              <w:jc w:val="both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ascii="Times New Roman" w:hAnsi="Times New Roman" w:cs="Times New Roman"/>
                <w:sz w:val="24"/>
              </w:rPr>
              <w:t>SVM model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351739CF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0.881 (0.817-0.945)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superscript"/>
                <w:lang w:eastAsia="zh-Hans"/>
              </w:rPr>
              <w:t>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21F0EBA8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8DF864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0.656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D97609E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0.786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DAE629E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0.661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280A2E00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0.976</w:t>
            </w:r>
          </w:p>
        </w:tc>
      </w:tr>
      <w:tr w14:paraId="47261485">
        <w:trPr>
          <w:trHeight w:val="332" w:hRule="atLeast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14:paraId="2D825895">
            <w:pPr>
              <w:widowControl w:val="0"/>
              <w:jc w:val="both"/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andom forest model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598ACF22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0.812 (0.728-0.895)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superscript"/>
                <w:lang w:eastAsia="zh-Hans"/>
              </w:rPr>
              <w:t>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2ED211FF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0.929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33CF7C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0.623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3C4C40E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0.748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F2144A3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0.629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C5BC1E5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0.927</w:t>
            </w:r>
          </w:p>
        </w:tc>
      </w:tr>
      <w:tr w14:paraId="68554625">
        <w:trPr>
          <w:trHeight w:val="352" w:hRule="atLeast"/>
          <w:jc w:val="center"/>
        </w:trPr>
        <w:tc>
          <w:tcPr>
            <w:tcW w:w="23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70B4803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</w:rPr>
              <w:t>XGBoost model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1DBFF64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0.857 (0.787-0.927)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24A8497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0.929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1DC4100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0.672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3F36B4D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0.777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2A8CAD7">
            <w:pPr>
              <w:widowControl w:val="0"/>
              <w:jc w:val="both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0.661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3618E31">
            <w:pPr>
              <w:widowControl w:val="0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0.923</w:t>
            </w:r>
          </w:p>
        </w:tc>
      </w:tr>
    </w:tbl>
    <w:p w14:paraId="251A6F45">
      <w:r>
        <w:rPr>
          <w:rFonts w:hint="default" w:ascii="Times New Roman" w:hAnsi="Times New Roman" w:cs="Times New Roman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</w:rPr>
        <w:t xml:space="preserve">: There was no significant difference in AUC among the logistic model, SVM model and XGBoost model by Delong test; </w:t>
      </w:r>
      <w:r>
        <w:rPr>
          <w:rFonts w:hint="default" w:ascii="Times New Roman" w:hAnsi="Times New Roman" w:cs="Times New Roman"/>
          <w:sz w:val="24"/>
          <w:vertAlign w:val="superscript"/>
        </w:rPr>
        <w:t>b</w:t>
      </w:r>
      <w:r>
        <w:rPr>
          <w:rFonts w:hint="default" w:ascii="Times New Roman" w:hAnsi="Times New Roman" w:cs="Times New Roman"/>
          <w:sz w:val="24"/>
        </w:rPr>
        <w:t xml:space="preserve">: There was no significant difference in AUC between the random forest model and XGBoost model. AUC: </w:t>
      </w:r>
      <w:r>
        <w:rPr>
          <w:rFonts w:hint="default" w:ascii="Times New Roman" w:hAnsi="Times New Roman" w:cs="Times New Roman"/>
          <w:sz w:val="24"/>
          <w:lang w:eastAsia="zh-CN"/>
        </w:rPr>
        <w:t xml:space="preserve">area under curve; CI: </w:t>
      </w:r>
      <w:r>
        <w:rPr>
          <w:rFonts w:hint="eastAsia" w:ascii="Times New Roman" w:hAnsi="Times New Roman" w:cs="Times New Roman"/>
          <w:sz w:val="24"/>
          <w:lang w:val="en-US" w:eastAsia="zh-Hans"/>
        </w:rPr>
        <w:t>c</w:t>
      </w:r>
      <w:r>
        <w:rPr>
          <w:rFonts w:hint="default" w:ascii="Times New Roman" w:hAnsi="Times New Roman" w:cs="Times New Roman"/>
          <w:sz w:val="24"/>
          <w:lang w:eastAsia="zh-CN"/>
        </w:rPr>
        <w:t>onfidence interval; PPV: positive predictive value; NPV: negative predictive value; SVM: support vector machine.</w:t>
      </w:r>
    </w:p>
    <w:p w14:paraId="05632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z w:val="24"/>
          <w:szCs w:val="24"/>
        </w:rPr>
      </w:pPr>
      <w:r>
        <w:rPr>
          <w:rFonts w:hint="default"/>
          <w:lang w:val="en-US"/>
        </w:rPr>
        <w:br w:type="page"/>
      </w:r>
    </w:p>
    <w:p w14:paraId="17CCDA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</w:pPr>
    </w:p>
    <w:p w14:paraId="09A0E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</w:pPr>
    </w:p>
    <w:p w14:paraId="15C34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265420" cy="3286760"/>
            <wp:effectExtent l="0" t="0" r="17780" b="15240"/>
            <wp:docPr id="3" name="图片 3" descr="截屏2024-09-03 13.10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4-09-03 13.10.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11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>Consort diagram of development cohort.</w:t>
      </w:r>
    </w:p>
    <w:p w14:paraId="62DE560A">
      <w:pP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br w:type="page"/>
      </w:r>
    </w:p>
    <w:p w14:paraId="101760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395AADE8">
      <w:pP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271770" cy="3499485"/>
            <wp:effectExtent l="0" t="0" r="11430" b="5715"/>
            <wp:docPr id="4" name="图片 4" descr="截屏2024-09-03 13.11.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截屏2024-09-03 13.11.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5F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  <w:szCs w:val="24"/>
        </w:rPr>
        <w:t>Consort diagram of external validation cohort.</w:t>
      </w:r>
    </w:p>
    <w:p w14:paraId="71F3F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</w:rPr>
        <w:br w:type="page"/>
      </w:r>
    </w:p>
    <w:p w14:paraId="53CE2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2880360" cy="1804670"/>
            <wp:effectExtent l="0" t="0" r="15240" b="24130"/>
            <wp:docPr id="2" name="图片 2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06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Supplementary Figure 3. </w:t>
      </w:r>
      <w:r>
        <w:rPr>
          <w:rFonts w:hint="eastAsia" w:ascii="Times New Roman Regular" w:hAnsi="Times New Roman Regular" w:cs="Times New Roman Regular"/>
          <w:sz w:val="24"/>
          <w:szCs w:val="24"/>
        </w:rPr>
        <w:t>Variable importance. Importance of each variable in the logistic model.</w:t>
      </w:r>
    </w:p>
    <w:p w14:paraId="370C7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3701F1A1">
      <w:pP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br w:type="page"/>
      </w:r>
    </w:p>
    <w:p w14:paraId="451F8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7023A1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2883535" cy="1804670"/>
            <wp:effectExtent l="0" t="0" r="12065" b="24130"/>
            <wp:docPr id="5" name="图片 5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E7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  <w:szCs w:val="24"/>
        </w:rPr>
        <w:t>Receiver operating characteristic (ROC) curves of the logistic model in external validation cohort.</w:t>
      </w:r>
    </w:p>
    <w:p w14:paraId="25C0D5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4E20D78C">
      <w:pP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br w:type="page"/>
      </w:r>
    </w:p>
    <w:p w14:paraId="0268F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2883535" cy="1801495"/>
            <wp:effectExtent l="0" t="0" r="12065" b="1905"/>
            <wp:docPr id="8" name="图片 8" descr="Supplementary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12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 Regular" w:hAnsi="Times New Roman Regular" w:eastAsia="宋体" w:cs="Times New Roman Regular"/>
          <w:sz w:val="24"/>
          <w:szCs w:val="24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  <w:szCs w:val="24"/>
        </w:rPr>
        <w:t>Calibration for the logistic model in external validation cohort.</w:t>
      </w:r>
    </w:p>
    <w:p w14:paraId="09D5BC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4BAB0660">
      <w:pP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br w:type="page"/>
      </w:r>
    </w:p>
    <w:p w14:paraId="6E9A3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 Regular" w:hAnsi="Times New Roman Regular" w:eastAsia="宋体" w:cs="Times New Roman Regular"/>
          <w:sz w:val="24"/>
          <w:szCs w:val="24"/>
          <w:lang w:val="en-US" w:eastAsia="zh-CN"/>
        </w:rPr>
      </w:pPr>
    </w:p>
    <w:p w14:paraId="357F24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2BC888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3322320" cy="1752600"/>
            <wp:effectExtent l="0" t="0" r="5080" b="0"/>
            <wp:docPr id="7" name="图片 7" descr="Supplementary 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476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  <w:szCs w:val="24"/>
        </w:rPr>
        <w:t>Decision-curve analysis of the logistic model in external validation cohort.</w:t>
      </w:r>
    </w:p>
    <w:p w14:paraId="40BFEB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 w14:paraId="6C5E810A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Batang">
    <w:altName w:val="Apple SD Gothic Neo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zMzE5ZjY2MzJmODgxOGFlMDJjODU1YTQzMzU4Y2EifQ=="/>
  </w:docVars>
  <w:rsids>
    <w:rsidRoot w:val="DFEFAC99"/>
    <w:rsid w:val="2BFF5B97"/>
    <w:rsid w:val="697FC50A"/>
    <w:rsid w:val="D77FB443"/>
    <w:rsid w:val="DD2DAF9D"/>
    <w:rsid w:val="DFEFAC99"/>
    <w:rsid w:val="E2ECAAE6"/>
    <w:rsid w:val="E8DEF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Batang" w:asciiTheme="minorHAnsi" w:hAnsiTheme="minorHAnsi" w:cstheme="minorBidi"/>
      <w:sz w:val="24"/>
      <w:szCs w:val="24"/>
      <w:lang w:val="sv-SE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2024-09-04T08:29:00Z</dcterms:created>
  <dc:creator>Chen-ke</dc:creator>
  <cp:lastModifiedBy>Chen-ke</cp:lastModifiedBy>
  <dcterms:modified xsi:type="dcterms:W3CDTF">2024-12-02T18:53:15Z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90ED24556602DB349B914D67236A9419_43</vt:lpwstr>
  </property>
</Properties>
</file>