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76101" w14:textId="0F35B446" w:rsidR="00285B50" w:rsidRDefault="00CD1869" w:rsidP="00D72B7A">
      <w:pPr>
        <w:pStyle w:val="Title"/>
        <w:jc w:val="center"/>
        <w:rPr>
          <w:rStyle w:val="Strong"/>
          <w:rFonts w:cs="Times New Roman"/>
          <w:b w:val="0"/>
          <w:bCs w:val="0"/>
          <w:color w:val="1F1F1F"/>
          <w:szCs w:val="30"/>
        </w:rPr>
      </w:pPr>
      <w:r w:rsidRPr="006D344E">
        <w:rPr>
          <w:rStyle w:val="Strong"/>
          <w:rFonts w:cs="Times New Roman"/>
          <w:b w:val="0"/>
          <w:bCs w:val="0"/>
          <w:i/>
          <w:iCs/>
          <w:color w:val="1F1F1F"/>
          <w:szCs w:val="30"/>
        </w:rPr>
        <w:t xml:space="preserve">Supplementary </w:t>
      </w:r>
      <w:r w:rsidR="00285B50" w:rsidRPr="006D344E">
        <w:rPr>
          <w:rStyle w:val="Strong"/>
          <w:rFonts w:cs="Times New Roman"/>
          <w:b w:val="0"/>
          <w:bCs w:val="0"/>
          <w:i/>
          <w:iCs/>
          <w:color w:val="1F1F1F"/>
          <w:szCs w:val="30"/>
        </w:rPr>
        <w:t>Information</w:t>
      </w:r>
    </w:p>
    <w:p w14:paraId="63097BD9" w14:textId="77777777" w:rsidR="00D72B7A" w:rsidRPr="006D344E" w:rsidRDefault="00D72B7A" w:rsidP="006D344E"/>
    <w:p w14:paraId="6D4F5088" w14:textId="05980286" w:rsidR="00CD1869" w:rsidRDefault="005F04D2" w:rsidP="00502F1C">
      <w:pPr>
        <w:jc w:val="both"/>
        <w:rPr>
          <w:rStyle w:val="Strong"/>
          <w:rFonts w:cs="Times New Roman"/>
          <w:b w:val="0"/>
          <w:bCs w:val="0"/>
          <w:color w:val="1F1F1F"/>
          <w:sz w:val="24"/>
          <w:szCs w:val="24"/>
        </w:rPr>
      </w:pPr>
      <w:r w:rsidRPr="005F04D2">
        <w:rPr>
          <w:rStyle w:val="Strong"/>
          <w:rFonts w:eastAsiaTheme="majorEastAsia" w:cs="Times New Roman"/>
          <w:b w:val="0"/>
          <w:bCs w:val="0"/>
          <w:color w:val="1F1F1F"/>
          <w:spacing w:val="-10"/>
          <w:kern w:val="28"/>
          <w:sz w:val="30"/>
          <w:szCs w:val="30"/>
        </w:rPr>
        <w:t>A versatile gold leaf immunosensor with a novel surface functionalization strategy based on Protein L and Trastuzumab for HER2 detection</w:t>
      </w:r>
    </w:p>
    <w:p w14:paraId="16D16121" w14:textId="0B0BABDF" w:rsidR="00CD1869" w:rsidRDefault="00CD1869" w:rsidP="00502F1C">
      <w:pPr>
        <w:jc w:val="both"/>
        <w:rPr>
          <w:rStyle w:val="Strong"/>
          <w:rFonts w:cs="Times New Roman"/>
          <w:b w:val="0"/>
          <w:bCs w:val="0"/>
          <w:color w:val="1F1F1F"/>
          <w:sz w:val="24"/>
          <w:szCs w:val="24"/>
          <w:vertAlign w:val="superscript"/>
        </w:rPr>
      </w:pPr>
      <w:r w:rsidRPr="00D827E4">
        <w:rPr>
          <w:rStyle w:val="Strong"/>
          <w:rFonts w:cs="Times New Roman"/>
          <w:b w:val="0"/>
          <w:bCs w:val="0"/>
          <w:color w:val="1F1F1F"/>
          <w:sz w:val="24"/>
          <w:szCs w:val="24"/>
        </w:rPr>
        <w:t>Ivana Kundacina*</w:t>
      </w:r>
      <w:r w:rsidR="007331CC">
        <w:rPr>
          <w:rStyle w:val="Strong"/>
          <w:rFonts w:cs="Times New Roman"/>
          <w:b w:val="0"/>
          <w:bCs w:val="0"/>
          <w:color w:val="1F1F1F"/>
          <w:sz w:val="24"/>
          <w:szCs w:val="24"/>
          <w:vertAlign w:val="superscript"/>
        </w:rPr>
        <w:t>1</w:t>
      </w:r>
      <w:r w:rsidRPr="00D827E4">
        <w:rPr>
          <w:rStyle w:val="Strong"/>
          <w:rFonts w:cs="Times New Roman"/>
          <w:b w:val="0"/>
          <w:bCs w:val="0"/>
          <w:color w:val="1F1F1F"/>
          <w:sz w:val="24"/>
          <w:szCs w:val="24"/>
        </w:rPr>
        <w:t>, Silvia Schobesberger</w:t>
      </w:r>
      <w:r w:rsidR="007331CC">
        <w:rPr>
          <w:rStyle w:val="Strong"/>
          <w:rFonts w:cs="Times New Roman"/>
          <w:b w:val="0"/>
          <w:bCs w:val="0"/>
          <w:color w:val="1F1F1F"/>
          <w:sz w:val="24"/>
          <w:szCs w:val="24"/>
          <w:vertAlign w:val="superscript"/>
        </w:rPr>
        <w:t>2</w:t>
      </w:r>
      <w:r w:rsidRPr="00D827E4">
        <w:rPr>
          <w:rStyle w:val="Strong"/>
          <w:rFonts w:cs="Times New Roman"/>
          <w:b w:val="0"/>
          <w:bCs w:val="0"/>
          <w:color w:val="1F1F1F"/>
          <w:sz w:val="24"/>
          <w:szCs w:val="24"/>
        </w:rPr>
        <w:t>, Stefan Kittler</w:t>
      </w:r>
      <w:r w:rsidR="007331CC">
        <w:rPr>
          <w:rStyle w:val="Strong"/>
          <w:rFonts w:cs="Times New Roman"/>
          <w:b w:val="0"/>
          <w:bCs w:val="0"/>
          <w:color w:val="1F1F1F"/>
          <w:sz w:val="24"/>
          <w:szCs w:val="24"/>
          <w:vertAlign w:val="superscript"/>
        </w:rPr>
        <w:t>3</w:t>
      </w:r>
      <w:r w:rsidRPr="00D827E4">
        <w:rPr>
          <w:rStyle w:val="Strong"/>
          <w:rFonts w:cs="Times New Roman"/>
          <w:b w:val="0"/>
          <w:bCs w:val="0"/>
          <w:color w:val="1F1F1F"/>
          <w:sz w:val="24"/>
          <w:szCs w:val="24"/>
        </w:rPr>
        <w:t>, Helena Thumfart</w:t>
      </w:r>
      <w:r w:rsidR="007331CC">
        <w:rPr>
          <w:rStyle w:val="Strong"/>
          <w:rFonts w:cs="Times New Roman"/>
          <w:b w:val="0"/>
          <w:bCs w:val="0"/>
          <w:color w:val="1F1F1F"/>
          <w:sz w:val="24"/>
          <w:szCs w:val="24"/>
          <w:vertAlign w:val="superscript"/>
        </w:rPr>
        <w:t>2</w:t>
      </w:r>
      <w:r w:rsidRPr="00D827E4">
        <w:rPr>
          <w:rStyle w:val="Strong"/>
          <w:rFonts w:cs="Times New Roman"/>
          <w:b w:val="0"/>
          <w:bCs w:val="0"/>
          <w:color w:val="1F1F1F"/>
          <w:sz w:val="24"/>
          <w:szCs w:val="24"/>
        </w:rPr>
        <w:t>, Oliver Spadiut</w:t>
      </w:r>
      <w:r w:rsidR="007331CC">
        <w:rPr>
          <w:rStyle w:val="Strong"/>
          <w:rFonts w:cs="Times New Roman"/>
          <w:b w:val="0"/>
          <w:bCs w:val="0"/>
          <w:color w:val="1F1F1F"/>
          <w:sz w:val="24"/>
          <w:szCs w:val="24"/>
          <w:vertAlign w:val="superscript"/>
        </w:rPr>
        <w:t>3</w:t>
      </w:r>
      <w:r w:rsidRPr="00D827E4">
        <w:rPr>
          <w:rStyle w:val="Strong"/>
          <w:rFonts w:cs="Times New Roman"/>
          <w:b w:val="0"/>
          <w:bCs w:val="0"/>
          <w:color w:val="1F1F1F"/>
          <w:sz w:val="24"/>
          <w:szCs w:val="24"/>
        </w:rPr>
        <w:t>, Peter Ertl</w:t>
      </w:r>
      <w:r w:rsidR="007331CC">
        <w:rPr>
          <w:rStyle w:val="Strong"/>
          <w:rFonts w:cs="Times New Roman"/>
          <w:b w:val="0"/>
          <w:bCs w:val="0"/>
          <w:color w:val="1F1F1F"/>
          <w:sz w:val="24"/>
          <w:szCs w:val="24"/>
          <w:vertAlign w:val="superscript"/>
        </w:rPr>
        <w:t>2</w:t>
      </w:r>
      <w:r w:rsidRPr="00D827E4">
        <w:rPr>
          <w:rStyle w:val="Strong"/>
          <w:rFonts w:cs="Times New Roman"/>
          <w:b w:val="0"/>
          <w:bCs w:val="0"/>
          <w:color w:val="1F1F1F"/>
          <w:sz w:val="24"/>
          <w:szCs w:val="24"/>
        </w:rPr>
        <w:t xml:space="preserve">, </w:t>
      </w:r>
      <w:r>
        <w:rPr>
          <w:rStyle w:val="Strong"/>
          <w:rFonts w:cs="Times New Roman"/>
          <w:b w:val="0"/>
          <w:bCs w:val="0"/>
          <w:color w:val="1F1F1F"/>
          <w:sz w:val="24"/>
          <w:szCs w:val="24"/>
        </w:rPr>
        <w:t>Nikola</w:t>
      </w:r>
      <w:r w:rsidR="00ED4B65">
        <w:rPr>
          <w:rStyle w:val="Strong"/>
          <w:rFonts w:cs="Times New Roman"/>
          <w:b w:val="0"/>
          <w:bCs w:val="0"/>
          <w:color w:val="1F1F1F"/>
          <w:sz w:val="24"/>
          <w:szCs w:val="24"/>
        </w:rPr>
        <w:t xml:space="preserve"> Ž.</w:t>
      </w:r>
      <w:r>
        <w:rPr>
          <w:rStyle w:val="Strong"/>
          <w:rFonts w:cs="Times New Roman"/>
          <w:b w:val="0"/>
          <w:bCs w:val="0"/>
          <w:color w:val="1F1F1F"/>
          <w:sz w:val="24"/>
          <w:szCs w:val="24"/>
        </w:rPr>
        <w:t xml:space="preserve"> Kne</w:t>
      </w:r>
      <w:r w:rsidR="00ED4B65">
        <w:rPr>
          <w:rStyle w:val="Strong"/>
          <w:rFonts w:cs="Times New Roman"/>
          <w:b w:val="0"/>
          <w:bCs w:val="0"/>
          <w:color w:val="1F1F1F"/>
          <w:sz w:val="24"/>
          <w:szCs w:val="24"/>
        </w:rPr>
        <w:t>ž</w:t>
      </w:r>
      <w:r>
        <w:rPr>
          <w:rStyle w:val="Strong"/>
          <w:rFonts w:cs="Times New Roman"/>
          <w:b w:val="0"/>
          <w:bCs w:val="0"/>
          <w:color w:val="1F1F1F"/>
          <w:sz w:val="24"/>
          <w:szCs w:val="24"/>
        </w:rPr>
        <w:t>evi</w:t>
      </w:r>
      <w:r w:rsidR="00ED4B65">
        <w:rPr>
          <w:rStyle w:val="Strong"/>
          <w:rFonts w:cs="Times New Roman"/>
          <w:b w:val="0"/>
          <w:bCs w:val="0"/>
          <w:color w:val="1F1F1F"/>
          <w:sz w:val="24"/>
          <w:szCs w:val="24"/>
        </w:rPr>
        <w:t>ć</w:t>
      </w:r>
      <w:r w:rsidR="007331CC">
        <w:rPr>
          <w:rStyle w:val="Strong"/>
          <w:rFonts w:cs="Times New Roman"/>
          <w:b w:val="0"/>
          <w:bCs w:val="0"/>
          <w:color w:val="1F1F1F"/>
          <w:sz w:val="24"/>
          <w:szCs w:val="24"/>
          <w:vertAlign w:val="superscript"/>
        </w:rPr>
        <w:t>1</w:t>
      </w:r>
      <w:r w:rsidRPr="00D827E4">
        <w:rPr>
          <w:rStyle w:val="Strong"/>
          <w:rFonts w:cs="Times New Roman"/>
          <w:b w:val="0"/>
          <w:bCs w:val="0"/>
          <w:color w:val="1F1F1F"/>
          <w:sz w:val="24"/>
          <w:szCs w:val="24"/>
        </w:rPr>
        <w:t xml:space="preserve">, </w:t>
      </w:r>
      <w:r>
        <w:rPr>
          <w:rStyle w:val="Strong"/>
          <w:rFonts w:cs="Times New Roman"/>
          <w:b w:val="0"/>
          <w:bCs w:val="0"/>
          <w:color w:val="1F1F1F"/>
          <w:sz w:val="24"/>
          <w:szCs w:val="24"/>
        </w:rPr>
        <w:t xml:space="preserve">Vasa </w:t>
      </w:r>
      <w:proofErr w:type="spellStart"/>
      <w:r>
        <w:rPr>
          <w:rStyle w:val="Strong"/>
          <w:rFonts w:cs="Times New Roman"/>
          <w:b w:val="0"/>
          <w:bCs w:val="0"/>
          <w:color w:val="1F1F1F"/>
          <w:sz w:val="24"/>
          <w:szCs w:val="24"/>
        </w:rPr>
        <w:t>Radonic</w:t>
      </w:r>
      <w:proofErr w:type="spellEnd"/>
      <w:r>
        <w:rPr>
          <w:rStyle w:val="Strong"/>
          <w:rFonts w:cs="Times New Roman"/>
          <w:b w:val="0"/>
          <w:bCs w:val="0"/>
          <w:color w:val="1F1F1F"/>
          <w:sz w:val="24"/>
          <w:szCs w:val="24"/>
        </w:rPr>
        <w:t>*</w:t>
      </w:r>
      <w:r w:rsidR="007331CC">
        <w:rPr>
          <w:rStyle w:val="Strong"/>
          <w:rFonts w:cs="Times New Roman"/>
          <w:b w:val="0"/>
          <w:bCs w:val="0"/>
          <w:color w:val="1F1F1F"/>
          <w:sz w:val="24"/>
          <w:szCs w:val="24"/>
          <w:vertAlign w:val="superscript"/>
        </w:rPr>
        <w:t>1</w:t>
      </w:r>
    </w:p>
    <w:p w14:paraId="7987DBDE" w14:textId="77777777" w:rsidR="00CD1869" w:rsidRPr="00F4753B" w:rsidRDefault="00CD1869" w:rsidP="00502F1C">
      <w:pPr>
        <w:jc w:val="both"/>
        <w:rPr>
          <w:rStyle w:val="Strong"/>
          <w:rFonts w:cs="Times New Roman"/>
          <w:b w:val="0"/>
          <w:bCs w:val="0"/>
          <w:color w:val="1F1F1F"/>
        </w:rPr>
      </w:pPr>
      <w:r w:rsidRPr="00F4753B">
        <w:rPr>
          <w:rStyle w:val="Strong"/>
          <w:rFonts w:cs="Times New Roman"/>
          <w:b w:val="0"/>
          <w:bCs w:val="0"/>
          <w:color w:val="1F1F1F"/>
        </w:rPr>
        <w:t xml:space="preserve">*corresponding authors: </w:t>
      </w:r>
      <w:hyperlink r:id="rId6" w:history="1">
        <w:r w:rsidRPr="00F4753B">
          <w:rPr>
            <w:rStyle w:val="Hyperlink"/>
            <w:rFonts w:cs="Times New Roman"/>
          </w:rPr>
          <w:t>ivana.kundacina@biosense.rs</w:t>
        </w:r>
      </w:hyperlink>
      <w:r w:rsidRPr="00F4753B">
        <w:rPr>
          <w:rStyle w:val="Strong"/>
          <w:rFonts w:cs="Times New Roman"/>
          <w:b w:val="0"/>
          <w:bCs w:val="0"/>
          <w:color w:val="1F1F1F"/>
        </w:rPr>
        <w:t xml:space="preserve">; </w:t>
      </w:r>
      <w:hyperlink r:id="rId7" w:history="1">
        <w:r w:rsidRPr="00D827E4">
          <w:rPr>
            <w:rStyle w:val="Hyperlink"/>
            <w:rFonts w:cs="Times New Roman"/>
          </w:rPr>
          <w:t>vasarad@biosense.rs</w:t>
        </w:r>
      </w:hyperlink>
      <w:r w:rsidRPr="00F4753B">
        <w:rPr>
          <w:rStyle w:val="Strong"/>
          <w:rFonts w:cs="Times New Roman"/>
          <w:b w:val="0"/>
          <w:bCs w:val="0"/>
          <w:color w:val="1F1F1F"/>
        </w:rPr>
        <w:t xml:space="preserve">; </w:t>
      </w:r>
    </w:p>
    <w:p w14:paraId="6C0ACC48" w14:textId="2CFD15FB" w:rsidR="00CD1869" w:rsidRPr="00D827E4" w:rsidRDefault="007331CC" w:rsidP="00502F1C">
      <w:pPr>
        <w:jc w:val="both"/>
        <w:rPr>
          <w:rStyle w:val="Strong"/>
          <w:rFonts w:cs="Times New Roman"/>
          <w:b w:val="0"/>
          <w:bCs w:val="0"/>
          <w:color w:val="1F1F1F"/>
        </w:rPr>
      </w:pPr>
      <w:r>
        <w:rPr>
          <w:rStyle w:val="Strong"/>
          <w:rFonts w:cs="Times New Roman"/>
          <w:b w:val="0"/>
          <w:bCs w:val="0"/>
          <w:color w:val="1F1F1F"/>
          <w:vertAlign w:val="superscript"/>
        </w:rPr>
        <w:t>1</w:t>
      </w:r>
      <w:r w:rsidR="00CD1869" w:rsidRPr="00D827E4">
        <w:rPr>
          <w:rStyle w:val="Strong"/>
          <w:rFonts w:cs="Times New Roman"/>
          <w:b w:val="0"/>
          <w:bCs w:val="0"/>
          <w:color w:val="1F1F1F"/>
          <w:vertAlign w:val="superscript"/>
        </w:rPr>
        <w:t xml:space="preserve"> </w:t>
      </w:r>
      <w:bookmarkStart w:id="0" w:name="_Hlk151544937"/>
      <w:r w:rsidR="00CD1869" w:rsidRPr="00D827E4">
        <w:rPr>
          <w:rStyle w:val="Strong"/>
          <w:rFonts w:cs="Times New Roman"/>
          <w:b w:val="0"/>
          <w:bCs w:val="0"/>
          <w:color w:val="1F1F1F"/>
        </w:rPr>
        <w:t xml:space="preserve">University of Novi Sad, </w:t>
      </w:r>
      <w:proofErr w:type="spellStart"/>
      <w:r w:rsidR="00CD1869" w:rsidRPr="00D827E4">
        <w:rPr>
          <w:rStyle w:val="Strong"/>
          <w:rFonts w:cs="Times New Roman"/>
          <w:b w:val="0"/>
          <w:bCs w:val="0"/>
          <w:color w:val="1F1F1F"/>
        </w:rPr>
        <w:t>BioSense</w:t>
      </w:r>
      <w:proofErr w:type="spellEnd"/>
      <w:r w:rsidR="00CD1869" w:rsidRPr="00D827E4">
        <w:rPr>
          <w:rStyle w:val="Strong"/>
          <w:rFonts w:cs="Times New Roman"/>
          <w:b w:val="0"/>
          <w:bCs w:val="0"/>
          <w:color w:val="1F1F1F"/>
        </w:rPr>
        <w:t xml:space="preserve"> Institute, Dr Zorana </w:t>
      </w:r>
      <w:proofErr w:type="spellStart"/>
      <w:r w:rsidR="00CD1869" w:rsidRPr="00D827E4">
        <w:rPr>
          <w:rStyle w:val="Strong"/>
          <w:rFonts w:cs="Times New Roman"/>
          <w:b w:val="0"/>
          <w:bCs w:val="0"/>
          <w:color w:val="1F1F1F"/>
        </w:rPr>
        <w:t>Djindjica</w:t>
      </w:r>
      <w:proofErr w:type="spellEnd"/>
      <w:r w:rsidR="00CD1869" w:rsidRPr="00D827E4">
        <w:rPr>
          <w:rStyle w:val="Strong"/>
          <w:rFonts w:cs="Times New Roman"/>
          <w:b w:val="0"/>
          <w:bCs w:val="0"/>
          <w:color w:val="1F1F1F"/>
        </w:rPr>
        <w:t xml:space="preserve"> 1, 21000 Novi Sad, Serbia</w:t>
      </w:r>
      <w:bookmarkEnd w:id="0"/>
      <w:r w:rsidR="00CD1869" w:rsidRPr="00D827E4">
        <w:rPr>
          <w:rStyle w:val="Strong"/>
          <w:rFonts w:cs="Times New Roman"/>
          <w:b w:val="0"/>
          <w:bCs w:val="0"/>
          <w:color w:val="1F1F1F"/>
        </w:rPr>
        <w:t xml:space="preserve">; </w:t>
      </w:r>
      <w:hyperlink r:id="rId8" w:history="1">
        <w:r w:rsidR="00CD1869" w:rsidRPr="00D827E4">
          <w:rPr>
            <w:rStyle w:val="Hyperlink"/>
            <w:rFonts w:cs="Times New Roman"/>
          </w:rPr>
          <w:t>ivana.kundacina@biosense.rs</w:t>
        </w:r>
      </w:hyperlink>
      <w:r w:rsidR="00CD1869" w:rsidRPr="00D827E4">
        <w:rPr>
          <w:rStyle w:val="Strong"/>
          <w:rFonts w:cs="Times New Roman"/>
          <w:b w:val="0"/>
          <w:bCs w:val="0"/>
          <w:color w:val="1F1F1F"/>
        </w:rPr>
        <w:t xml:space="preserve">; </w:t>
      </w:r>
      <w:hyperlink r:id="rId9" w:history="1">
        <w:r w:rsidR="00CD1869" w:rsidRPr="00D827E4">
          <w:rPr>
            <w:rStyle w:val="Hyperlink"/>
            <w:rFonts w:cs="Times New Roman"/>
          </w:rPr>
          <w:t>vasarad@biosense.rs</w:t>
        </w:r>
      </w:hyperlink>
      <w:r w:rsidR="00CD1869" w:rsidRPr="00D827E4">
        <w:rPr>
          <w:rStyle w:val="Strong"/>
          <w:rFonts w:cs="Times New Roman"/>
          <w:b w:val="0"/>
          <w:bCs w:val="0"/>
          <w:color w:val="1F1F1F"/>
        </w:rPr>
        <w:t xml:space="preserve">; </w:t>
      </w:r>
      <w:hyperlink r:id="rId10" w:history="1">
        <w:r w:rsidR="00CD1869" w:rsidRPr="00D827E4">
          <w:rPr>
            <w:rStyle w:val="Hyperlink"/>
            <w:rFonts w:cs="Times New Roman"/>
          </w:rPr>
          <w:t>nknezevic@biosense.rs</w:t>
        </w:r>
      </w:hyperlink>
      <w:r w:rsidR="00CD1869" w:rsidRPr="00D827E4">
        <w:rPr>
          <w:rStyle w:val="Strong"/>
          <w:rFonts w:cs="Times New Roman"/>
          <w:b w:val="0"/>
          <w:bCs w:val="0"/>
          <w:color w:val="1F1F1F"/>
        </w:rPr>
        <w:t>;</w:t>
      </w:r>
    </w:p>
    <w:p w14:paraId="754BD113" w14:textId="4BC88374" w:rsidR="00CD1869" w:rsidRPr="003354D4" w:rsidRDefault="007331CC" w:rsidP="00502F1C">
      <w:pPr>
        <w:jc w:val="both"/>
        <w:rPr>
          <w:rStyle w:val="Strong"/>
          <w:b w:val="0"/>
          <w:bCs w:val="0"/>
        </w:rPr>
      </w:pPr>
      <w:r>
        <w:rPr>
          <w:rStyle w:val="Strong"/>
          <w:rFonts w:cs="Times New Roman"/>
          <w:b w:val="0"/>
          <w:bCs w:val="0"/>
          <w:color w:val="1F1F1F"/>
          <w:vertAlign w:val="superscript"/>
        </w:rPr>
        <w:t>2</w:t>
      </w:r>
      <w:r w:rsidR="00CD1869" w:rsidRPr="00D827E4">
        <w:rPr>
          <w:rStyle w:val="Strong"/>
          <w:rFonts w:cs="Times New Roman"/>
          <w:b w:val="0"/>
          <w:bCs w:val="0"/>
          <w:color w:val="1F1F1F"/>
          <w:vertAlign w:val="superscript"/>
        </w:rPr>
        <w:t xml:space="preserve"> </w:t>
      </w:r>
      <w:r w:rsidR="00CD1869" w:rsidRPr="003354D4">
        <w:t xml:space="preserve">TU Wien, Faculty of Technical Chemistry, </w:t>
      </w:r>
      <w:proofErr w:type="spellStart"/>
      <w:r w:rsidR="00CD1869" w:rsidRPr="003354D4">
        <w:t>Getreidemarkt</w:t>
      </w:r>
      <w:proofErr w:type="spellEnd"/>
      <w:r w:rsidR="00CD1869" w:rsidRPr="003354D4">
        <w:t xml:space="preserve"> 9, 1060 Vienna, Austria </w:t>
      </w:r>
      <w:hyperlink r:id="rId11" w:history="1">
        <w:r w:rsidR="00CD1869" w:rsidRPr="00BD4574">
          <w:rPr>
            <w:rStyle w:val="Hyperlink"/>
          </w:rPr>
          <w:t>silvia.schobesberger@tuwien.ac.at</w:t>
        </w:r>
      </w:hyperlink>
      <w:r w:rsidR="00CD1869" w:rsidRPr="003354D4">
        <w:t>;</w:t>
      </w:r>
      <w:r w:rsidR="00CD1869">
        <w:t xml:space="preserve"> </w:t>
      </w:r>
      <w:hyperlink r:id="rId12" w:history="1">
        <w:r w:rsidR="00CD1869" w:rsidRPr="00BD4574">
          <w:rPr>
            <w:rStyle w:val="Hyperlink"/>
          </w:rPr>
          <w:t>helena.thumfart@tuwien.ac.at</w:t>
        </w:r>
      </w:hyperlink>
      <w:r w:rsidR="00CD1869">
        <w:t xml:space="preserve">; </w:t>
      </w:r>
      <w:hyperlink r:id="rId13" w:history="1">
        <w:r w:rsidR="00CD1869" w:rsidRPr="00BD4574">
          <w:rPr>
            <w:rStyle w:val="Hyperlink"/>
          </w:rPr>
          <w:t>peter.ertl@tuwien.ac.at</w:t>
        </w:r>
      </w:hyperlink>
      <w:r w:rsidR="00CD1869" w:rsidRPr="003354D4">
        <w:t>;</w:t>
      </w:r>
      <w:r w:rsidR="00CD1869">
        <w:t xml:space="preserve"> </w:t>
      </w:r>
    </w:p>
    <w:p w14:paraId="78A0CDE5" w14:textId="6758EDEA" w:rsidR="00CD1869" w:rsidRDefault="007331CC" w:rsidP="00502F1C">
      <w:pPr>
        <w:jc w:val="both"/>
        <w:rPr>
          <w:rStyle w:val="Strong"/>
          <w:rFonts w:cs="Times New Roman"/>
          <w:b w:val="0"/>
          <w:bCs w:val="0"/>
          <w:color w:val="1F1F1F"/>
        </w:rPr>
      </w:pPr>
      <w:r>
        <w:rPr>
          <w:rStyle w:val="Strong"/>
          <w:rFonts w:cs="Times New Roman"/>
          <w:b w:val="0"/>
          <w:bCs w:val="0"/>
          <w:color w:val="1F1F1F"/>
          <w:vertAlign w:val="superscript"/>
        </w:rPr>
        <w:t>3</w:t>
      </w:r>
      <w:r w:rsidR="00CD1869" w:rsidRPr="00D827E4">
        <w:rPr>
          <w:rStyle w:val="Strong"/>
          <w:rFonts w:cs="Times New Roman"/>
          <w:b w:val="0"/>
          <w:bCs w:val="0"/>
          <w:color w:val="1F1F1F"/>
          <w:vertAlign w:val="superscript"/>
        </w:rPr>
        <w:t xml:space="preserve"> </w:t>
      </w:r>
      <w:r w:rsidR="00CD1869" w:rsidRPr="00D827E4">
        <w:rPr>
          <w:rStyle w:val="Strong"/>
          <w:rFonts w:cs="Times New Roman"/>
          <w:b w:val="0"/>
          <w:bCs w:val="0"/>
          <w:color w:val="1F1F1F"/>
        </w:rPr>
        <w:t>TU Wien</w:t>
      </w:r>
      <w:r w:rsidR="00CD1869">
        <w:rPr>
          <w:rStyle w:val="Strong"/>
          <w:rFonts w:cs="Times New Roman"/>
          <w:b w:val="0"/>
          <w:bCs w:val="0"/>
          <w:color w:val="1F1F1F"/>
        </w:rPr>
        <w:t>,</w:t>
      </w:r>
      <w:r w:rsidR="00CD1869" w:rsidRPr="00D827E4">
        <w:rPr>
          <w:rStyle w:val="Strong"/>
          <w:rFonts w:cs="Times New Roman"/>
          <w:b w:val="0"/>
          <w:bCs w:val="0"/>
          <w:color w:val="1F1F1F"/>
        </w:rPr>
        <w:t xml:space="preserve"> Research Division Integrated Bioprocess Development, Institute of Chemical, Environmental and Bioscience Engineering, </w:t>
      </w:r>
      <w:proofErr w:type="spellStart"/>
      <w:r w:rsidR="00CD1869" w:rsidRPr="00D827E4">
        <w:rPr>
          <w:rStyle w:val="Strong"/>
          <w:rFonts w:cs="Times New Roman"/>
          <w:b w:val="0"/>
          <w:bCs w:val="0"/>
          <w:color w:val="1F1F1F"/>
        </w:rPr>
        <w:t>Gumpendorfer</w:t>
      </w:r>
      <w:proofErr w:type="spellEnd"/>
      <w:r w:rsidR="00CD1869" w:rsidRPr="00D827E4">
        <w:rPr>
          <w:rStyle w:val="Strong"/>
          <w:rFonts w:cs="Times New Roman"/>
          <w:b w:val="0"/>
          <w:bCs w:val="0"/>
          <w:color w:val="1F1F1F"/>
        </w:rPr>
        <w:t xml:space="preserve"> Strasse 1a, 1060 Vienna, Austria; </w:t>
      </w:r>
      <w:hyperlink r:id="rId14" w:history="1">
        <w:r w:rsidR="00CD1869" w:rsidRPr="00D827E4">
          <w:rPr>
            <w:rStyle w:val="Hyperlink"/>
            <w:rFonts w:cs="Times New Roman"/>
          </w:rPr>
          <w:t>stefan.kittler@tuwien.ac.at</w:t>
        </w:r>
      </w:hyperlink>
      <w:r w:rsidR="00CD1869" w:rsidRPr="00D827E4">
        <w:rPr>
          <w:rStyle w:val="Strong"/>
          <w:rFonts w:cs="Times New Roman"/>
          <w:b w:val="0"/>
          <w:bCs w:val="0"/>
          <w:color w:val="1F1F1F"/>
        </w:rPr>
        <w:t xml:space="preserve">; </w:t>
      </w:r>
      <w:hyperlink r:id="rId15" w:history="1">
        <w:r w:rsidR="00CD1869" w:rsidRPr="00D827E4">
          <w:rPr>
            <w:rStyle w:val="Hyperlink"/>
            <w:rFonts w:cs="Times New Roman"/>
          </w:rPr>
          <w:t>oliver.spadiut@tuwien.ac.at</w:t>
        </w:r>
      </w:hyperlink>
      <w:r w:rsidR="00CD1869" w:rsidRPr="00D827E4">
        <w:rPr>
          <w:rStyle w:val="Strong"/>
          <w:rFonts w:cs="Times New Roman"/>
          <w:b w:val="0"/>
          <w:bCs w:val="0"/>
          <w:color w:val="1F1F1F"/>
        </w:rPr>
        <w:t xml:space="preserve">; </w:t>
      </w:r>
    </w:p>
    <w:p w14:paraId="4C07BE1B" w14:textId="77777777" w:rsidR="00CD1869" w:rsidRPr="00D827E4" w:rsidRDefault="00CD1869" w:rsidP="00502F1C">
      <w:pPr>
        <w:jc w:val="both"/>
        <w:rPr>
          <w:rStyle w:val="Strong"/>
          <w:rFonts w:cs="Times New Roman"/>
          <w:color w:val="1F1F1F"/>
        </w:rPr>
      </w:pPr>
    </w:p>
    <w:p w14:paraId="1FA4C4CB" w14:textId="6DFFE9BB" w:rsidR="00D72B7A" w:rsidRPr="006D344E" w:rsidRDefault="00D72B7A" w:rsidP="00B65AAD">
      <w:pPr>
        <w:jc w:val="both"/>
        <w:rPr>
          <w:b/>
          <w:bCs/>
        </w:rPr>
      </w:pPr>
      <w:r w:rsidRPr="006D344E">
        <w:rPr>
          <w:b/>
          <w:bCs/>
        </w:rPr>
        <w:t>Electrochemical characterization of electrodes</w:t>
      </w:r>
    </w:p>
    <w:p w14:paraId="6014EBA5" w14:textId="1479ED44" w:rsidR="00CD1869" w:rsidRDefault="00CD1869" w:rsidP="00B65AAD">
      <w:pPr>
        <w:jc w:val="both"/>
      </w:pPr>
      <w:r>
        <w:t xml:space="preserve">Cyclic voltammetry in sulfuric acid was performed on GLE to determine the composition of the electrode surface. CV measurements resulted in a voltammogram, Fig. </w:t>
      </w:r>
      <w:r w:rsidR="008743F0">
        <w:t>S</w:t>
      </w:r>
      <w:r>
        <w:t xml:space="preserve">.1a, that contains characteristic oxidation and reduction peaks of gold, at 0.85 V and 0.52 V vs. gold RE, respectively. In addition, the voltammogram for GLE </w:t>
      </w:r>
      <w:r w:rsidR="006D344E">
        <w:t xml:space="preserve">showed </w:t>
      </w:r>
      <w:r>
        <w:t xml:space="preserve">narrow and sharp peaks, indicating a fast electrochemical reaction and no charge accumulation. In addition, the stability experiments resulted in a stable signal with sharp peaks of iron oxidation and reduction within the redox couple, </w:t>
      </w:r>
      <w:r w:rsidR="008743F0">
        <w:t>Fig. S</w:t>
      </w:r>
      <w:r>
        <w:t>.1b.</w:t>
      </w:r>
    </w:p>
    <w:p w14:paraId="1DA110FB" w14:textId="76DCB12B" w:rsidR="00CD1869" w:rsidRDefault="00CD1869" w:rsidP="00B65AAD">
      <w:pPr>
        <w:jc w:val="both"/>
        <w:rPr>
          <w:lang w:val="en"/>
        </w:rPr>
      </w:pPr>
      <w:r w:rsidRPr="004642C1">
        <w:t xml:space="preserve">In order to </w:t>
      </w:r>
      <w:r>
        <w:t>study</w:t>
      </w:r>
      <w:r w:rsidRPr="004642C1">
        <w:t xml:space="preserve"> the effective surface area of </w:t>
      </w:r>
      <w:r>
        <w:t xml:space="preserve">the GLE and the commercially available </w:t>
      </w:r>
      <w:proofErr w:type="spellStart"/>
      <w:r>
        <w:t>Dropsens</w:t>
      </w:r>
      <w:proofErr w:type="spellEnd"/>
      <w:r>
        <w:t xml:space="preserve"> electrode</w:t>
      </w:r>
      <w:r w:rsidRPr="004642C1">
        <w:t xml:space="preserve">, a </w:t>
      </w:r>
      <w:r>
        <w:t>series</w:t>
      </w:r>
      <w:r w:rsidRPr="004642C1">
        <w:t xml:space="preserve"> of experiments </w:t>
      </w:r>
      <w:r>
        <w:t>were</w:t>
      </w:r>
      <w:r w:rsidRPr="004642C1">
        <w:t xml:space="preserve"> performed with 10 mM potassium ferro/ferricyanide in PBS. </w:t>
      </w:r>
      <w:r>
        <w:t xml:space="preserve">The inset of </w:t>
      </w:r>
      <w:r w:rsidR="008743F0">
        <w:t>Fig. S</w:t>
      </w:r>
      <w:r>
        <w:t>.1c presents</w:t>
      </w:r>
      <w:r w:rsidRPr="004642C1">
        <w:t xml:space="preserve"> voltammograms </w:t>
      </w:r>
      <w:r>
        <w:t>obtained</w:t>
      </w:r>
      <w:r w:rsidRPr="004642C1">
        <w:t xml:space="preserve"> </w:t>
      </w:r>
      <w:r>
        <w:t xml:space="preserve">using GLE with </w:t>
      </w:r>
      <w:r w:rsidRPr="004642C1">
        <w:t xml:space="preserve">different </w:t>
      </w:r>
      <w:r>
        <w:t>scan rates</w:t>
      </w:r>
      <w:r w:rsidRPr="004642C1">
        <w:t xml:space="preserve">. </w:t>
      </w:r>
      <w:r w:rsidR="008743F0">
        <w:rPr>
          <w:lang w:val="en"/>
        </w:rPr>
        <w:t>Fig. S</w:t>
      </w:r>
      <w:r>
        <w:rPr>
          <w:lang w:val="en"/>
        </w:rPr>
        <w:t>.1</w:t>
      </w:r>
      <w:r w:rsidRPr="004642C1">
        <w:rPr>
          <w:lang w:val="en"/>
        </w:rPr>
        <w:t xml:space="preserve">c </w:t>
      </w:r>
      <w:r>
        <w:rPr>
          <w:lang w:val="en"/>
        </w:rPr>
        <w:t>presents</w:t>
      </w:r>
      <w:r w:rsidRPr="004642C1">
        <w:rPr>
          <w:lang w:val="en"/>
        </w:rPr>
        <w:t xml:space="preserve"> the oxidation </w:t>
      </w:r>
      <w:r>
        <w:rPr>
          <w:lang w:val="en"/>
        </w:rPr>
        <w:t xml:space="preserve">and reduction current </w:t>
      </w:r>
      <w:r w:rsidRPr="004642C1">
        <w:rPr>
          <w:lang w:val="en"/>
        </w:rPr>
        <w:t xml:space="preserve">peaks of the iron </w:t>
      </w:r>
      <w:r>
        <w:rPr>
          <w:lang w:val="en"/>
        </w:rPr>
        <w:t>redox couple</w:t>
      </w:r>
      <w:r w:rsidRPr="004642C1">
        <w:rPr>
          <w:lang w:val="en"/>
        </w:rPr>
        <w:t xml:space="preserve"> </w:t>
      </w:r>
      <w:r>
        <w:rPr>
          <w:lang w:val="en"/>
        </w:rPr>
        <w:t>versus</w:t>
      </w:r>
      <w:r w:rsidRPr="004642C1">
        <w:rPr>
          <w:lang w:val="en"/>
        </w:rPr>
        <w:t xml:space="preserve"> </w:t>
      </w:r>
      <w:r>
        <w:rPr>
          <w:lang w:val="en"/>
        </w:rPr>
        <w:t xml:space="preserve">the square </w:t>
      </w:r>
      <w:r w:rsidRPr="004642C1">
        <w:rPr>
          <w:lang w:val="en"/>
        </w:rPr>
        <w:t xml:space="preserve">root of the </w:t>
      </w:r>
      <w:r>
        <w:rPr>
          <w:lang w:val="en"/>
        </w:rPr>
        <w:t xml:space="preserve">scan rate where </w:t>
      </w:r>
      <w:r w:rsidRPr="004642C1">
        <w:rPr>
          <w:lang w:val="en"/>
        </w:rPr>
        <w:t xml:space="preserve">a linear increase </w:t>
      </w:r>
      <w:r>
        <w:rPr>
          <w:lang w:val="en"/>
        </w:rPr>
        <w:t>can be determined</w:t>
      </w:r>
      <w:r w:rsidRPr="004642C1">
        <w:rPr>
          <w:lang w:val="en"/>
        </w:rPr>
        <w:t xml:space="preserve">. </w:t>
      </w:r>
      <w:r>
        <w:rPr>
          <w:lang w:val="en"/>
        </w:rPr>
        <w:t>W</w:t>
      </w:r>
      <w:r w:rsidRPr="004642C1">
        <w:rPr>
          <w:lang w:val="en"/>
        </w:rPr>
        <w:t xml:space="preserve">ith </w:t>
      </w:r>
      <w:r w:rsidR="008F7FE4" w:rsidRPr="004642C1">
        <w:rPr>
          <w:lang w:val="en"/>
        </w:rPr>
        <w:t>the increasing</w:t>
      </w:r>
      <w:r w:rsidRPr="004642C1">
        <w:rPr>
          <w:lang w:val="en"/>
        </w:rPr>
        <w:t xml:space="preserve"> </w:t>
      </w:r>
      <w:r>
        <w:rPr>
          <w:lang w:val="en"/>
        </w:rPr>
        <w:t>scan rate</w:t>
      </w:r>
      <w:r w:rsidRPr="004642C1">
        <w:rPr>
          <w:lang w:val="en"/>
        </w:rPr>
        <w:t xml:space="preserve"> the potential change occurs </w:t>
      </w:r>
      <w:r>
        <w:rPr>
          <w:lang w:val="en"/>
        </w:rPr>
        <w:t xml:space="preserve">more rapidly </w:t>
      </w:r>
      <w:r w:rsidRPr="004642C1">
        <w:rPr>
          <w:lang w:val="en"/>
        </w:rPr>
        <w:t xml:space="preserve">in time, </w:t>
      </w:r>
      <w:r>
        <w:rPr>
          <w:lang w:val="en"/>
        </w:rPr>
        <w:t>i.e.</w:t>
      </w:r>
      <w:r w:rsidRPr="004642C1">
        <w:rPr>
          <w:lang w:val="en"/>
        </w:rPr>
        <w:t>, more energy is transferred to the ions in</w:t>
      </w:r>
      <w:r>
        <w:rPr>
          <w:lang w:val="en"/>
        </w:rPr>
        <w:t xml:space="preserve"> </w:t>
      </w:r>
      <w:r w:rsidRPr="004642C1">
        <w:rPr>
          <w:lang w:val="en"/>
        </w:rPr>
        <w:t>solution, resulting in a higher current.</w:t>
      </w:r>
      <w:r>
        <w:rPr>
          <w:lang w:val="en"/>
        </w:rPr>
        <w:t xml:space="preserve"> Similar results were obtained for the </w:t>
      </w:r>
      <w:proofErr w:type="spellStart"/>
      <w:r>
        <w:rPr>
          <w:lang w:val="en"/>
        </w:rPr>
        <w:t>Dropsens</w:t>
      </w:r>
      <w:proofErr w:type="spellEnd"/>
      <w:r>
        <w:rPr>
          <w:lang w:val="en"/>
        </w:rPr>
        <w:t xml:space="preserve"> electrodes, shown in </w:t>
      </w:r>
      <w:r w:rsidR="008743F0">
        <w:rPr>
          <w:lang w:val="en"/>
        </w:rPr>
        <w:t>Fig. S</w:t>
      </w:r>
      <w:r>
        <w:rPr>
          <w:lang w:val="en"/>
        </w:rPr>
        <w:t>.2.</w:t>
      </w:r>
    </w:p>
    <w:p w14:paraId="47152036" w14:textId="1D8F7D54" w:rsidR="00CD1869" w:rsidRDefault="00CD1869" w:rsidP="00B65AAD">
      <w:pPr>
        <w:jc w:val="both"/>
        <w:rPr>
          <w:lang w:val="en"/>
        </w:rPr>
      </w:pPr>
      <w:r w:rsidRPr="004642C1">
        <w:rPr>
          <w:lang w:val="en"/>
        </w:rPr>
        <w:t xml:space="preserve">In addition to the electroactive surface, the roughness factor </w:t>
      </w:r>
      <w:r>
        <w:rPr>
          <w:lang w:val="en"/>
        </w:rPr>
        <w:t xml:space="preserve">was calculated </w:t>
      </w:r>
      <w:r w:rsidRPr="004642C1">
        <w:rPr>
          <w:lang w:val="en"/>
        </w:rPr>
        <w:t xml:space="preserve">as the ratio </w:t>
      </w:r>
      <w:r>
        <w:rPr>
          <w:lang w:val="en"/>
        </w:rPr>
        <w:t>between</w:t>
      </w:r>
      <w:r w:rsidRPr="004642C1">
        <w:rPr>
          <w:lang w:val="en"/>
        </w:rPr>
        <w:t xml:space="preserve"> the geometric and electroactive surface</w:t>
      </w:r>
      <w:r>
        <w:rPr>
          <w:lang w:val="en"/>
        </w:rPr>
        <w:t>s</w:t>
      </w:r>
      <w:r w:rsidRPr="004642C1">
        <w:rPr>
          <w:lang w:val="en"/>
        </w:rPr>
        <w:t xml:space="preserve"> of electrode</w:t>
      </w:r>
      <w:r>
        <w:rPr>
          <w:lang w:val="en"/>
        </w:rPr>
        <w:t>s</w:t>
      </w:r>
      <w:r w:rsidRPr="004642C1">
        <w:rPr>
          <w:lang w:val="en"/>
        </w:rPr>
        <w:t>. Namely, considering that</w:t>
      </w:r>
      <w:r>
        <w:rPr>
          <w:lang w:val="en"/>
        </w:rPr>
        <w:t xml:space="preserve"> </w:t>
      </w:r>
      <w:proofErr w:type="spellStart"/>
      <w:r>
        <w:rPr>
          <w:lang w:val="en"/>
        </w:rPr>
        <w:t>Dropsens</w:t>
      </w:r>
      <w:proofErr w:type="spellEnd"/>
      <w:r>
        <w:rPr>
          <w:lang w:val="en"/>
        </w:rPr>
        <w:t xml:space="preserve"> and GLE</w:t>
      </w:r>
      <w:r w:rsidRPr="004642C1">
        <w:rPr>
          <w:lang w:val="en"/>
        </w:rPr>
        <w:t xml:space="preserve"> have the same geometric area of the </w:t>
      </w:r>
      <w:r>
        <w:rPr>
          <w:lang w:val="en"/>
        </w:rPr>
        <w:t>WE</w:t>
      </w:r>
      <w:r w:rsidRPr="004642C1">
        <w:rPr>
          <w:lang w:val="en"/>
        </w:rPr>
        <w:t xml:space="preserve"> equal to 0.1</w:t>
      </w:r>
      <w:r>
        <w:rPr>
          <w:lang w:val="en"/>
        </w:rPr>
        <w:t xml:space="preserve">2 </w:t>
      </w:r>
      <w:r w:rsidRPr="004642C1">
        <w:rPr>
          <w:lang w:val="en"/>
        </w:rPr>
        <w:t>cm</w:t>
      </w:r>
      <w:r w:rsidRPr="004642C1">
        <w:rPr>
          <w:vertAlign w:val="superscript"/>
          <w:lang w:val="en"/>
        </w:rPr>
        <w:t>2</w:t>
      </w:r>
      <w:r w:rsidRPr="004642C1">
        <w:rPr>
          <w:lang w:val="en"/>
        </w:rPr>
        <w:t xml:space="preserve">, the roughness factor describes </w:t>
      </w:r>
      <w:r w:rsidRPr="000C650B">
        <w:rPr>
          <w:lang w:val="en"/>
        </w:rPr>
        <w:t xml:space="preserve">the extent of electrode surface participation </w:t>
      </w:r>
      <w:r w:rsidRPr="004642C1">
        <w:rPr>
          <w:lang w:val="en"/>
        </w:rPr>
        <w:t>in the reaction,</w:t>
      </w:r>
      <w:r>
        <w:rPr>
          <w:lang w:val="en"/>
        </w:rPr>
        <w:t xml:space="preserve"> i.e.</w:t>
      </w:r>
      <w:r w:rsidRPr="004642C1">
        <w:rPr>
          <w:lang w:val="en"/>
        </w:rPr>
        <w:t xml:space="preserve">, </w:t>
      </w:r>
      <w:r>
        <w:rPr>
          <w:lang w:val="en"/>
        </w:rPr>
        <w:t>contribution</w:t>
      </w:r>
      <w:r w:rsidRPr="004642C1">
        <w:rPr>
          <w:lang w:val="en"/>
        </w:rPr>
        <w:t xml:space="preserve"> to the signal. </w:t>
      </w:r>
      <w:r>
        <w:rPr>
          <w:lang w:val="en"/>
        </w:rPr>
        <w:t xml:space="preserve">For GLE </w:t>
      </w:r>
      <w:r w:rsidRPr="004642C1">
        <w:rPr>
          <w:lang w:val="en"/>
        </w:rPr>
        <w:t>the roughness factor</w:t>
      </w:r>
      <w:r>
        <w:rPr>
          <w:lang w:val="en"/>
        </w:rPr>
        <w:t xml:space="preserve"> was calculated to be 1.3, whereas for the </w:t>
      </w:r>
      <w:proofErr w:type="spellStart"/>
      <w:r>
        <w:rPr>
          <w:lang w:val="en"/>
        </w:rPr>
        <w:t>Dropsens</w:t>
      </w:r>
      <w:proofErr w:type="spellEnd"/>
      <w:r>
        <w:rPr>
          <w:lang w:val="en"/>
        </w:rPr>
        <w:t xml:space="preserve"> electrode, it was 0.58</w:t>
      </w:r>
      <w:r w:rsidRPr="004642C1">
        <w:rPr>
          <w:lang w:val="en"/>
        </w:rPr>
        <w:t>, which</w:t>
      </w:r>
      <w:r>
        <w:rPr>
          <w:lang w:val="en"/>
        </w:rPr>
        <w:t xml:space="preserve"> </w:t>
      </w:r>
      <w:r w:rsidRPr="004642C1">
        <w:rPr>
          <w:lang w:val="en"/>
        </w:rPr>
        <w:t xml:space="preserve">indicates that the </w:t>
      </w:r>
      <w:proofErr w:type="spellStart"/>
      <w:r>
        <w:rPr>
          <w:lang w:val="en"/>
        </w:rPr>
        <w:t>Dropsens</w:t>
      </w:r>
      <w:proofErr w:type="spellEnd"/>
      <w:r>
        <w:rPr>
          <w:lang w:val="en"/>
        </w:rPr>
        <w:t xml:space="preserve"> </w:t>
      </w:r>
      <w:r w:rsidRPr="004642C1">
        <w:rPr>
          <w:lang w:val="en"/>
        </w:rPr>
        <w:t>electrode contains other components</w:t>
      </w:r>
      <w:r>
        <w:rPr>
          <w:lang w:val="en"/>
        </w:rPr>
        <w:t>.</w:t>
      </w:r>
      <w:r w:rsidRPr="004642C1">
        <w:rPr>
          <w:lang w:val="en"/>
        </w:rPr>
        <w:t xml:space="preserve"> </w:t>
      </w:r>
      <w:r>
        <w:rPr>
          <w:lang w:val="en"/>
        </w:rPr>
        <w:t xml:space="preserve">This is most </w:t>
      </w:r>
      <w:r w:rsidRPr="004642C1">
        <w:rPr>
          <w:lang w:val="en"/>
        </w:rPr>
        <w:t xml:space="preserve">likely </w:t>
      </w:r>
      <w:r>
        <w:rPr>
          <w:lang w:val="en"/>
        </w:rPr>
        <w:t xml:space="preserve">caused by the </w:t>
      </w:r>
      <w:r w:rsidRPr="004642C1">
        <w:rPr>
          <w:lang w:val="en"/>
        </w:rPr>
        <w:t>organic component</w:t>
      </w:r>
      <w:r>
        <w:rPr>
          <w:lang w:val="en"/>
        </w:rPr>
        <w:t xml:space="preserve">s in the </w:t>
      </w:r>
      <w:r w:rsidRPr="004642C1">
        <w:rPr>
          <w:lang w:val="en"/>
        </w:rPr>
        <w:t xml:space="preserve">paste used in screen printing, which do not participate in the reaction on the surface. </w:t>
      </w:r>
      <w:r>
        <w:rPr>
          <w:lang w:val="en"/>
        </w:rPr>
        <w:t>However</w:t>
      </w:r>
      <w:r w:rsidRPr="004642C1">
        <w:rPr>
          <w:lang w:val="en"/>
        </w:rPr>
        <w:t xml:space="preserve">, </w:t>
      </w:r>
      <w:r>
        <w:rPr>
          <w:lang w:val="en"/>
        </w:rPr>
        <w:t>in the case of GLE,</w:t>
      </w:r>
      <w:r w:rsidRPr="004642C1">
        <w:rPr>
          <w:lang w:val="en"/>
        </w:rPr>
        <w:t xml:space="preserve"> this factor is greater than </w:t>
      </w:r>
      <w:r>
        <w:rPr>
          <w:lang w:val="en"/>
        </w:rPr>
        <w:t>one</w:t>
      </w:r>
      <w:r w:rsidRPr="004642C1">
        <w:rPr>
          <w:lang w:val="en"/>
        </w:rPr>
        <w:t>, which</w:t>
      </w:r>
      <w:r>
        <w:rPr>
          <w:lang w:val="en"/>
        </w:rPr>
        <w:t xml:space="preserve"> </w:t>
      </w:r>
      <w:r w:rsidRPr="004642C1">
        <w:rPr>
          <w:lang w:val="en"/>
        </w:rPr>
        <w:t>confirms their roughness and large specific surface area</w:t>
      </w:r>
      <w:r>
        <w:rPr>
          <w:lang w:val="en"/>
        </w:rPr>
        <w:t xml:space="preserve">. The rough surface properties of GLE were confirmed in our previous study via 3D profile </w:t>
      </w:r>
      <w:hyperlink r:id="rId16" w:history="1">
        <w:r>
          <w:rPr>
            <w:rFonts w:eastAsia="Times New Roman" w:cs="Times New Roman"/>
          </w:rPr>
          <w:t>[</w:t>
        </w:r>
        <w:r w:rsidR="006F33E0">
          <w:rPr>
            <w:rFonts w:eastAsia="Times New Roman" w:cs="Times New Roman"/>
          </w:rPr>
          <w:t>1</w:t>
        </w:r>
        <w:r>
          <w:rPr>
            <w:rFonts w:eastAsia="Times New Roman" w:cs="Times New Roman"/>
          </w:rPr>
          <w:t>]</w:t>
        </w:r>
      </w:hyperlink>
      <w:r>
        <w:rPr>
          <w:lang w:val="en"/>
        </w:rPr>
        <w:t>.</w:t>
      </w:r>
      <w:r w:rsidRPr="007A1AB7">
        <w:rPr>
          <w:lang w:val="en"/>
        </w:rPr>
        <w:t xml:space="preserve"> </w:t>
      </w:r>
      <w:r w:rsidRPr="004642C1">
        <w:rPr>
          <w:lang w:val="en"/>
        </w:rPr>
        <w:t xml:space="preserve">The results show that the </w:t>
      </w:r>
      <w:r>
        <w:rPr>
          <w:lang w:val="en"/>
        </w:rPr>
        <w:t>GLE has</w:t>
      </w:r>
      <w:r w:rsidRPr="004642C1">
        <w:rPr>
          <w:lang w:val="en"/>
        </w:rPr>
        <w:t xml:space="preserve"> a larger electroactive surface compared to </w:t>
      </w:r>
      <w:proofErr w:type="spellStart"/>
      <w:r>
        <w:rPr>
          <w:lang w:val="en"/>
        </w:rPr>
        <w:t>Dropsens</w:t>
      </w:r>
      <w:proofErr w:type="spellEnd"/>
      <w:r w:rsidRPr="004642C1">
        <w:rPr>
          <w:lang w:val="en"/>
        </w:rPr>
        <w:t>.</w:t>
      </w:r>
    </w:p>
    <w:p w14:paraId="108185D8" w14:textId="1940C2EF" w:rsidR="00CD1869" w:rsidRPr="00496BDC" w:rsidRDefault="00CD1869" w:rsidP="00B65AAD">
      <w:pPr>
        <w:jc w:val="both"/>
        <w:rPr>
          <w:lang w:val="en"/>
        </w:rPr>
      </w:pPr>
      <w:r w:rsidRPr="00496BDC">
        <w:t xml:space="preserve">In order to test the sensitivity of the </w:t>
      </w:r>
      <w:r>
        <w:t>GLE</w:t>
      </w:r>
      <w:r w:rsidRPr="00496BDC">
        <w:t>, concentrations of 0.5, 1, 5, and 10 mM</w:t>
      </w:r>
      <w:r>
        <w:t xml:space="preserve"> potassium</w:t>
      </w:r>
      <w:r w:rsidRPr="00496BDC">
        <w:t xml:space="preserve"> ferrocyanide/ferricyanide</w:t>
      </w:r>
      <w:r>
        <w:t xml:space="preserve"> were prepared</w:t>
      </w:r>
      <w:r w:rsidRPr="00496BDC">
        <w:t xml:space="preserve"> in 10 mM </w:t>
      </w:r>
      <w:r w:rsidRPr="00E77AAF">
        <w:t>potassium chloride, 10 mM PBS, and DI</w:t>
      </w:r>
      <w:r>
        <w:t>W</w:t>
      </w:r>
      <w:r w:rsidRPr="00E77AAF">
        <w:t>, and EIS was performed</w:t>
      </w:r>
      <w:r w:rsidR="000D4BD4">
        <w:t xml:space="preserve"> (Fig. S3)</w:t>
      </w:r>
      <w:r w:rsidRPr="00E77AAF">
        <w:t xml:space="preserve">. The measured impedance decreased with increasing concentration of the redox </w:t>
      </w:r>
      <w:r w:rsidRPr="00E77AAF">
        <w:lastRenderedPageBreak/>
        <w:t xml:space="preserve">couple. As shown in Figs. </w:t>
      </w:r>
      <w:r w:rsidR="000C603B">
        <w:t>S</w:t>
      </w:r>
      <w:r>
        <w:t>.</w:t>
      </w:r>
      <w:r w:rsidR="003C6DFF">
        <w:t>1d</w:t>
      </w:r>
      <w:r w:rsidRPr="00E77AAF">
        <w:t xml:space="preserve"> and </w:t>
      </w:r>
      <w:r w:rsidR="003C6DFF">
        <w:t>1e</w:t>
      </w:r>
      <w:r w:rsidRPr="00E77AAF">
        <w:t xml:space="preserve">, the Nyquist </w:t>
      </w:r>
      <w:r>
        <w:t>plots</w:t>
      </w:r>
      <w:r w:rsidRPr="00E77AAF">
        <w:t xml:space="preserve"> of the redox couple prepared in DI</w:t>
      </w:r>
      <w:r>
        <w:t xml:space="preserve">W </w:t>
      </w:r>
      <w:r w:rsidRPr="00E77AAF">
        <w:t>and 10 mM potassium chloride indicate</w:t>
      </w:r>
      <w:r>
        <w:t xml:space="preserve"> </w:t>
      </w:r>
      <w:r w:rsidRPr="00496BDC">
        <w:t xml:space="preserve">different solution resistance values </w:t>
      </w:r>
      <w:r>
        <w:t>since</w:t>
      </w:r>
      <w:r w:rsidRPr="00496BDC">
        <w:t xml:space="preserve"> each redox sample concentration has a different real part of the impedance. </w:t>
      </w:r>
      <w:r>
        <w:t>F</w:t>
      </w:r>
      <w:r w:rsidRPr="00496BDC">
        <w:t xml:space="preserve">or the redox couple prepared in 10 mM PBS buffer, </w:t>
      </w:r>
      <w:r w:rsidR="00E018C4">
        <w:t>Fig. S</w:t>
      </w:r>
      <w:r w:rsidR="003C6DFF">
        <w:t>.1f,</w:t>
      </w:r>
      <w:r w:rsidR="00E018C4">
        <w:t xml:space="preserve"> </w:t>
      </w:r>
      <w:r w:rsidRPr="00496BDC">
        <w:t xml:space="preserve">the real part of the impedance has similar values for different concentrations. This consistency can be attributed to </w:t>
      </w:r>
      <w:r>
        <w:t xml:space="preserve">the </w:t>
      </w:r>
      <w:r w:rsidRPr="00496BDC">
        <w:t xml:space="preserve">properties </w:t>
      </w:r>
      <w:r>
        <w:t xml:space="preserve">of </w:t>
      </w:r>
      <w:r w:rsidRPr="00496BDC">
        <w:t xml:space="preserve">PBS, which effectively </w:t>
      </w:r>
      <w:r>
        <w:t>buffers</w:t>
      </w:r>
      <w:r w:rsidRPr="00496BDC">
        <w:t xml:space="preserve"> </w:t>
      </w:r>
      <w:r>
        <w:t xml:space="preserve">pH </w:t>
      </w:r>
      <w:r w:rsidRPr="00496BDC">
        <w:t>changes</w:t>
      </w:r>
      <w:r>
        <w:t>.</w:t>
      </w:r>
    </w:p>
    <w:p w14:paraId="53F87B38" w14:textId="77777777" w:rsidR="00CD1869" w:rsidRDefault="00CD1869" w:rsidP="00B65AAD">
      <w:pPr>
        <w:jc w:val="both"/>
      </w:pPr>
      <w:r>
        <w:rPr>
          <w:noProof/>
        </w:rPr>
        <w:drawing>
          <wp:inline distT="0" distB="0" distL="0" distR="0" wp14:anchorId="5F3EB20B" wp14:editId="03412FD5">
            <wp:extent cx="5731506" cy="2649857"/>
            <wp:effectExtent l="0" t="0" r="0" b="0"/>
            <wp:docPr id="90407964" name="Picture 1" descr="A group of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7964" name="Picture 1" descr="A group of colorful lin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06" cy="2649857"/>
                    </a:xfrm>
                    <a:prstGeom prst="rect">
                      <a:avLst/>
                    </a:prstGeom>
                  </pic:spPr>
                </pic:pic>
              </a:graphicData>
            </a:graphic>
          </wp:inline>
        </w:drawing>
      </w:r>
    </w:p>
    <w:p w14:paraId="7E9C05AE" w14:textId="343B0DB4" w:rsidR="00CD1869" w:rsidRDefault="008743F0" w:rsidP="00B65AAD">
      <w:pPr>
        <w:spacing w:after="0" w:line="240" w:lineRule="auto"/>
        <w:jc w:val="both"/>
        <w:rPr>
          <w:kern w:val="0"/>
          <w14:ligatures w14:val="none"/>
        </w:rPr>
      </w:pPr>
      <w:r>
        <w:t>Fig. S</w:t>
      </w:r>
      <w:r w:rsidR="00CD1869">
        <w:t xml:space="preserve">.1 Characterization of GLEs; (a) CV of GLE in sulphuric acid; (b) Stability of signal in the redox probe over 100 scans; (c) </w:t>
      </w:r>
      <w:bookmarkStart w:id="1" w:name="OLE_LINK5"/>
      <w:r w:rsidR="00CD1869">
        <w:t>Oxidation and reduction peaks in the function of square root of scan rate; inset: Voltammograms of the redox probe for scan rates in the range 0.1 – 1 V s</w:t>
      </w:r>
      <w:r w:rsidR="00CD1869" w:rsidRPr="003B437A">
        <w:rPr>
          <w:rFonts w:cs="Times New Roman"/>
          <w:vertAlign w:val="superscript"/>
        </w:rPr>
        <w:t>-1</w:t>
      </w:r>
      <w:r w:rsidR="00CD1869">
        <w:t xml:space="preserve">; </w:t>
      </w:r>
      <w:bookmarkStart w:id="2" w:name="_Hlk153448031"/>
      <w:bookmarkEnd w:id="1"/>
      <w:r w:rsidR="00CD1869">
        <w:t xml:space="preserve">(d) Nyquist plots for the redox probe prepared in </w:t>
      </w:r>
      <w:r w:rsidR="00CD1869" w:rsidRPr="00E77AAF">
        <w:t xml:space="preserve">DIW; inset: 5 mM and 10 mM redox probe; (e) Nyquist </w:t>
      </w:r>
      <w:r w:rsidR="00CD1869">
        <w:t>plots</w:t>
      </w:r>
      <w:r w:rsidR="00CD1869" w:rsidRPr="00E77AAF">
        <w:t xml:space="preserve"> for </w:t>
      </w:r>
      <w:r w:rsidR="00CD1869">
        <w:t xml:space="preserve">the </w:t>
      </w:r>
      <w:r w:rsidR="00CD1869" w:rsidRPr="00E77AAF">
        <w:t>redox probe prepared in potassium chloride</w:t>
      </w:r>
      <w:r w:rsidR="00CD1869">
        <w:t>; inset: 5 mM and 10 mM redox probe; (f) Nyquist plots for the redox probe prepared in PBS; inset: 5 mM and 10 mM redox probe</w:t>
      </w:r>
      <w:r w:rsidR="00CD1869">
        <w:rPr>
          <w:kern w:val="0"/>
          <w14:ligatures w14:val="none"/>
        </w:rPr>
        <w:t>.</w:t>
      </w:r>
      <w:bookmarkEnd w:id="2"/>
    </w:p>
    <w:p w14:paraId="4292EB75" w14:textId="77777777" w:rsidR="00CD1869" w:rsidRDefault="00CD1869"/>
    <w:p w14:paraId="195FBC1A" w14:textId="77777777" w:rsidR="00CD1869" w:rsidRDefault="00CD1869" w:rsidP="00B80FEE">
      <w:pPr>
        <w:jc w:val="center"/>
      </w:pPr>
      <w:r>
        <w:rPr>
          <w:noProof/>
        </w:rPr>
        <w:drawing>
          <wp:inline distT="0" distB="0" distL="0" distR="0" wp14:anchorId="76D4BE11" wp14:editId="5A8C7B27">
            <wp:extent cx="2995930" cy="2082148"/>
            <wp:effectExtent l="0" t="0" r="0" b="0"/>
            <wp:docPr id="1518242008"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42008" name="Picture 1" descr="A graph of a func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02128" cy="2086455"/>
                    </a:xfrm>
                    <a:prstGeom prst="rect">
                      <a:avLst/>
                    </a:prstGeom>
                  </pic:spPr>
                </pic:pic>
              </a:graphicData>
            </a:graphic>
          </wp:inline>
        </w:drawing>
      </w:r>
    </w:p>
    <w:p w14:paraId="08BFE7B2" w14:textId="2F2BECBD" w:rsidR="00CD1869" w:rsidRDefault="008743F0" w:rsidP="00B80FEE">
      <w:pPr>
        <w:jc w:val="center"/>
      </w:pPr>
      <w:r>
        <w:t>Fig. S</w:t>
      </w:r>
      <w:r w:rsidR="00CD1869">
        <w:t>.</w:t>
      </w:r>
      <w:r w:rsidR="006D344E">
        <w:t>2</w:t>
      </w:r>
      <w:r w:rsidR="00CD1869">
        <w:t xml:space="preserve"> Characterization of </w:t>
      </w:r>
      <w:proofErr w:type="spellStart"/>
      <w:r w:rsidR="00CD1869">
        <w:t>Dropsens</w:t>
      </w:r>
      <w:proofErr w:type="spellEnd"/>
      <w:r w:rsidR="00CD1869">
        <w:t xml:space="preserve"> electrode with 10 mM potassium ferro/ferricyanide prepared in PBS; </w:t>
      </w:r>
      <w:r w:rsidR="00CD1869" w:rsidRPr="00B80FEE">
        <w:t xml:space="preserve">Oxidation and reduction peaks in the function of </w:t>
      </w:r>
      <w:r w:rsidR="00CD1869">
        <w:t xml:space="preserve">the </w:t>
      </w:r>
      <w:r w:rsidR="00CD1869" w:rsidRPr="00B80FEE">
        <w:t>square root of scan rate; inset: Voltammograms of redox probe for scan rates in the range 0.1 – 1 V</w:t>
      </w:r>
      <w:r w:rsidR="00CD1869">
        <w:t xml:space="preserve"> </w:t>
      </w:r>
      <w:r w:rsidR="00CD1869" w:rsidRPr="00B80FEE">
        <w:t>s</w:t>
      </w:r>
      <w:r w:rsidR="00CD1869" w:rsidRPr="00B766BC">
        <w:rPr>
          <w:vertAlign w:val="superscript"/>
        </w:rPr>
        <w:t>-1</w:t>
      </w:r>
      <w:r w:rsidR="00CD1869">
        <w:t>.</w:t>
      </w:r>
    </w:p>
    <w:p w14:paraId="45285E9F" w14:textId="77777777" w:rsidR="00CD1869" w:rsidRDefault="00CD1869" w:rsidP="00B80FEE">
      <w:pPr>
        <w:jc w:val="center"/>
      </w:pPr>
      <w:r>
        <w:rPr>
          <w:noProof/>
        </w:rPr>
        <w:lastRenderedPageBreak/>
        <w:drawing>
          <wp:inline distT="0" distB="0" distL="0" distR="0" wp14:anchorId="5A5D6401" wp14:editId="4BD2563A">
            <wp:extent cx="5731510" cy="1427480"/>
            <wp:effectExtent l="0" t="0" r="0" b="0"/>
            <wp:docPr id="593096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96200" name="Picture 5930962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1427480"/>
                    </a:xfrm>
                    <a:prstGeom prst="rect">
                      <a:avLst/>
                    </a:prstGeom>
                  </pic:spPr>
                </pic:pic>
              </a:graphicData>
            </a:graphic>
          </wp:inline>
        </w:drawing>
      </w:r>
    </w:p>
    <w:p w14:paraId="38C2D420" w14:textId="1C7594CB" w:rsidR="00CD1869" w:rsidRDefault="008743F0" w:rsidP="00B80FEE">
      <w:pPr>
        <w:jc w:val="center"/>
      </w:pPr>
      <w:r>
        <w:t>Fig. S</w:t>
      </w:r>
      <w:r w:rsidR="006D344E">
        <w:t>.</w:t>
      </w:r>
      <w:r w:rsidR="00CD1869">
        <w:t xml:space="preserve">3 </w:t>
      </w:r>
      <w:r w:rsidR="00CD1869" w:rsidRPr="002764DC">
        <w:t>(</w:t>
      </w:r>
      <w:r w:rsidR="00CD1869">
        <w:t>a</w:t>
      </w:r>
      <w:r w:rsidR="00CD1869" w:rsidRPr="002764DC">
        <w:t xml:space="preserve">) Nyquist </w:t>
      </w:r>
      <w:r w:rsidR="00CD1869">
        <w:t>plots</w:t>
      </w:r>
      <w:r w:rsidR="00CD1869" w:rsidRPr="002764DC">
        <w:t xml:space="preserve"> </w:t>
      </w:r>
      <w:r w:rsidR="00CD1869">
        <w:t xml:space="preserve">of </w:t>
      </w:r>
      <w:r w:rsidR="00CD1869" w:rsidRPr="002764DC">
        <w:t>DIW; (</w:t>
      </w:r>
      <w:r w:rsidR="00CD1869">
        <w:t>b</w:t>
      </w:r>
      <w:r w:rsidR="00CD1869" w:rsidRPr="002764DC">
        <w:t xml:space="preserve">) </w:t>
      </w:r>
      <w:r w:rsidR="00CD1869">
        <w:t>10 mM</w:t>
      </w:r>
      <w:r w:rsidR="00CD1869" w:rsidRPr="002764DC">
        <w:t xml:space="preserve"> </w:t>
      </w:r>
      <w:proofErr w:type="spellStart"/>
      <w:r w:rsidR="00CD1869" w:rsidRPr="002764DC">
        <w:t>KCl</w:t>
      </w:r>
      <w:proofErr w:type="spellEnd"/>
      <w:r w:rsidR="00CD1869" w:rsidRPr="002764DC">
        <w:t>; (</w:t>
      </w:r>
      <w:r w:rsidR="00CD1869">
        <w:t>c</w:t>
      </w:r>
      <w:r w:rsidR="00CD1869" w:rsidRPr="002764DC">
        <w:t xml:space="preserve">) </w:t>
      </w:r>
      <w:r w:rsidR="00CD1869">
        <w:t>10 mM PBS</w:t>
      </w:r>
      <w:r w:rsidR="00CD1869" w:rsidRPr="002764DC">
        <w:t>.</w:t>
      </w:r>
    </w:p>
    <w:p w14:paraId="69305BDB" w14:textId="783B4C39" w:rsidR="008F1769" w:rsidRDefault="008F1769" w:rsidP="00B80FEE">
      <w:pPr>
        <w:jc w:val="center"/>
      </w:pPr>
      <w:r>
        <w:rPr>
          <w:rFonts w:eastAsia="Times New Roman" w:cs="Times New Roman"/>
          <w:noProof/>
        </w:rPr>
        <w:drawing>
          <wp:inline distT="0" distB="0" distL="0" distR="0" wp14:anchorId="15E817DA" wp14:editId="54DBAC6B">
            <wp:extent cx="3979596" cy="2738889"/>
            <wp:effectExtent l="0" t="0" r="0" b="0"/>
            <wp:docPr id="1978496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96026"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79596" cy="2738889"/>
                    </a:xfrm>
                    <a:prstGeom prst="rect">
                      <a:avLst/>
                    </a:prstGeom>
                  </pic:spPr>
                </pic:pic>
              </a:graphicData>
            </a:graphic>
          </wp:inline>
        </w:drawing>
      </w:r>
    </w:p>
    <w:p w14:paraId="14F65806" w14:textId="7336B025" w:rsidR="008F1769" w:rsidRDefault="008743F0" w:rsidP="00B80FEE">
      <w:pPr>
        <w:jc w:val="center"/>
      </w:pPr>
      <w:r>
        <w:t>Fig. S</w:t>
      </w:r>
      <w:r w:rsidR="008F1769">
        <w:t xml:space="preserve">.4 </w:t>
      </w:r>
      <w:r w:rsidR="008F1769" w:rsidRPr="008F1769">
        <w:t xml:space="preserve">Illustration of MUA concentration effects on Nyquist </w:t>
      </w:r>
      <w:r w:rsidR="00EF5643">
        <w:t>plots</w:t>
      </w:r>
      <w:r w:rsidR="008F1769" w:rsidRPr="008F1769">
        <w:t>, demonstrating changes in the low-frequency tail with varying concentrations.</w:t>
      </w:r>
    </w:p>
    <w:p w14:paraId="56ADDBE1" w14:textId="77777777" w:rsidR="008F1769" w:rsidRDefault="008F1769" w:rsidP="00B80FEE">
      <w:pPr>
        <w:jc w:val="center"/>
      </w:pPr>
    </w:p>
    <w:p w14:paraId="2550ABB7" w14:textId="77777777" w:rsidR="00CD1869" w:rsidRDefault="00CD1869" w:rsidP="00B80FEE">
      <w:pPr>
        <w:jc w:val="center"/>
      </w:pPr>
      <w:r w:rsidRPr="00B44E07">
        <w:rPr>
          <w:noProof/>
        </w:rPr>
        <w:drawing>
          <wp:inline distT="0" distB="0" distL="0" distR="0" wp14:anchorId="5F42BD12" wp14:editId="353E4262">
            <wp:extent cx="2833161" cy="2626227"/>
            <wp:effectExtent l="0" t="0" r="571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3161" cy="2626227"/>
                    </a:xfrm>
                    <a:prstGeom prst="rect">
                      <a:avLst/>
                    </a:prstGeom>
                  </pic:spPr>
                </pic:pic>
              </a:graphicData>
            </a:graphic>
          </wp:inline>
        </w:drawing>
      </w:r>
    </w:p>
    <w:p w14:paraId="22D84806" w14:textId="536208EE" w:rsidR="00CD1869" w:rsidRDefault="008743F0" w:rsidP="00B80FEE">
      <w:pPr>
        <w:jc w:val="center"/>
      </w:pPr>
      <w:r>
        <w:t>Fig. S</w:t>
      </w:r>
      <w:r w:rsidR="006D344E">
        <w:t>.</w:t>
      </w:r>
      <w:r w:rsidR="008F1769">
        <w:t>5</w:t>
      </w:r>
      <w:r w:rsidR="00CD1869">
        <w:t xml:space="preserve"> R</w:t>
      </w:r>
      <w:r w:rsidR="00CD1869" w:rsidRPr="00AD4CE3">
        <w:t>esults of the bio-layer interferometry measurement of recombinant protein L</w:t>
      </w:r>
      <w:r w:rsidR="00CD1869">
        <w:t xml:space="preserve">. </w:t>
      </w:r>
    </w:p>
    <w:p w14:paraId="534F5C26" w14:textId="77777777" w:rsidR="008F1769" w:rsidRDefault="008F1769" w:rsidP="00B80FEE">
      <w:pPr>
        <w:jc w:val="center"/>
      </w:pPr>
    </w:p>
    <w:p w14:paraId="5E4FDF07" w14:textId="77777777" w:rsidR="00CD1869" w:rsidRDefault="00CD1869" w:rsidP="00B80FEE">
      <w:pPr>
        <w:jc w:val="center"/>
      </w:pPr>
      <w:r w:rsidRPr="00B66E0A">
        <w:rPr>
          <w:noProof/>
        </w:rPr>
        <w:lastRenderedPageBreak/>
        <w:drawing>
          <wp:inline distT="0" distB="0" distL="0" distR="0" wp14:anchorId="52F9F617" wp14:editId="5A62B01D">
            <wp:extent cx="3936500" cy="2724918"/>
            <wp:effectExtent l="0" t="0" r="0" b="0"/>
            <wp:docPr id="5" name="Picture 4" descr="A colorful lines on a black background&#10;&#10;Description automatically generated">
              <a:extLst xmlns:a="http://schemas.openxmlformats.org/drawingml/2006/main">
                <a:ext uri="{FF2B5EF4-FFF2-40B4-BE49-F238E27FC236}">
                  <a16:creationId xmlns:a16="http://schemas.microsoft.com/office/drawing/2014/main" id="{E68C6AB6-9D68-AE2B-F9AE-6F3EB1297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orful lines on a black background&#10;&#10;Description automatically generated">
                      <a:extLst>
                        <a:ext uri="{FF2B5EF4-FFF2-40B4-BE49-F238E27FC236}">
                          <a16:creationId xmlns:a16="http://schemas.microsoft.com/office/drawing/2014/main" id="{E68C6AB6-9D68-AE2B-F9AE-6F3EB1297E6E}"/>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36500" cy="2724918"/>
                    </a:xfrm>
                    <a:prstGeom prst="rect">
                      <a:avLst/>
                    </a:prstGeom>
                  </pic:spPr>
                </pic:pic>
              </a:graphicData>
            </a:graphic>
          </wp:inline>
        </w:drawing>
      </w:r>
    </w:p>
    <w:p w14:paraId="392BE902" w14:textId="03388938" w:rsidR="00CD1869" w:rsidRDefault="008743F0" w:rsidP="00B80FEE">
      <w:pPr>
        <w:jc w:val="center"/>
      </w:pPr>
      <w:r>
        <w:t>Fig. S</w:t>
      </w:r>
      <w:r w:rsidR="00CD1869">
        <w:t>.</w:t>
      </w:r>
      <w:r w:rsidR="008F1769">
        <w:t>6</w:t>
      </w:r>
      <w:r w:rsidR="00CD1869">
        <w:t xml:space="preserve"> Electrochemical characterization of each functionalization step on </w:t>
      </w:r>
      <w:proofErr w:type="spellStart"/>
      <w:r w:rsidR="00CD1869">
        <w:t>Dropsens</w:t>
      </w:r>
      <w:proofErr w:type="spellEnd"/>
      <w:r w:rsidR="00CD1869">
        <w:t xml:space="preserve"> electrode.</w:t>
      </w:r>
    </w:p>
    <w:p w14:paraId="6496C6EB" w14:textId="77777777" w:rsidR="00CD1869" w:rsidRDefault="00CD1869" w:rsidP="00B80FEE">
      <w:pPr>
        <w:jc w:val="center"/>
      </w:pPr>
      <w:r>
        <w:rPr>
          <w:noProof/>
        </w:rPr>
        <w:drawing>
          <wp:inline distT="0" distB="0" distL="0" distR="0" wp14:anchorId="170B279F" wp14:editId="21FBC57F">
            <wp:extent cx="5731510" cy="2225675"/>
            <wp:effectExtent l="0" t="0" r="0" b="0"/>
            <wp:docPr id="1632753824"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53824" name="Picture 3" descr="A screenshot of a video gam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225675"/>
                    </a:xfrm>
                    <a:prstGeom prst="rect">
                      <a:avLst/>
                    </a:prstGeom>
                  </pic:spPr>
                </pic:pic>
              </a:graphicData>
            </a:graphic>
          </wp:inline>
        </w:drawing>
      </w:r>
    </w:p>
    <w:p w14:paraId="075A135F" w14:textId="113AD9C6" w:rsidR="00CD1869" w:rsidRDefault="008743F0" w:rsidP="00B80FEE">
      <w:pPr>
        <w:jc w:val="center"/>
      </w:pPr>
      <w:r>
        <w:t>Fig. S</w:t>
      </w:r>
      <w:r w:rsidR="00CD1869">
        <w:t>.</w:t>
      </w:r>
      <w:r w:rsidR="008F1769">
        <w:t xml:space="preserve">7 </w:t>
      </w:r>
      <w:proofErr w:type="spellStart"/>
      <w:r w:rsidR="00CD1869">
        <w:t>Dropsens</w:t>
      </w:r>
      <w:proofErr w:type="spellEnd"/>
      <w:r w:rsidR="00CD1869">
        <w:t xml:space="preserve"> electrode </w:t>
      </w:r>
      <w:r w:rsidR="00CD1869" w:rsidRPr="007425CF">
        <w:t xml:space="preserve">(a) Nyquist </w:t>
      </w:r>
      <w:r w:rsidR="00CD1869">
        <w:t>plots</w:t>
      </w:r>
      <w:r w:rsidR="00CD1869" w:rsidRPr="007425CF">
        <w:t xml:space="preserve"> for different concentrations of </w:t>
      </w:r>
      <w:r w:rsidR="00CD1869">
        <w:t>t</w:t>
      </w:r>
      <w:r w:rsidR="00CD1869" w:rsidRPr="007425CF">
        <w:t xml:space="preserve">rastuzumab; (b) Nyquist </w:t>
      </w:r>
      <w:r w:rsidR="00CD1869">
        <w:t>plots</w:t>
      </w:r>
      <w:r w:rsidR="00CD1869" w:rsidRPr="007425CF">
        <w:t xml:space="preserve"> for different concentrations of HER2</w:t>
      </w:r>
      <w:r w:rsidR="00CD1869">
        <w:t>.</w:t>
      </w:r>
    </w:p>
    <w:p w14:paraId="25A5C981" w14:textId="77777777" w:rsidR="00CD1869" w:rsidRPr="00CD1869" w:rsidRDefault="00CD1869">
      <w:pPr>
        <w:divId w:val="204027635"/>
        <w:rPr>
          <w:rFonts w:eastAsia="Times New Roman" w:cs="Times New Roman"/>
          <w:color w:val="000000"/>
          <w:kern w:val="0"/>
          <w:szCs w:val="24"/>
          <w14:ligatures w14:val="none"/>
        </w:rPr>
      </w:pPr>
    </w:p>
    <w:p w14:paraId="643010DC" w14:textId="37BB75AC" w:rsidR="00CD1869" w:rsidRPr="006D344E" w:rsidRDefault="00CD1869">
      <w:pPr>
        <w:divId w:val="1243099728"/>
        <w:rPr>
          <w:rFonts w:eastAsia="Times New Roman" w:cs="Times New Roman"/>
          <w:b/>
          <w:bCs/>
          <w:color w:val="000000"/>
          <w:kern w:val="0"/>
          <w:szCs w:val="24"/>
          <w14:ligatures w14:val="none"/>
        </w:rPr>
      </w:pPr>
      <w:r w:rsidRPr="006D344E">
        <w:rPr>
          <w:rFonts w:cs="Times New Roman"/>
          <w:b/>
          <w:bCs/>
          <w:color w:val="000000"/>
        </w:rPr>
        <w:t xml:space="preserve"> </w:t>
      </w:r>
      <w:r w:rsidR="006F33E0" w:rsidRPr="006D344E">
        <w:rPr>
          <w:rFonts w:cs="Times New Roman"/>
          <w:b/>
          <w:bCs/>
          <w:color w:val="000000"/>
        </w:rPr>
        <w:t>Reference:</w:t>
      </w:r>
    </w:p>
    <w:p w14:paraId="4016BA8E" w14:textId="117FB4A3" w:rsidR="006F33E0" w:rsidRPr="00F8293E" w:rsidRDefault="00CD1869" w:rsidP="006D344E">
      <w:pPr>
        <w:pStyle w:val="NormalWeb"/>
        <w:spacing w:line="220" w:lineRule="auto"/>
        <w:ind w:left="640" w:hanging="640"/>
        <w:jc w:val="both"/>
        <w:rPr>
          <w:color w:val="000000"/>
          <w:sz w:val="22"/>
        </w:rPr>
      </w:pPr>
      <w:r w:rsidRPr="00CD1869">
        <w:rPr>
          <w:color w:val="000000"/>
        </w:rPr>
        <w:t xml:space="preserve"> </w:t>
      </w:r>
      <w:r w:rsidR="006F33E0" w:rsidRPr="006D344E">
        <w:rPr>
          <w:rStyle w:val="csl-left-margin"/>
          <w:color w:val="000000"/>
          <w:sz w:val="22"/>
        </w:rPr>
        <w:t>[1]  </w:t>
      </w:r>
      <w:r w:rsidR="006F33E0" w:rsidRPr="006D344E">
        <w:rPr>
          <w:rStyle w:val="csl-left-margin"/>
          <w:color w:val="000000"/>
          <w:sz w:val="22"/>
        </w:rPr>
        <w:t> </w:t>
      </w:r>
      <w:r w:rsidR="006F33E0" w:rsidRPr="006D344E">
        <w:rPr>
          <w:rStyle w:val="csl-left-margin"/>
          <w:color w:val="000000"/>
          <w:sz w:val="22"/>
        </w:rPr>
        <w:t xml:space="preserve">I. Podunavac, M. Kukkar, V. </w:t>
      </w:r>
      <w:proofErr w:type="spellStart"/>
      <w:r w:rsidR="006F33E0" w:rsidRPr="006D344E">
        <w:rPr>
          <w:rStyle w:val="csl-left-margin"/>
          <w:color w:val="000000"/>
          <w:sz w:val="22"/>
        </w:rPr>
        <w:t>Léguillier</w:t>
      </w:r>
      <w:proofErr w:type="spellEnd"/>
      <w:r w:rsidR="006F33E0" w:rsidRPr="006D344E">
        <w:rPr>
          <w:rStyle w:val="csl-left-margin"/>
          <w:color w:val="000000"/>
          <w:sz w:val="22"/>
        </w:rPr>
        <w:t xml:space="preserve">, F. Rizzotto, Z. Pavlovic, L. </w:t>
      </w:r>
      <w:proofErr w:type="spellStart"/>
      <w:r w:rsidR="006F33E0" w:rsidRPr="006D344E">
        <w:rPr>
          <w:rStyle w:val="csl-left-margin"/>
          <w:color w:val="000000"/>
          <w:sz w:val="22"/>
        </w:rPr>
        <w:t>Janjušević</w:t>
      </w:r>
      <w:proofErr w:type="spellEnd"/>
      <w:r w:rsidR="006F33E0" w:rsidRPr="006D344E">
        <w:rPr>
          <w:rStyle w:val="csl-left-margin"/>
          <w:color w:val="000000"/>
          <w:sz w:val="22"/>
        </w:rPr>
        <w:t xml:space="preserve">, V. Costache, V. </w:t>
      </w:r>
      <w:proofErr w:type="spellStart"/>
      <w:r w:rsidR="006F33E0" w:rsidRPr="006D344E">
        <w:rPr>
          <w:rStyle w:val="csl-left-margin"/>
          <w:color w:val="000000"/>
          <w:sz w:val="22"/>
        </w:rPr>
        <w:t>Radonic</w:t>
      </w:r>
      <w:proofErr w:type="spellEnd"/>
      <w:r w:rsidR="006F33E0" w:rsidRPr="006D344E">
        <w:rPr>
          <w:rStyle w:val="csl-left-margin"/>
          <w:color w:val="000000"/>
          <w:sz w:val="22"/>
        </w:rPr>
        <w:t xml:space="preserve">, J. Vidic, Low-cost goldleaf electrode as a platform for Escherichia coli immunodetection., </w:t>
      </w:r>
      <w:proofErr w:type="spellStart"/>
      <w:r w:rsidR="006F33E0" w:rsidRPr="006D344E">
        <w:rPr>
          <w:rStyle w:val="csl-left-margin"/>
          <w:color w:val="000000"/>
          <w:sz w:val="22"/>
        </w:rPr>
        <w:t>Talanta</w:t>
      </w:r>
      <w:proofErr w:type="spellEnd"/>
      <w:r w:rsidR="006F33E0" w:rsidRPr="006D344E">
        <w:rPr>
          <w:rStyle w:val="csl-left-margin"/>
          <w:color w:val="000000"/>
          <w:sz w:val="22"/>
        </w:rPr>
        <w:t>. 259 (2023) 124557. https://doi.org/10.1016/j.talanta.2023.124557.</w:t>
      </w:r>
    </w:p>
    <w:p w14:paraId="2303AE33" w14:textId="42FFA723" w:rsidR="00CD1869" w:rsidRDefault="00CD1869" w:rsidP="006D344E"/>
    <w:sectPr w:rsidR="00CD1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17AD"/>
    <w:multiLevelType w:val="multilevel"/>
    <w:tmpl w:val="9A08C216"/>
    <w:lvl w:ilvl="0">
      <w:start w:val="1"/>
      <w:numFmt w:val="decimal"/>
      <w:lvlText w:val="%1."/>
      <w:lvlJc w:val="left"/>
      <w:pPr>
        <w:ind w:left="720" w:hanging="360"/>
      </w:pPr>
    </w:lvl>
    <w:lvl w:ilvl="1">
      <w:start w:val="1"/>
      <w:numFmt w:val="decimal"/>
      <w:isLgl/>
      <w:lvlText w:val="%1.%2."/>
      <w:lvlJc w:val="left"/>
      <w:pPr>
        <w:ind w:left="36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510178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NDazMDI0NrI0NDFW0lEKTi0uzszPAykwrgUAviLZZywAAAA="/>
  </w:docVars>
  <w:rsids>
    <w:rsidRoot w:val="00597B37"/>
    <w:rsid w:val="000B53A4"/>
    <w:rsid w:val="000C603B"/>
    <w:rsid w:val="000D4BD4"/>
    <w:rsid w:val="00124011"/>
    <w:rsid w:val="00180649"/>
    <w:rsid w:val="001C4179"/>
    <w:rsid w:val="00271A66"/>
    <w:rsid w:val="002764DC"/>
    <w:rsid w:val="00285B50"/>
    <w:rsid w:val="002935F6"/>
    <w:rsid w:val="002E54EC"/>
    <w:rsid w:val="00311AEF"/>
    <w:rsid w:val="0037127B"/>
    <w:rsid w:val="00394155"/>
    <w:rsid w:val="003C6DFF"/>
    <w:rsid w:val="003F7C5F"/>
    <w:rsid w:val="004012EC"/>
    <w:rsid w:val="004146C0"/>
    <w:rsid w:val="00461EF3"/>
    <w:rsid w:val="00493B2A"/>
    <w:rsid w:val="004C31C5"/>
    <w:rsid w:val="004E6606"/>
    <w:rsid w:val="005016A4"/>
    <w:rsid w:val="00502F1C"/>
    <w:rsid w:val="005656E7"/>
    <w:rsid w:val="005811B9"/>
    <w:rsid w:val="00585072"/>
    <w:rsid w:val="0059589E"/>
    <w:rsid w:val="00597B37"/>
    <w:rsid w:val="005C3625"/>
    <w:rsid w:val="005E038B"/>
    <w:rsid w:val="005F04D2"/>
    <w:rsid w:val="0064744A"/>
    <w:rsid w:val="006806CB"/>
    <w:rsid w:val="006A6484"/>
    <w:rsid w:val="006C2BB2"/>
    <w:rsid w:val="006D009A"/>
    <w:rsid w:val="006D344E"/>
    <w:rsid w:val="006F33E0"/>
    <w:rsid w:val="007331CC"/>
    <w:rsid w:val="007425CF"/>
    <w:rsid w:val="00770A19"/>
    <w:rsid w:val="00776518"/>
    <w:rsid w:val="00786B35"/>
    <w:rsid w:val="007B1DA0"/>
    <w:rsid w:val="007B6C14"/>
    <w:rsid w:val="007E11EE"/>
    <w:rsid w:val="00807D29"/>
    <w:rsid w:val="00866D60"/>
    <w:rsid w:val="008743F0"/>
    <w:rsid w:val="008C2F18"/>
    <w:rsid w:val="008C7163"/>
    <w:rsid w:val="008E1BE5"/>
    <w:rsid w:val="008F1769"/>
    <w:rsid w:val="008F7FE4"/>
    <w:rsid w:val="0090781E"/>
    <w:rsid w:val="009B5048"/>
    <w:rsid w:val="009B62B8"/>
    <w:rsid w:val="009C3395"/>
    <w:rsid w:val="009F3FA4"/>
    <w:rsid w:val="00A85EA4"/>
    <w:rsid w:val="00AA68E7"/>
    <w:rsid w:val="00AD3175"/>
    <w:rsid w:val="00AD4CE3"/>
    <w:rsid w:val="00AE3AE4"/>
    <w:rsid w:val="00B44E07"/>
    <w:rsid w:val="00B65AAD"/>
    <w:rsid w:val="00B66E0A"/>
    <w:rsid w:val="00B766BC"/>
    <w:rsid w:val="00B80FEE"/>
    <w:rsid w:val="00BB316D"/>
    <w:rsid w:val="00BD35A3"/>
    <w:rsid w:val="00BD77FB"/>
    <w:rsid w:val="00C73217"/>
    <w:rsid w:val="00CA094D"/>
    <w:rsid w:val="00CD1869"/>
    <w:rsid w:val="00CD7924"/>
    <w:rsid w:val="00D122AE"/>
    <w:rsid w:val="00D438A9"/>
    <w:rsid w:val="00D5753A"/>
    <w:rsid w:val="00D72B7A"/>
    <w:rsid w:val="00D74BD4"/>
    <w:rsid w:val="00E018C4"/>
    <w:rsid w:val="00E37F56"/>
    <w:rsid w:val="00ED4B65"/>
    <w:rsid w:val="00ED7300"/>
    <w:rsid w:val="00EF5643"/>
    <w:rsid w:val="00F103B9"/>
    <w:rsid w:val="00F15CE5"/>
    <w:rsid w:val="00F51CAF"/>
    <w:rsid w:val="00FD0558"/>
    <w:rsid w:val="00FD598C"/>
    <w:rsid w:val="00FD6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52F3B"/>
  <w15:chartTrackingRefBased/>
  <w15:docId w15:val="{8497425E-AD99-4655-8275-2B7DA78E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F1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1000-at-ignore">
    <w:name w:val="f1000-at-ignore"/>
    <w:basedOn w:val="DefaultParagraphFont"/>
    <w:rsid w:val="00D438A9"/>
  </w:style>
  <w:style w:type="character" w:styleId="Strong">
    <w:name w:val="Strong"/>
    <w:basedOn w:val="DefaultParagraphFont"/>
    <w:uiPriority w:val="22"/>
    <w:qFormat/>
    <w:rsid w:val="00502F1C"/>
    <w:rPr>
      <w:b/>
      <w:bCs/>
    </w:rPr>
  </w:style>
  <w:style w:type="character" w:styleId="Hyperlink">
    <w:name w:val="Hyperlink"/>
    <w:basedOn w:val="DefaultParagraphFont"/>
    <w:uiPriority w:val="99"/>
    <w:unhideWhenUsed/>
    <w:rsid w:val="00502F1C"/>
    <w:rPr>
      <w:color w:val="0563C1" w:themeColor="hyperlink"/>
      <w:u w:val="single"/>
    </w:rPr>
  </w:style>
  <w:style w:type="character" w:styleId="CommentReference">
    <w:name w:val="annotation reference"/>
    <w:basedOn w:val="DefaultParagraphFont"/>
    <w:uiPriority w:val="99"/>
    <w:semiHidden/>
    <w:unhideWhenUsed/>
    <w:rsid w:val="00502F1C"/>
    <w:rPr>
      <w:sz w:val="16"/>
      <w:szCs w:val="16"/>
    </w:rPr>
  </w:style>
  <w:style w:type="paragraph" w:styleId="CommentText">
    <w:name w:val="annotation text"/>
    <w:basedOn w:val="Normal"/>
    <w:link w:val="CommentTextChar"/>
    <w:uiPriority w:val="99"/>
    <w:unhideWhenUsed/>
    <w:rsid w:val="00502F1C"/>
    <w:pPr>
      <w:spacing w:line="240" w:lineRule="auto"/>
    </w:pPr>
    <w:rPr>
      <w:sz w:val="20"/>
      <w:szCs w:val="20"/>
    </w:rPr>
  </w:style>
  <w:style w:type="character" w:customStyle="1" w:styleId="CommentTextChar">
    <w:name w:val="Comment Text Char"/>
    <w:basedOn w:val="DefaultParagraphFont"/>
    <w:link w:val="CommentText"/>
    <w:uiPriority w:val="99"/>
    <w:rsid w:val="00502F1C"/>
    <w:rPr>
      <w:rFonts w:ascii="Times New Roman" w:hAnsi="Times New Roman"/>
      <w:sz w:val="20"/>
      <w:szCs w:val="20"/>
    </w:rPr>
  </w:style>
  <w:style w:type="paragraph" w:styleId="Title">
    <w:name w:val="Title"/>
    <w:basedOn w:val="Normal"/>
    <w:next w:val="Normal"/>
    <w:link w:val="TitleChar"/>
    <w:uiPriority w:val="10"/>
    <w:qFormat/>
    <w:rsid w:val="00502F1C"/>
    <w:pPr>
      <w:spacing w:after="0" w:line="240" w:lineRule="auto"/>
      <w:contextualSpacing/>
    </w:pPr>
    <w:rPr>
      <w:rFonts w:eastAsiaTheme="majorEastAsia" w:cstheme="majorBidi"/>
      <w:spacing w:val="-10"/>
      <w:kern w:val="28"/>
      <w:sz w:val="30"/>
      <w:szCs w:val="56"/>
    </w:rPr>
  </w:style>
  <w:style w:type="character" w:customStyle="1" w:styleId="TitleChar">
    <w:name w:val="Title Char"/>
    <w:basedOn w:val="DefaultParagraphFont"/>
    <w:link w:val="Title"/>
    <w:uiPriority w:val="10"/>
    <w:rsid w:val="00502F1C"/>
    <w:rPr>
      <w:rFonts w:ascii="Times New Roman" w:eastAsiaTheme="majorEastAsia" w:hAnsi="Times New Roman" w:cstheme="majorBidi"/>
      <w:spacing w:val="-10"/>
      <w:kern w:val="28"/>
      <w:sz w:val="30"/>
      <w:szCs w:val="56"/>
    </w:rPr>
  </w:style>
  <w:style w:type="paragraph" w:styleId="CommentSubject">
    <w:name w:val="annotation subject"/>
    <w:basedOn w:val="CommentText"/>
    <w:next w:val="CommentText"/>
    <w:link w:val="CommentSubjectChar"/>
    <w:uiPriority w:val="99"/>
    <w:semiHidden/>
    <w:unhideWhenUsed/>
    <w:rsid w:val="00124011"/>
    <w:rPr>
      <w:b/>
      <w:bCs/>
    </w:rPr>
  </w:style>
  <w:style w:type="character" w:customStyle="1" w:styleId="CommentSubjectChar">
    <w:name w:val="Comment Subject Char"/>
    <w:basedOn w:val="CommentTextChar"/>
    <w:link w:val="CommentSubject"/>
    <w:uiPriority w:val="99"/>
    <w:semiHidden/>
    <w:rsid w:val="00124011"/>
    <w:rPr>
      <w:rFonts w:ascii="Times New Roman" w:hAnsi="Times New Roman"/>
      <w:b/>
      <w:bCs/>
      <w:sz w:val="20"/>
      <w:szCs w:val="20"/>
    </w:rPr>
  </w:style>
  <w:style w:type="paragraph" w:styleId="ListParagraph">
    <w:name w:val="List Paragraph"/>
    <w:basedOn w:val="Normal"/>
    <w:uiPriority w:val="34"/>
    <w:qFormat/>
    <w:rsid w:val="006C2BB2"/>
    <w:pPr>
      <w:spacing w:line="256" w:lineRule="auto"/>
      <w:ind w:left="720"/>
      <w:contextualSpacing/>
    </w:pPr>
  </w:style>
  <w:style w:type="paragraph" w:styleId="Revision">
    <w:name w:val="Revision"/>
    <w:hidden/>
    <w:uiPriority w:val="99"/>
    <w:semiHidden/>
    <w:rsid w:val="0059589E"/>
    <w:pPr>
      <w:spacing w:after="0" w:line="240" w:lineRule="auto"/>
    </w:pPr>
    <w:rPr>
      <w:rFonts w:ascii="Times New Roman" w:hAnsi="Times New Roman"/>
    </w:rPr>
  </w:style>
  <w:style w:type="character" w:customStyle="1" w:styleId="csl-left-margin">
    <w:name w:val="csl-left-margin"/>
    <w:basedOn w:val="DefaultParagraphFont"/>
    <w:rsid w:val="00CD1869"/>
  </w:style>
  <w:style w:type="character" w:customStyle="1" w:styleId="csl-right-inline">
    <w:name w:val="csl-right-inline"/>
    <w:basedOn w:val="DefaultParagraphFont"/>
    <w:rsid w:val="00CD1869"/>
  </w:style>
  <w:style w:type="paragraph" w:styleId="NormalWeb">
    <w:name w:val="Normal (Web)"/>
    <w:basedOn w:val="Normal"/>
    <w:uiPriority w:val="99"/>
    <w:semiHidden/>
    <w:unhideWhenUsed/>
    <w:rsid w:val="006F33E0"/>
    <w:pPr>
      <w:spacing w:before="100" w:beforeAutospacing="1" w:after="100" w:afterAutospacing="1" w:line="240" w:lineRule="auto"/>
    </w:pPr>
    <w:rPr>
      <w:rFonts w:eastAsia="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F3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7635">
      <w:bodyDiv w:val="1"/>
      <w:marLeft w:val="0"/>
      <w:marRight w:val="0"/>
      <w:marTop w:val="0"/>
      <w:marBottom w:val="0"/>
      <w:divBdr>
        <w:top w:val="none" w:sz="0" w:space="0" w:color="auto"/>
        <w:left w:val="none" w:sz="0" w:space="0" w:color="auto"/>
        <w:bottom w:val="none" w:sz="0" w:space="0" w:color="auto"/>
        <w:right w:val="none" w:sz="0" w:space="0" w:color="auto"/>
      </w:divBdr>
    </w:div>
    <w:div w:id="594900336">
      <w:bodyDiv w:val="1"/>
      <w:marLeft w:val="0"/>
      <w:marRight w:val="0"/>
      <w:marTop w:val="0"/>
      <w:marBottom w:val="0"/>
      <w:divBdr>
        <w:top w:val="none" w:sz="0" w:space="0" w:color="auto"/>
        <w:left w:val="none" w:sz="0" w:space="0" w:color="auto"/>
        <w:bottom w:val="none" w:sz="0" w:space="0" w:color="auto"/>
        <w:right w:val="none" w:sz="0" w:space="0" w:color="auto"/>
      </w:divBdr>
    </w:div>
    <w:div w:id="983704393">
      <w:bodyDiv w:val="1"/>
      <w:marLeft w:val="0"/>
      <w:marRight w:val="0"/>
      <w:marTop w:val="0"/>
      <w:marBottom w:val="0"/>
      <w:divBdr>
        <w:top w:val="none" w:sz="0" w:space="0" w:color="auto"/>
        <w:left w:val="none" w:sz="0" w:space="0" w:color="auto"/>
        <w:bottom w:val="none" w:sz="0" w:space="0" w:color="auto"/>
        <w:right w:val="none" w:sz="0" w:space="0" w:color="auto"/>
      </w:divBdr>
    </w:div>
    <w:div w:id="12430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kundacina@biosense.rs" TargetMode="External"/><Relationship Id="rId13" Type="http://schemas.openxmlformats.org/officeDocument/2006/relationships/hyperlink" Target="mailto:peter.ertl@tuwien.ac.at"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hyperlink" Target="mailto:vasarad@biosense.rs" TargetMode="External"/><Relationship Id="rId12" Type="http://schemas.openxmlformats.org/officeDocument/2006/relationships/hyperlink" Target="mailto:helena.thumfart@tuwien.ac.at"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iwheel.com/work/citation?ids=15041165&amp;pre=&amp;suf=&amp;sa=0&amp;dbf=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hyperlink" Target="mailto:ivana.kundacina@biosense.rs" TargetMode="External"/><Relationship Id="rId11" Type="http://schemas.openxmlformats.org/officeDocument/2006/relationships/hyperlink" Target="mailto:silvia.schobesberger@tuwien.ac.a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liver.spadiut@tuwien.ac.at" TargetMode="External"/><Relationship Id="rId23" Type="http://schemas.openxmlformats.org/officeDocument/2006/relationships/image" Target="media/image7.png"/><Relationship Id="rId10" Type="http://schemas.openxmlformats.org/officeDocument/2006/relationships/hyperlink" Target="mailto:nknezevic@biosense.rs"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vasarad@biosense.rs" TargetMode="External"/><Relationship Id="rId14" Type="http://schemas.openxmlformats.org/officeDocument/2006/relationships/hyperlink" Target="mailto:stefan.kittler@tuwien.ac.at"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8A831E-D1A5-4EB4-ADE3-265E885D48E0}">
  <we:reference id="wa200002534" version="6.0.0.0" store="en-001" storeType="OMEX"/>
  <we:alternateReferences>
    <we:reference id="wa200002534" version="6.0.0.0" store="en-001" storeType="OMEX"/>
  </we:alternateReferences>
  <we:properties>
    <we:property name="sciwheel-csl-items" value="[{&quot;title&quot;:&quot;Low-cost goldleaf electrode as a platform for Escherichia coli immunodetection.&quot;,&quot;page&quot;:&quot;124557&quot;,&quot;volume&quot;:&quot;259&quot;,&quot;journalAbbreviation&quot;:&quot;Talanta&quot;,&quot;id&quot;:&quot;15041165&quot;,&quot;type&quot;:&quot;article-journal&quot;,&quot;container-title&quot;:&quot;Talanta&quot;,&quot;container-title-short&quot;:&quot;Talanta&quot;,&quot;abstract&quot;:&quot;Gold electrodes are one of most prevalent substrates in electrochemical biosensors because they can be easily and highly efficiently functionalized with thiolated biomolecules. However, conventional methods to fabricate gold electrodes are costly, time-consuming and require onerous equipment. Here, an affordable method for rapid fabrication of an electrochemical immunosensor for Escherichia coli detection is presented. The gold electrode was generated using 24-karat gold leaves and lowcost polyvinyl chloride adhesive sheets covered with an insulating PTFE layer. The goldleaf electrode (GLE) was patterned using laser ablation and characterized by cyclic voltammetry, electrochemical impedance spectroscopy, scanning electronic microscopy, contact angle and 3D profiling. The GLEs were modified by a self-assembled mercaptopropionic monolayer, followed by surface activation to allow binding of the specific anti-E. coli antibody via carbodiimide linking. The biosensor showed a detection limit of 2 CFU/mL and a linear dynamic range of 10-107 CFU/mL for E. coli cells. No false positive signals were obtained from control bacteria. The obtained results demonstrated suitability of GLE for use in biosensors with high reliability and reproducibility. It is foreseeable that our work will inspire design of point-of-need biosensors broadly applicable in low-resource settings.Copyright © 2023 Elsevier B.V. All rights reserved.&quot;,&quot;author&quot;:[{&quot;family&quot;:&quot;Podunavac&quot;,&quot;given&quot;:&quot;Ivana&quot;},{&quot;family&quot;:&quot;Kukkar&quot;,&quot;given&quot;:&quot;Manil&quot;},{&quot;family&quot;:&quot;Léguillier&quot;,&quot;given&quot;:&quot;Vincent&quot;},{&quot;family&quot;:&quot;Rizzotto&quot;,&quot;given&quot;:&quot;Francesco&quot;},{&quot;family&quot;:&quot;Pavlovic&quot;,&quot;given&quot;:&quot;Zoran&quot;},{&quot;family&quot;:&quot;Janjušević&quot;,&quot;given&quot;:&quot;Ljiljana&quot;},{&quot;family&quot;:&quot;Costache&quot;,&quot;given&quot;:&quot;Vlad&quot;},{&quot;family&quot;:&quot;Radonic&quot;,&quot;given&quot;:&quot;Vasa&quot;},{&quot;family&quot;:&quot;Vidic&quot;,&quot;given&quot;:&quot;Jasmina&quot;}],&quot;issued&quot;:{&quot;date-parts&quot;:[[&quot;2023&quot;,&quot;7&quot;,&quot;1&quot;]]},&quot;DOI&quot;:&quot;10.1016/j.talanta.2023.124557&quot;,&quot;PMID&quot;:&quot;37080072&quot;,&quot;citation-label&quot;:&quot;15041165&quot;}]"/>
    <we:property name="sciwheel-selectedStyle" value="{&quot;id&quot;:&quot;sensors-and-actuators-b-chemical&quot;,&quot;name&quot;:&quot;Sensors &amp; Actuators: B. Chemical&quot;,&quot;bibText&quot;:[{&quot;maxoffset&quot;:3,&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T. Accadia, F. Acernese, M. Alshourbagy, P. Amico, F. Antonucci, S. Aoudia, N. Arnaud, C. Arnault, K.G. Arun, P. Astone, S. Avino, D. Babusci, G. Ballardin, F. Barone, G. Barrand, L. Barsotti, M. Barsuglia, A. Basti, T.S. Bauer, F. Beauville, M. Bebronne, M. Bejger, M.G. Beker, F. Bellachia, A. Belletoile, J.L. Beney, M. Bernardini, S. Bigotta, R. Bilhaut, S. Birindelli, M. Bitossi, M.A. Bizouard, M. Blom, C. Boccara, D. Boget, F. Bondu, L. Bonelli, R. Bonnand, V. Boschi, L. Bosi, T. Bouedo, B. Bouhou, A. Bozzi, L. Bracci, S. Braccini, C. Bradaschia, M. Branchesi, T. Briant, A. Brillet, V. Brisson, L. Brocco, T. Bulik, H.J. Bulten, D. Buskulic, C. Buy, G. Cagnoli, G. Calamai, E. Calloni, E. Campagna, B. Canuel, F. Carbognani, L. Carbone, F. Cavalier, R. Cavalieri, R. Cecchi, G. Cella, E. Cesarini, E. Chassande-Mottin, S. Chatterji, R. Chiche, A. Chincarini, A. Chiummo, N. Christensen, A.C. Clapson, F. Cleva, E. Coccia, P.-F. Cohadon, C.N. Colacino, J. Colas, A. Colla, M. Colombini, G. Conforto, A. Corsi, S. Cortese, F. Cottone, J.-P. Coulon, E. Cuoco, S. D’Antonio, G. Daguin, A. Dari, V. Dattilo, P.Y. David, M. Davier, R. Day, G. Debreczeni, G.D. Carolis, M. Dehamme, R.D. Fabbro, W.D. Pozzo, M. del Prete, L. Derome, R.D. Rosa, R. DeSalvo, M. Dialinas, L.D. Fiore, A.D. Lieto, M.D.P. Emilio, A.D. Virgilio, A. Dietz, M. Doets, P. Dominici, A. Dominjon, M. Drago, C. Drezen, B. Dujardin, B. Dulach, C. Eder, A. Eleuteri, D. Enard, M. Evans, L. Fabbroni, V. Fafone, H. Fang, I. Ferrante, F. Fidecaro, I. Fiori, R. Flaminio, D. Forest, L.A. Forte, J.-D. Fournier, L. Fournier, J. Franc, O. Francois, S. Frasca, F. Frasconi, A. Freise, A. Gaddi, M. Galimberti, L. Gammaitoni, P. Ganau, C. Garnier, F. Garufi, M.E. Gáspár, G. Gemme, E. Genin, A. Gennai, G. Gennaro, L. Giacobone, A. Giazotto, G. Giordano, L. Giordano, C. Girard, R. Gouaty, A. Grado, M. Granata, V. Granata, X. Grave, C. Greverie, H. Groenstege, G.M. Guidi, S. Hamdani, J.-F. Hayau, S. Hebri, A. Heidmann, H. Heitmann, P. Hello, G. Hemming, E. Hennes, R. Hermel, P. Heusse, L. Holloway, D. Huet, M. Iannarelli, P. Jaranowski, D. Jehanno, L. Journet, S. Karkar, T. Ketel, H. Voet, J. Kovalik, I. Kowalska, S. Kreckelbergh, A. Krolak, J.C. Lacotte, B. Lagrange, P.L. Penna, M. Laval, J.C.L. Marec, N. Leroy, N. Letendre, T.G.F. Li, B. Lieunard, N. Liguori, O. Lodygensky, B. Lopez, M. Lorenzini, V. Loriette, G. Losurdo, M. Loupias, J.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A. Prodi, M. Punturo, P. Puppo, K. Qipiani, O. Rabaste, D.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F.J. van den Brand, C.V.D. Broeck, S. van der Putten, M. Vasuth, M. Vavoulidis, G. Vedovato, D. Verkindt, F. Vetrano, O. Véziant, A. Viceré, J.-Y. Vinet, S. Vilalte, S. Vitale, H. Vocca, R.L. Ward, M. Was, K. Yamamoto, M. Yvert, J.-P. Zendri, Z. Zhang, Virgo: a laser interferometer to detect gravitational waves, J. Instrum. 7 (2012) P03012–P03012. https://doi.org/10.1088/1748-0221/7/03/P03012.&lt;/div&gt;\n  &lt;/div&gt;\n&quot;]],&quot;citationText&quot;:&quot;[1]&quot;}"/>
    <we:property name="sciwheel-styles" value="[{&quot;id&quot;:&quot;american-medical-association&quot;,&quot;name&quot;:&quot;AMA (American Medical Association)&quot;},{&quot;id&quot;:&quot;apa 7th&quot;,&quot;name&quot;:&quot;APA (American Psychological Association) 7th Edition&quot;},{&quot;id&quot;:&quot;cell&quot;,&quot;name&quot;:&quot;Cell&quot;},{&quot;id&quot;:&quot;chicago-17th-edition&quot;,&quot;name&quot;:&quot;Chicago 17th Edition (author-date)&quot;},{&quot;id&quot;:&quot;cite-them-right-11th-edition-harvard&quot;,&quot;name&quot;:&quot;Cite Them Right 11th Edition - Harvard&quot;},{&quot;id&quot;:&quot;ieee&quot;,&quot;name&quot;:&quot;IEEE&quot;},{&quot;id&quot;:&quot;modern-language-association&quot;,&quot;name&quot;:&quot;MLA (Modern Language Association)&quot;},{&quot;id&quot;:&quot;national-library-of-medicine-grant-proposals&quot;,&quot;name&quot;:&quot;National Library of Medicine (Grant proposals with PMCID/PMID)&quot;},{&quot;id&quot;:&quot;nature&quot;,&quot;name&quot;:&quot;Nature&quot;},{&quot;id&quot;:&quot;science&quot;,&quot;name&quot;:&quot;Science&quot;},{&quot;id&quot;:&quot;sensors-and-actuators-b-chemical&quot;,&quot;name&quot;:&quot;Sensors &amp; Actuators: B. Chemical&quot;,&quot;bibText&quot;:[{&quot;maxoffset&quot;:3,&quot;entryspacing&quot;:0,&quot;linespacing&quot;:1,&quot;second-field-align&quot;:&quot;flush&quot;,&quot;entry_ids&quot;:[[&quot;0&quot;]],&quot;bibliography_errors&quot;:[],&quot;done&quot;:false,&quot;bibstart&quot;:&quot;&lt;div class=\&quot;csl-bib-body\&quot;&gt;\n&quot;,&quot;bibend&quot;:&quot;&lt;/div&gt;&quot;},[&quot;  &lt;div class=\&quot;csl-entry\&quot;&gt;\n    &lt;div class=\&quot;csl-left-margin\&quot;&gt;[1]&lt;/div&gt;&lt;div class=\&quot;csl-right-inline\&quot;&gt;T. Accadia, F. Acernese, M. Alshourbagy, P. Amico, F. Antonucci, S. Aoudia, N. Arnaud, C. Arnault, K.G. Arun, P. Astone, S. Avino, D. Babusci, G. Ballardin, F. Barone, G. Barrand, L. Barsotti, M. Barsuglia, A. Basti, T.S. Bauer, F. Beauville, M. Bebronne, M. Bejger, M.G. Beker, F. Bellachia, A. Belletoile, J.L. Beney, M. Bernardini, S. Bigotta, R. Bilhaut, S. Birindelli, M. Bitossi, M.A. Bizouard, M. Blom, C. Boccara, D. Boget, F. Bondu, L. Bonelli, R. Bonnand, V. Boschi, L. Bosi, T. Bouedo, B. Bouhou, A. Bozzi, L. Bracci, S. Braccini, C. Bradaschia, M. Branchesi, T. Briant, A. Brillet, V. Brisson, L. Brocco, T. Bulik, H.J. Bulten, D. Buskulic, C. Buy, G. Cagnoli, G. Calamai, E. Calloni, E. Campagna, B. Canuel, F. Carbognani, L. Carbone, F. Cavalier, R. Cavalieri, R. Cecchi, G. Cella, E. Cesarini, E. Chassande-Mottin, S. Chatterji, R. Chiche, A. Chincarini, A. Chiummo, N. Christensen, A.C. Clapson, F. Cleva, E. Coccia, P.-F. Cohadon, C.N. Colacino, J. Colas, A. Colla, M. Colombini, G. Conforto, A. Corsi, S. Cortese, F. Cottone, J.-P. Coulon, E. Cuoco, S. D’Antonio, G. Daguin, A. Dari, V. Dattilo, P.Y. David, M. Davier, R. Day, G. Debreczeni, G.D. Carolis, M. Dehamme, R.D. Fabbro, W.D. Pozzo, M. del Prete, L. Derome, R.D. Rosa, R. DeSalvo, M. Dialinas, L.D. Fiore, A.D. Lieto, M.D.P. Emilio, A.D. Virgilio, A. Dietz, M. Doets, P. Dominici, A. Dominjon, M. Drago, C. Drezen, B. Dujardin, B. Dulach, C. Eder, A. Eleuteri, D. Enard, M. Evans, L. Fabbroni, V. Fafone, H. Fang, I. Ferrante, F. Fidecaro, I. Fiori, R. Flaminio, D. Forest, L.A. Forte, J.-D. Fournier, L. Fournier, J. Franc, O. Francois, S. Frasca, F. Frasconi, A. Freise, A. Gaddi, M. Galimberti, L. Gammaitoni, P. Ganau, C. Garnier, F. Garufi, M.E. Gáspár, G. Gemme, E. Genin, A. Gennai, G. Gennaro, L. Giacobone, A. Giazotto, G. Giordano, L. Giordano, C. Girard, R. Gouaty, A. Grado, M. Granata, V. Granata, X. Grave, C. Greverie, H. Groenstege, G.M. Guidi, S. Hamdani, J.-F. Hayau, S. Hebri, A. Heidmann, H. Heitmann, P. Hello, G. Hemming, E. Hennes, R. Hermel, P. Heusse, L. Holloway, D. Huet, M. Iannarelli, P. Jaranowski, D. Jehanno, L. Journet, S. Karkar, T. Ketel, H. Voet, J. Kovalik, I. Kowalska, S. Kreckelbergh, A. Krolak, J.C. Lacotte, B. Lagrange, P.L. Penna, M. Laval, J.C.L. Marec, N. Leroy, N. Letendre, T.G.F. Li, B. Lieunard, N. Liguori, O. Lodygensky, B. Lopez, M. Lorenzini, V. Loriette, G. Losurdo, M. Loupias, J.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A. Prodi, M. Punturo, P. Puppo, K. Qipiani, O. Rabaste, D.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F.J. van den Brand, C.V.D. Broeck, S. van der Putten, M. Vasuth, M. Vavoulidis, G. Vedovato, D. Verkindt, F. Vetrano, O. Véziant, A. Viceré, J.-Y. Vinet, S. Vilalte, S. Vitale, H. Vocca, R.L. Ward, M. Was, K. Yamamoto, M. Yvert, J.-P. Zendri, Z. Zhang, Virgo: a laser interferometer to detect gravitational waves, J. Instrum. 7 (2012) P03012–P03012. https://doi.org/10.1088/1748-0221/7/03/P03012.&lt;/div&gt;\n  &lt;/div&gt;\n&quot;]],&quot;citationText&quot;:&quot;[1]&quot;},{&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FAF0-BE28-424E-86A3-35DB37F3F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944</Words>
  <Characters>5385</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Kundačina</dc:creator>
  <cp:keywords/>
  <dc:description/>
  <cp:lastModifiedBy>Ivana Kundačina</cp:lastModifiedBy>
  <cp:revision>28</cp:revision>
  <dcterms:created xsi:type="dcterms:W3CDTF">2024-07-10T10:13:00Z</dcterms:created>
  <dcterms:modified xsi:type="dcterms:W3CDTF">2024-12-11T22:16:00Z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f356cce6-93ce-45cb-9c1e-e0a789866916</vt:lpwstr>
  </property>
</Properties>
</file>