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32AA9">
      <w:pPr>
        <w:rPr>
          <w:rFonts w:eastAsia="Times New Roman"/>
          <w:b/>
          <w:sz w:val="20"/>
          <w:szCs w:val="20"/>
          <w:lang w:eastAsia="en-GB"/>
        </w:rPr>
      </w:pPr>
      <w:r>
        <w:rPr>
          <w:rFonts w:eastAsia="Times New Roman"/>
          <w:b/>
          <w:sz w:val="20"/>
          <w:szCs w:val="20"/>
          <w:lang w:eastAsia="en-GB"/>
        </w:rPr>
        <w:t>STROBE-MR checklist of recommended items to address in reports of Mendelian randomization studies</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1</w:t>
      </w:r>
      <w:r>
        <w:rPr>
          <w:rFonts w:eastAsia="Times New Roman"/>
          <w:b/>
          <w:sz w:val="20"/>
          <w:szCs w:val="20"/>
          <w:lang w:eastAsia="en-GB"/>
        </w:rPr>
        <w:fldChar w:fldCharType="end"/>
      </w:r>
      <w:r>
        <w:rPr>
          <w:rFonts w:eastAsia="Times New Roman"/>
          <w:b/>
          <w:sz w:val="20"/>
          <w:szCs w:val="20"/>
          <w:lang w:eastAsia="en-GB"/>
        </w:rPr>
        <w:t xml:space="preserve"> </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2</w:t>
      </w:r>
      <w:r>
        <w:rPr>
          <w:rFonts w:eastAsia="Times New Roman"/>
          <w:b/>
          <w:sz w:val="20"/>
          <w:szCs w:val="20"/>
          <w:lang w:eastAsia="en-GB"/>
        </w:rPr>
        <w:fldChar w:fldCharType="end"/>
      </w:r>
      <w:r>
        <w:rPr>
          <w:rFonts w:eastAsia="Times New Roman"/>
          <w:b/>
          <w:sz w:val="20"/>
          <w:szCs w:val="20"/>
          <w:lang w:eastAsia="en-GB"/>
        </w:rPr>
        <w:t> </w:t>
      </w:r>
    </w:p>
    <w:p w14:paraId="3EE539AD">
      <w:pPr>
        <w:rPr>
          <w:rFonts w:eastAsia="Times New Roman"/>
          <w:b/>
          <w:sz w:val="20"/>
          <w:szCs w:val="20"/>
          <w:lang w:eastAsia="en-GB"/>
        </w:rPr>
      </w:pPr>
    </w:p>
    <w:tbl>
      <w:tblPr>
        <w:tblStyle w:val="3"/>
        <w:tblW w:w="14490" w:type="dxa"/>
        <w:tblInd w:w="0" w:type="dxa"/>
        <w:tblLayout w:type="autofit"/>
        <w:tblCellMar>
          <w:top w:w="0" w:type="dxa"/>
          <w:left w:w="108" w:type="dxa"/>
          <w:bottom w:w="0" w:type="dxa"/>
          <w:right w:w="108" w:type="dxa"/>
        </w:tblCellMar>
      </w:tblPr>
      <w:tblGrid>
        <w:gridCol w:w="587"/>
        <w:gridCol w:w="1810"/>
        <w:gridCol w:w="6511"/>
        <w:gridCol w:w="1427"/>
        <w:gridCol w:w="4155"/>
      </w:tblGrid>
      <w:tr w14:paraId="68BC94E2">
        <w:tblPrEx>
          <w:tblCellMar>
            <w:top w:w="0" w:type="dxa"/>
            <w:left w:w="108" w:type="dxa"/>
            <w:bottom w:w="0" w:type="dxa"/>
            <w:right w:w="108" w:type="dxa"/>
          </w:tblCellMar>
        </w:tblPrEx>
        <w:tc>
          <w:tcPr>
            <w:tcW w:w="587" w:type="dxa"/>
            <w:tcBorders>
              <w:top w:val="single" w:color="auto" w:sz="4" w:space="0"/>
              <w:bottom w:val="single" w:color="7F7F7F" w:sz="6" w:space="0"/>
            </w:tcBorders>
            <w:shd w:val="clear" w:color="auto" w:fill="auto"/>
          </w:tcPr>
          <w:p w14:paraId="00DEF8A5">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Item No.</w:t>
            </w:r>
          </w:p>
        </w:tc>
        <w:tc>
          <w:tcPr>
            <w:tcW w:w="1822" w:type="dxa"/>
            <w:tcBorders>
              <w:top w:val="single" w:color="auto" w:sz="4" w:space="0"/>
              <w:bottom w:val="single" w:color="7F7F7F" w:sz="6" w:space="0"/>
            </w:tcBorders>
            <w:shd w:val="clear" w:color="auto" w:fill="auto"/>
          </w:tcPr>
          <w:p w14:paraId="04F587D2">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Section</w:t>
            </w:r>
          </w:p>
        </w:tc>
        <w:tc>
          <w:tcPr>
            <w:tcW w:w="7041" w:type="dxa"/>
            <w:tcBorders>
              <w:top w:val="single" w:color="auto" w:sz="4" w:space="0"/>
              <w:bottom w:val="single" w:color="7F7F7F" w:sz="6" w:space="0"/>
            </w:tcBorders>
            <w:shd w:val="clear" w:color="auto" w:fill="auto"/>
          </w:tcPr>
          <w:p w14:paraId="5A682768">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 xml:space="preserve">Checklist item </w:t>
            </w:r>
          </w:p>
        </w:tc>
        <w:tc>
          <w:tcPr>
            <w:tcW w:w="720" w:type="dxa"/>
            <w:tcBorders>
              <w:top w:val="single" w:color="auto" w:sz="4" w:space="0"/>
              <w:bottom w:val="single" w:color="7F7F7F" w:sz="6" w:space="0"/>
            </w:tcBorders>
          </w:tcPr>
          <w:p w14:paraId="26D050FB">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Page No.</w:t>
            </w:r>
          </w:p>
        </w:tc>
        <w:tc>
          <w:tcPr>
            <w:tcW w:w="4320" w:type="dxa"/>
            <w:tcBorders>
              <w:top w:val="single" w:color="auto" w:sz="4" w:space="0"/>
              <w:bottom w:val="single" w:color="7F7F7F" w:sz="6" w:space="0"/>
            </w:tcBorders>
          </w:tcPr>
          <w:p w14:paraId="3B169EDD">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Relevant text from manuscript</w:t>
            </w:r>
          </w:p>
        </w:tc>
      </w:tr>
      <w:tr w14:paraId="6D71F361">
        <w:tblPrEx>
          <w:tblCellMar>
            <w:top w:w="0" w:type="dxa"/>
            <w:left w:w="108" w:type="dxa"/>
            <w:bottom w:w="0" w:type="dxa"/>
            <w:right w:w="108" w:type="dxa"/>
          </w:tblCellMar>
        </w:tblPrEx>
        <w:tc>
          <w:tcPr>
            <w:tcW w:w="587" w:type="dxa"/>
            <w:tcBorders>
              <w:top w:val="single" w:color="7F7F7F" w:sz="6" w:space="0"/>
              <w:bottom w:val="single" w:color="7F7F7F" w:sz="6" w:space="0"/>
            </w:tcBorders>
            <w:shd w:val="clear" w:color="auto" w:fill="EEEEEE"/>
          </w:tcPr>
          <w:p w14:paraId="25A8835C">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w:t>
            </w:r>
          </w:p>
        </w:tc>
        <w:tc>
          <w:tcPr>
            <w:tcW w:w="1822" w:type="dxa"/>
            <w:tcBorders>
              <w:top w:val="single" w:color="7F7F7F" w:sz="6" w:space="0"/>
              <w:bottom w:val="single" w:color="7F7F7F" w:sz="6" w:space="0"/>
            </w:tcBorders>
            <w:shd w:val="clear" w:color="auto" w:fill="EEEEEE"/>
          </w:tcPr>
          <w:p w14:paraId="4CC4316B">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TITLE and ABSTRACT</w:t>
            </w:r>
          </w:p>
        </w:tc>
        <w:tc>
          <w:tcPr>
            <w:tcW w:w="7041" w:type="dxa"/>
            <w:tcBorders>
              <w:top w:val="single" w:color="7F7F7F" w:sz="6" w:space="0"/>
              <w:bottom w:val="single" w:color="7F7F7F" w:sz="6" w:space="0"/>
            </w:tcBorders>
            <w:shd w:val="clear" w:color="auto" w:fill="EEEEEE"/>
          </w:tcPr>
          <w:p w14:paraId="1DA8BD46">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Indicate Mendelian randomization (MR) as the study’s design in the title and/or the abstract if that is a main purpose of the study</w:t>
            </w:r>
          </w:p>
        </w:tc>
        <w:tc>
          <w:tcPr>
            <w:tcW w:w="720" w:type="dxa"/>
            <w:tcBorders>
              <w:top w:val="single" w:color="7F7F7F" w:sz="6" w:space="0"/>
              <w:bottom w:val="single" w:color="7F7F7F" w:sz="6" w:space="0"/>
            </w:tcBorders>
            <w:shd w:val="clear" w:color="auto" w:fill="EEEEEE"/>
          </w:tcPr>
          <w:p w14:paraId="428F187D">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1-2</w:t>
            </w:r>
          </w:p>
        </w:tc>
        <w:tc>
          <w:tcPr>
            <w:tcW w:w="4320" w:type="dxa"/>
            <w:tcBorders>
              <w:top w:val="single" w:color="7F7F7F" w:sz="6" w:space="0"/>
              <w:bottom w:val="single" w:color="7F7F7F" w:sz="6" w:space="0"/>
            </w:tcBorders>
            <w:shd w:val="clear" w:color="auto" w:fill="EEEEEE"/>
          </w:tcPr>
          <w:p w14:paraId="118DBFD8">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Title: Investigating the Causal Influence of Body Mass Index on Metabolic Biomarkers and the Risk of Nonalcoholic Fatty Liver Disease: A Mendelian Randomization Study</w:t>
            </w:r>
          </w:p>
          <w:p w14:paraId="2F6D1FAF">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Abstract: This study employed a Mendelian randomization approach to explore the causal influence of BMI on metabolic biomarkers and the subsequent risk of NAFLD.</w:t>
            </w:r>
          </w:p>
        </w:tc>
      </w:tr>
      <w:tr w14:paraId="641E6A58">
        <w:tblPrEx>
          <w:tblCellMar>
            <w:top w:w="0" w:type="dxa"/>
            <w:left w:w="108" w:type="dxa"/>
            <w:bottom w:w="0" w:type="dxa"/>
            <w:right w:w="108" w:type="dxa"/>
          </w:tblCellMar>
        </w:tblPrEx>
        <w:tc>
          <w:tcPr>
            <w:tcW w:w="587" w:type="dxa"/>
            <w:tcBorders>
              <w:top w:val="single" w:color="7F7F7F" w:sz="6" w:space="0"/>
            </w:tcBorders>
            <w:shd w:val="clear" w:color="auto" w:fill="auto"/>
          </w:tcPr>
          <w:p w14:paraId="4792BEFB">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14:paraId="63B58F01">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INTRODUCTION</w:t>
            </w:r>
          </w:p>
        </w:tc>
        <w:tc>
          <w:tcPr>
            <w:tcW w:w="7041" w:type="dxa"/>
            <w:tcBorders>
              <w:top w:val="single" w:color="7F7F7F" w:sz="6" w:space="0"/>
            </w:tcBorders>
            <w:shd w:val="clear" w:color="auto" w:fill="auto"/>
          </w:tcPr>
          <w:p w14:paraId="473C01D0">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tcPr>
          <w:p w14:paraId="6681F500">
            <w:pPr>
              <w:spacing w:before="96" w:beforeLines="40" w:after="96" w:afterLines="40" w:line="24" w:lineRule="atLeast"/>
              <w:rPr>
                <w:rFonts w:eastAsia="Cambria"/>
                <w:sz w:val="18"/>
                <w:szCs w:val="18"/>
                <w:lang w:val="en-GB" w:eastAsia="en-US"/>
              </w:rPr>
            </w:pPr>
          </w:p>
        </w:tc>
        <w:tc>
          <w:tcPr>
            <w:tcW w:w="4320" w:type="dxa"/>
            <w:tcBorders>
              <w:top w:val="single" w:color="7F7F7F" w:sz="6" w:space="0"/>
            </w:tcBorders>
          </w:tcPr>
          <w:p w14:paraId="7A6DC6E9">
            <w:pPr>
              <w:spacing w:before="96" w:beforeLines="40" w:after="96" w:afterLines="40" w:line="24" w:lineRule="atLeast"/>
              <w:rPr>
                <w:rFonts w:eastAsia="Cambria"/>
                <w:sz w:val="18"/>
                <w:szCs w:val="18"/>
                <w:lang w:val="en-GB" w:eastAsia="en-US"/>
              </w:rPr>
            </w:pPr>
          </w:p>
        </w:tc>
      </w:tr>
      <w:tr w14:paraId="7DB622D8">
        <w:tblPrEx>
          <w:tblCellMar>
            <w:top w:w="0" w:type="dxa"/>
            <w:left w:w="108" w:type="dxa"/>
            <w:bottom w:w="0" w:type="dxa"/>
            <w:right w:w="108" w:type="dxa"/>
          </w:tblCellMar>
        </w:tblPrEx>
        <w:tc>
          <w:tcPr>
            <w:tcW w:w="587" w:type="dxa"/>
            <w:shd w:val="clear" w:color="auto" w:fill="EEEEEE"/>
          </w:tcPr>
          <w:p w14:paraId="7DE28D61">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2</w:t>
            </w:r>
          </w:p>
        </w:tc>
        <w:tc>
          <w:tcPr>
            <w:tcW w:w="1822" w:type="dxa"/>
            <w:shd w:val="clear" w:color="auto" w:fill="EEEEEE"/>
          </w:tcPr>
          <w:p w14:paraId="7756B327">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Background</w:t>
            </w:r>
          </w:p>
        </w:tc>
        <w:tc>
          <w:tcPr>
            <w:tcW w:w="7041" w:type="dxa"/>
            <w:shd w:val="clear" w:color="auto" w:fill="EEEEEE"/>
          </w:tcPr>
          <w:p w14:paraId="5423D52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Explain the scientific background and rationale for the reported study. What is the exposure? Is a potential causal relationship between exposure and outcome plausible? Justify why MR is a helpful method to address the study question</w:t>
            </w:r>
          </w:p>
        </w:tc>
        <w:tc>
          <w:tcPr>
            <w:tcW w:w="720" w:type="dxa"/>
            <w:shd w:val="clear" w:color="auto" w:fill="EEEEEE"/>
          </w:tcPr>
          <w:p w14:paraId="460FB29C">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2</w:t>
            </w:r>
          </w:p>
        </w:tc>
        <w:tc>
          <w:tcPr>
            <w:tcW w:w="4320" w:type="dxa"/>
            <w:shd w:val="clear" w:color="auto" w:fill="EEEEEE"/>
          </w:tcPr>
          <w:p w14:paraId="5D990A22">
            <w:pPr>
              <w:spacing w:before="96" w:beforeLines="40" w:after="96" w:afterLines="40" w:line="24" w:lineRule="atLeast"/>
              <w:rPr>
                <w:rFonts w:hint="eastAsia" w:eastAsia="宋体"/>
                <w:sz w:val="18"/>
                <w:szCs w:val="18"/>
                <w:lang w:val="en-US" w:eastAsia="zh-CN"/>
              </w:rPr>
            </w:pPr>
            <w:r>
              <w:rPr>
                <w:rFonts w:hint="eastAsia" w:eastAsia="Times New Roman"/>
                <w:sz w:val="18"/>
                <w:szCs w:val="18"/>
                <w:lang w:val="en-GB" w:eastAsia="en-GB"/>
              </w:rPr>
              <w:t>Nonalcoholic fatty liver disease (NAFLD) is increasingly recognized as a major global health issue, particularly linked to the rising prevalence of obesity. Body mass index (BMI) is a key indicator of obesity, and its relationship with NAFLD has gained attention due to the complex interplay between BMI, metabolic biomarkers, and liver health. The pathogenesis of NAFLD involves dysregulated lipid metabolism, insulin resistance, and other metabolic disturbances. Understanding how BMI influences these metabolic processes could provide insights into NAFLD prevention and treatment.</w:t>
            </w:r>
            <w:r>
              <w:rPr>
                <w:rFonts w:hint="eastAsia" w:eastAsia="宋体"/>
                <w:sz w:val="18"/>
                <w:szCs w:val="18"/>
                <w:lang w:val="en-US" w:eastAsia="zh-CN"/>
              </w:rPr>
              <w:t xml:space="preserve"> </w:t>
            </w:r>
          </w:p>
          <w:p w14:paraId="23F7BC7B">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A causal relationship between BMI and NAFLD is plausible given that obesity is a well-established risk factor for various metabolic disorders, including NAFLD. Higher BMI is associated with increased triglyceride levels and altered lipid metabolism, both of which are implicated in the development of NAFLD.</w:t>
            </w:r>
          </w:p>
        </w:tc>
      </w:tr>
      <w:tr w14:paraId="7907A3D3">
        <w:tblPrEx>
          <w:tblCellMar>
            <w:top w:w="0" w:type="dxa"/>
            <w:left w:w="108" w:type="dxa"/>
            <w:bottom w:w="0" w:type="dxa"/>
            <w:right w:w="108" w:type="dxa"/>
          </w:tblCellMar>
        </w:tblPrEx>
        <w:tc>
          <w:tcPr>
            <w:tcW w:w="587" w:type="dxa"/>
            <w:tcBorders>
              <w:bottom w:val="single" w:color="7F7F7F" w:sz="6" w:space="0"/>
            </w:tcBorders>
            <w:shd w:val="clear" w:color="auto" w:fill="auto"/>
          </w:tcPr>
          <w:p w14:paraId="4F63B034">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3</w:t>
            </w:r>
          </w:p>
        </w:tc>
        <w:tc>
          <w:tcPr>
            <w:tcW w:w="1822" w:type="dxa"/>
            <w:tcBorders>
              <w:bottom w:val="single" w:color="7F7F7F" w:sz="6" w:space="0"/>
            </w:tcBorders>
            <w:shd w:val="clear" w:color="auto" w:fill="auto"/>
          </w:tcPr>
          <w:p w14:paraId="3E6B9EEC">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Objectives</w:t>
            </w:r>
          </w:p>
        </w:tc>
        <w:tc>
          <w:tcPr>
            <w:tcW w:w="7041" w:type="dxa"/>
            <w:tcBorders>
              <w:bottom w:val="single" w:color="7F7F7F" w:sz="6" w:space="0"/>
            </w:tcBorders>
            <w:shd w:val="clear" w:color="auto" w:fill="auto"/>
          </w:tcPr>
          <w:p w14:paraId="41BC8A04">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720" w:type="dxa"/>
            <w:tcBorders>
              <w:bottom w:val="single" w:color="7F7F7F" w:sz="6" w:space="0"/>
            </w:tcBorders>
          </w:tcPr>
          <w:p w14:paraId="2294F6C5">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3</w:t>
            </w:r>
          </w:p>
        </w:tc>
        <w:tc>
          <w:tcPr>
            <w:tcW w:w="4320" w:type="dxa"/>
            <w:tcBorders>
              <w:bottom w:val="single" w:color="7F7F7F" w:sz="6" w:space="0"/>
            </w:tcBorders>
          </w:tcPr>
          <w:p w14:paraId="11250836">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This study seeks to delve into the causal relationship between BMI and metabolic biomarkers, specifically examining how these factors mediate the risk of developing NAFLD. By utilizing Mendelian randomization (MR), we aim to provide a rigorous analysis that clarifies the connections among BMI, metabolic traits, and NAFLD risk.</w:t>
            </w:r>
          </w:p>
          <w:p w14:paraId="5C84CE88">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MR is a method that, under specific assumptions, intends to estimate causal effects.</w:t>
            </w:r>
          </w:p>
        </w:tc>
      </w:tr>
      <w:tr w14:paraId="59599383">
        <w:tblPrEx>
          <w:tblCellMar>
            <w:top w:w="0" w:type="dxa"/>
            <w:left w:w="108" w:type="dxa"/>
            <w:bottom w:w="0" w:type="dxa"/>
            <w:right w:w="108" w:type="dxa"/>
          </w:tblCellMar>
        </w:tblPrEx>
        <w:tc>
          <w:tcPr>
            <w:tcW w:w="587" w:type="dxa"/>
            <w:tcBorders>
              <w:top w:val="single" w:color="7F7F7F" w:sz="6" w:space="0"/>
            </w:tcBorders>
            <w:shd w:val="clear" w:color="auto" w:fill="EEEEEE"/>
          </w:tcPr>
          <w:p w14:paraId="3524D6D4">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EEEEEE"/>
          </w:tcPr>
          <w:p w14:paraId="6152628C">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METHODS</w:t>
            </w:r>
          </w:p>
        </w:tc>
        <w:tc>
          <w:tcPr>
            <w:tcW w:w="7041" w:type="dxa"/>
            <w:tcBorders>
              <w:top w:val="single" w:color="7F7F7F" w:sz="6" w:space="0"/>
            </w:tcBorders>
            <w:shd w:val="clear" w:color="auto" w:fill="EEEEEE"/>
          </w:tcPr>
          <w:p w14:paraId="309B8567">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shd w:val="clear" w:color="auto" w:fill="EEEEEE"/>
          </w:tcPr>
          <w:p w14:paraId="2FFEF450">
            <w:pPr>
              <w:spacing w:before="96" w:beforeLines="40" w:after="96" w:afterLines="40" w:line="24" w:lineRule="atLeast"/>
              <w:rPr>
                <w:rFonts w:eastAsia="Cambria"/>
                <w:sz w:val="18"/>
                <w:szCs w:val="18"/>
                <w:lang w:val="en-GB" w:eastAsia="en-US"/>
              </w:rPr>
            </w:pPr>
          </w:p>
        </w:tc>
        <w:tc>
          <w:tcPr>
            <w:tcW w:w="4320" w:type="dxa"/>
            <w:tcBorders>
              <w:top w:val="single" w:color="7F7F7F" w:sz="6" w:space="0"/>
            </w:tcBorders>
            <w:shd w:val="clear" w:color="auto" w:fill="EEEEEE"/>
          </w:tcPr>
          <w:p w14:paraId="6CB9315A">
            <w:pPr>
              <w:spacing w:before="96" w:beforeLines="40" w:after="96" w:afterLines="40" w:line="24" w:lineRule="atLeast"/>
              <w:rPr>
                <w:rFonts w:eastAsia="Cambria"/>
                <w:sz w:val="18"/>
                <w:szCs w:val="18"/>
                <w:lang w:val="en-GB" w:eastAsia="en-US"/>
              </w:rPr>
            </w:pPr>
          </w:p>
        </w:tc>
      </w:tr>
      <w:tr w14:paraId="6440155E">
        <w:tblPrEx>
          <w:tblCellMar>
            <w:top w:w="0" w:type="dxa"/>
            <w:left w:w="108" w:type="dxa"/>
            <w:bottom w:w="0" w:type="dxa"/>
            <w:right w:w="108" w:type="dxa"/>
          </w:tblCellMar>
        </w:tblPrEx>
        <w:tc>
          <w:tcPr>
            <w:tcW w:w="587" w:type="dxa"/>
            <w:shd w:val="clear" w:color="auto" w:fill="auto"/>
          </w:tcPr>
          <w:p w14:paraId="5C7CF349">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4</w:t>
            </w:r>
          </w:p>
        </w:tc>
        <w:tc>
          <w:tcPr>
            <w:tcW w:w="1822" w:type="dxa"/>
            <w:shd w:val="clear" w:color="auto" w:fill="auto"/>
          </w:tcPr>
          <w:p w14:paraId="408E2A89">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Study design and data sources</w:t>
            </w:r>
          </w:p>
        </w:tc>
        <w:tc>
          <w:tcPr>
            <w:tcW w:w="7041" w:type="dxa"/>
            <w:shd w:val="clear" w:color="auto" w:fill="auto"/>
          </w:tcPr>
          <w:p w14:paraId="29029CA4">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720" w:type="dxa"/>
          </w:tcPr>
          <w:p w14:paraId="0E181C75">
            <w:pPr>
              <w:spacing w:before="96" w:beforeLines="40" w:after="96" w:afterLines="40" w:line="24" w:lineRule="atLeast"/>
              <w:rPr>
                <w:rFonts w:eastAsia="Times New Roman"/>
                <w:sz w:val="18"/>
                <w:szCs w:val="18"/>
                <w:lang w:val="en-GB" w:eastAsia="en-GB"/>
              </w:rPr>
            </w:pPr>
          </w:p>
        </w:tc>
        <w:tc>
          <w:tcPr>
            <w:tcW w:w="4320" w:type="dxa"/>
          </w:tcPr>
          <w:p w14:paraId="23CE0AC6">
            <w:pPr>
              <w:spacing w:before="96" w:beforeLines="40" w:after="96" w:afterLines="40" w:line="24" w:lineRule="atLeast"/>
              <w:rPr>
                <w:rFonts w:eastAsia="Times New Roman"/>
                <w:sz w:val="18"/>
                <w:szCs w:val="18"/>
                <w:lang w:val="en-GB" w:eastAsia="en-GB"/>
              </w:rPr>
            </w:pPr>
          </w:p>
        </w:tc>
      </w:tr>
      <w:tr w14:paraId="47D5AE21">
        <w:tblPrEx>
          <w:tblCellMar>
            <w:top w:w="0" w:type="dxa"/>
            <w:left w:w="108" w:type="dxa"/>
            <w:bottom w:w="0" w:type="dxa"/>
            <w:right w:w="108" w:type="dxa"/>
          </w:tblCellMar>
        </w:tblPrEx>
        <w:tc>
          <w:tcPr>
            <w:tcW w:w="587" w:type="dxa"/>
            <w:shd w:val="clear" w:color="auto" w:fill="EEEEEE"/>
          </w:tcPr>
          <w:p w14:paraId="0980B688">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29E72ACB">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14:paraId="246167BE">
            <w:pPr>
              <w:spacing w:before="96" w:beforeLines="40" w:after="96" w:afterLines="40" w:line="24" w:lineRule="atLeast"/>
              <w:rPr>
                <w:rFonts w:eastAsia="Cambria"/>
                <w:sz w:val="18"/>
                <w:szCs w:val="18"/>
                <w:lang w:val="en-GB" w:eastAsia="en-US"/>
              </w:rPr>
            </w:pPr>
            <w:r>
              <w:rPr>
                <w:rFonts w:eastAsia="Times New Roman"/>
                <w:sz w:val="18"/>
                <w:szCs w:val="18"/>
                <w:shd w:val="clear" w:color="auto" w:fill="FFFFFF"/>
                <w:lang w:val="en-GB" w:eastAsia="en-GB"/>
              </w:rPr>
              <w:t xml:space="preserve">Setting: </w:t>
            </w:r>
            <w:r>
              <w:rPr>
                <w:rFonts w:eastAsia="Times New Roman"/>
                <w:sz w:val="18"/>
                <w:szCs w:val="18"/>
                <w:lang w:val="en-GB" w:eastAsia="en-GB"/>
              </w:rPr>
              <w:t xml:space="preserve">Describe the study design and the underlying population, if possible. </w:t>
            </w:r>
            <w:r>
              <w:rPr>
                <w:rFonts w:eastAsia="Times New Roman"/>
                <w:sz w:val="18"/>
                <w:szCs w:val="18"/>
                <w:shd w:val="clear" w:color="auto" w:fill="FFFFFF"/>
                <w:lang w:val="en-GB" w:eastAsia="en-GB"/>
              </w:rPr>
              <w:t xml:space="preserve">Describe the setting, locations, and relevant dates, including periods </w:t>
            </w:r>
            <w:r>
              <w:rPr>
                <w:rFonts w:eastAsia="Times New Roman"/>
                <w:color w:val="000000"/>
                <w:sz w:val="18"/>
                <w:szCs w:val="18"/>
                <w:shd w:val="clear" w:color="auto" w:fill="FFFFFF"/>
                <w:lang w:val="en-GB" w:eastAsia="en-GB"/>
              </w:rPr>
              <w:t>of recruitment, exposure, follow-up, and data collection, when available.</w:t>
            </w:r>
          </w:p>
        </w:tc>
        <w:tc>
          <w:tcPr>
            <w:tcW w:w="720" w:type="dxa"/>
            <w:shd w:val="clear" w:color="auto" w:fill="EEEEEE"/>
          </w:tcPr>
          <w:p w14:paraId="048ED5CF">
            <w:pPr>
              <w:spacing w:before="96" w:beforeLines="40" w:after="96" w:afterLines="40" w:line="24" w:lineRule="atLeast"/>
              <w:rPr>
                <w:rFonts w:hint="eastAsia" w:eastAsia="宋体"/>
                <w:sz w:val="18"/>
                <w:szCs w:val="18"/>
                <w:shd w:val="clear" w:color="auto" w:fill="FFFFFF"/>
                <w:lang w:val="en-US" w:eastAsia="zh-CN"/>
              </w:rPr>
            </w:pPr>
            <w:r>
              <w:rPr>
                <w:rFonts w:hint="eastAsia" w:eastAsia="宋体"/>
                <w:sz w:val="18"/>
                <w:szCs w:val="18"/>
                <w:shd w:val="clear" w:color="auto" w:fill="FFFFFF"/>
                <w:lang w:val="en-US" w:eastAsia="zh-CN"/>
              </w:rPr>
              <w:t>3</w:t>
            </w:r>
          </w:p>
        </w:tc>
        <w:tc>
          <w:tcPr>
            <w:tcW w:w="4320" w:type="dxa"/>
            <w:shd w:val="clear" w:color="auto" w:fill="EEEEEE"/>
          </w:tcPr>
          <w:p w14:paraId="33F4171D">
            <w:pPr>
              <w:spacing w:before="96" w:beforeLines="40" w:after="96" w:afterLines="40" w:line="24" w:lineRule="atLeast"/>
              <w:rPr>
                <w:rFonts w:hint="eastAsia" w:eastAsia="Times New Roman"/>
                <w:sz w:val="18"/>
                <w:szCs w:val="18"/>
                <w:shd w:val="clear" w:color="auto" w:fill="FFFFFF"/>
                <w:lang w:val="en-GB" w:eastAsia="en-GB"/>
              </w:rPr>
            </w:pPr>
            <w:r>
              <w:rPr>
                <w:rFonts w:hint="eastAsia" w:eastAsia="Times New Roman"/>
                <w:sz w:val="18"/>
                <w:szCs w:val="18"/>
                <w:shd w:val="clear" w:color="auto" w:fill="FFFFFF"/>
                <w:lang w:val="en-GB" w:eastAsia="en-GB"/>
              </w:rPr>
              <w:t>This investigation included 249 blood metabolites from a published study, BMI data from four different sources, and NAFLD data from two different sources.</w:t>
            </w:r>
          </w:p>
          <w:p w14:paraId="745D098F">
            <w:pPr>
              <w:spacing w:before="96" w:beforeLines="40" w:after="96" w:afterLines="40" w:line="24" w:lineRule="atLeast"/>
              <w:rPr>
                <w:rFonts w:hint="eastAsia" w:eastAsia="Times New Roman"/>
                <w:sz w:val="18"/>
                <w:szCs w:val="18"/>
                <w:shd w:val="clear" w:color="auto" w:fill="FFFFFF"/>
                <w:lang w:val="en-GB" w:eastAsia="en-GB"/>
              </w:rPr>
            </w:pPr>
            <w:r>
              <w:rPr>
                <w:rFonts w:hint="eastAsia" w:eastAsia="Times New Roman"/>
                <w:sz w:val="18"/>
                <w:szCs w:val="18"/>
                <w:shd w:val="clear" w:color="auto" w:fill="FFFFFF"/>
                <w:lang w:val="en-GB" w:eastAsia="en-GB"/>
              </w:rPr>
              <w:t>All data for this study were sourced from the FinnGen Biobank and the IEU OpenGWAS project.</w:t>
            </w:r>
          </w:p>
          <w:p w14:paraId="5003FEF0">
            <w:pPr>
              <w:spacing w:before="96" w:beforeLines="40" w:after="96" w:afterLines="40" w:line="24" w:lineRule="atLeast"/>
              <w:rPr>
                <w:rFonts w:hint="eastAsia" w:eastAsia="Times New Roman"/>
                <w:sz w:val="18"/>
                <w:szCs w:val="18"/>
                <w:shd w:val="clear" w:color="auto" w:fill="FFFFFF"/>
                <w:lang w:val="en-GB" w:eastAsia="en-GB"/>
              </w:rPr>
            </w:pPr>
            <w:r>
              <w:rPr>
                <w:rFonts w:hint="eastAsia" w:eastAsia="Times New Roman"/>
                <w:sz w:val="18"/>
                <w:szCs w:val="18"/>
                <w:shd w:val="clear" w:color="auto" w:fill="FFFFFF"/>
                <w:lang w:val="en-GB" w:eastAsia="en-GB"/>
              </w:rPr>
              <w:t>Ethics committee approval was not required for this research, as the MR analysis used publicly available data from open-access databases and did not involve individual-level data.</w:t>
            </w:r>
          </w:p>
        </w:tc>
      </w:tr>
      <w:tr w14:paraId="376A6F82">
        <w:tblPrEx>
          <w:tblCellMar>
            <w:top w:w="0" w:type="dxa"/>
            <w:left w:w="108" w:type="dxa"/>
            <w:bottom w:w="0" w:type="dxa"/>
            <w:right w:w="108" w:type="dxa"/>
          </w:tblCellMar>
        </w:tblPrEx>
        <w:tc>
          <w:tcPr>
            <w:tcW w:w="587" w:type="dxa"/>
            <w:shd w:val="clear" w:color="auto" w:fill="auto"/>
          </w:tcPr>
          <w:p w14:paraId="6B85F41D">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0CF2EB5C">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14:paraId="5E3BCE69">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 xml:space="preserve">Participants: Give the eligibility criteria, and the sources and methods of selection of participants. </w:t>
            </w:r>
            <w:r>
              <w:rPr>
                <w:rFonts w:eastAsia="Times New Roman"/>
                <w:color w:val="000000"/>
                <w:sz w:val="18"/>
                <w:szCs w:val="18"/>
              </w:rPr>
              <w:t>Report the sample size, and whether any power or sample size calculations were carried out prior to the main analysis</w:t>
            </w:r>
            <w:r>
              <w:rPr>
                <w:rFonts w:eastAsia="Times New Roman"/>
                <w:sz w:val="18"/>
                <w:szCs w:val="18"/>
                <w:lang w:val="en-GB" w:eastAsia="en-GB"/>
              </w:rPr>
              <w:t> </w:t>
            </w:r>
          </w:p>
        </w:tc>
        <w:tc>
          <w:tcPr>
            <w:tcW w:w="720" w:type="dxa"/>
          </w:tcPr>
          <w:p w14:paraId="29ACC32C">
            <w:pPr>
              <w:spacing w:before="96" w:beforeLines="40" w:after="96" w:afterLines="40" w:line="24" w:lineRule="atLeast"/>
              <w:textAlignment w:val="baseline"/>
              <w:rPr>
                <w:rFonts w:hint="default" w:eastAsia="宋体"/>
                <w:sz w:val="18"/>
                <w:szCs w:val="18"/>
                <w:shd w:val="clear" w:color="auto" w:fill="FFFFFF"/>
                <w:lang w:val="en-US" w:eastAsia="zh-CN"/>
              </w:rPr>
            </w:pPr>
            <w:r>
              <w:rPr>
                <w:rFonts w:hint="eastAsia" w:eastAsia="宋体"/>
                <w:sz w:val="18"/>
                <w:szCs w:val="18"/>
                <w:shd w:val="clear" w:color="auto" w:fill="FFFFFF"/>
                <w:lang w:val="en-US" w:eastAsia="zh-CN"/>
              </w:rPr>
              <w:t>4,9</w:t>
            </w:r>
          </w:p>
        </w:tc>
        <w:tc>
          <w:tcPr>
            <w:tcW w:w="4320" w:type="dxa"/>
          </w:tcPr>
          <w:p w14:paraId="37C3B4C3">
            <w:pPr>
              <w:spacing w:before="96" w:beforeLines="40" w:after="96" w:afterLines="40" w:line="24" w:lineRule="atLeast"/>
              <w:textAlignment w:val="baseline"/>
              <w:rPr>
                <w:rFonts w:hint="eastAsia" w:eastAsia="Times New Roman"/>
                <w:sz w:val="18"/>
                <w:szCs w:val="18"/>
                <w:shd w:val="clear" w:color="auto" w:fill="FFFFFF"/>
                <w:lang w:val="en-GB" w:eastAsia="en-GB"/>
              </w:rPr>
            </w:pPr>
            <w:r>
              <w:rPr>
                <w:rFonts w:hint="eastAsia" w:eastAsia="Times New Roman"/>
                <w:sz w:val="18"/>
                <w:szCs w:val="18"/>
                <w:shd w:val="clear" w:color="auto" w:fill="FFFFFF"/>
                <w:lang w:val="en-GB" w:eastAsia="en-GB"/>
              </w:rPr>
              <w:t>The selection of SNPs was based on multiple criteria, such as a clumping window of 10,000 kb to consider physical proximity, a strong linkage disequilibrium threshold (r2&lt; 0.001), and a genome-wide significance cutoff (p &lt; 5×10-8) to establish reliable associations with the exposure.</w:t>
            </w:r>
          </w:p>
          <w:p w14:paraId="43C28645">
            <w:pPr>
              <w:spacing w:before="96" w:beforeLines="40" w:after="96" w:afterLines="40" w:line="24" w:lineRule="atLeast"/>
              <w:textAlignment w:val="baseline"/>
              <w:rPr>
                <w:rFonts w:hint="eastAsia" w:eastAsia="Times New Roman"/>
                <w:sz w:val="18"/>
                <w:szCs w:val="18"/>
                <w:shd w:val="clear" w:color="auto" w:fill="FFFFFF"/>
                <w:lang w:val="en-GB" w:eastAsia="en-GB"/>
              </w:rPr>
            </w:pPr>
            <w:r>
              <w:rPr>
                <w:rFonts w:hint="eastAsia" w:eastAsia="Times New Roman"/>
                <w:sz w:val="18"/>
                <w:szCs w:val="18"/>
                <w:shd w:val="clear" w:color="auto" w:fill="FFFFFF"/>
                <w:lang w:val="en-GB" w:eastAsia="en-GB"/>
              </w:rPr>
              <w:t>Given its superior performance over the other two methods (Weighted Median and MR-Egger), the inverse-variance weighted (IVW) approach is considered the primary method for identifying causal linkages in this study.</w:t>
            </w:r>
          </w:p>
          <w:p w14:paraId="2CD2E2EB">
            <w:pPr>
              <w:spacing w:before="96" w:beforeLines="40" w:after="96" w:afterLines="40" w:line="24" w:lineRule="atLeast"/>
              <w:textAlignment w:val="baseline"/>
              <w:rPr>
                <w:rFonts w:hint="eastAsia" w:eastAsia="Times New Roman"/>
                <w:sz w:val="18"/>
                <w:szCs w:val="18"/>
                <w:shd w:val="clear" w:color="auto" w:fill="FFFFFF"/>
                <w:lang w:val="en-GB" w:eastAsia="en-GB"/>
              </w:rPr>
            </w:pPr>
            <w:r>
              <w:rPr>
                <w:rFonts w:hint="eastAsia" w:eastAsia="Times New Roman"/>
                <w:sz w:val="18"/>
                <w:szCs w:val="18"/>
                <w:shd w:val="clear" w:color="auto" w:fill="FFFFFF"/>
                <w:lang w:val="en-GB" w:eastAsia="en-GB"/>
              </w:rPr>
              <w:t>This study does have some inherent limitations. First, the findings may not be applicable to populations outside of Europe, as the data predominantly originated from European cohorts.</w:t>
            </w:r>
          </w:p>
        </w:tc>
      </w:tr>
      <w:tr w14:paraId="04B065C7">
        <w:tblPrEx>
          <w:tblCellMar>
            <w:top w:w="0" w:type="dxa"/>
            <w:left w:w="108" w:type="dxa"/>
            <w:bottom w:w="0" w:type="dxa"/>
            <w:right w:w="108" w:type="dxa"/>
          </w:tblCellMar>
        </w:tblPrEx>
        <w:tc>
          <w:tcPr>
            <w:tcW w:w="587" w:type="dxa"/>
            <w:shd w:val="clear" w:color="auto" w:fill="EEEEEE"/>
          </w:tcPr>
          <w:p w14:paraId="09448E25">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260DD299">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14:paraId="7B54F10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measurement, quality control and selection of genetic variants</w:t>
            </w:r>
          </w:p>
        </w:tc>
        <w:tc>
          <w:tcPr>
            <w:tcW w:w="720" w:type="dxa"/>
            <w:shd w:val="clear" w:color="auto" w:fill="EEEEEE"/>
          </w:tcPr>
          <w:p w14:paraId="2CDB28F5">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4</w:t>
            </w:r>
          </w:p>
        </w:tc>
        <w:tc>
          <w:tcPr>
            <w:tcW w:w="4320" w:type="dxa"/>
            <w:shd w:val="clear" w:color="auto" w:fill="EEEEEE"/>
          </w:tcPr>
          <w:p w14:paraId="26B556E6">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IVs, typically single nucleotide polymorphisms (SNPs), serve as proxies for the exposure in MR studies to infer causality.</w:t>
            </w:r>
          </w:p>
          <w:p w14:paraId="5D95DC4A">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The selection of SNPs was based on multiple criteria, such as a clumping window of 10,000 kb to consider physical proximity, a strong linkage disequilibrium threshold (r2&lt; 0.001), and a genome-wide significance cutoff (p &lt; 5×10-8) to establish reliable associations with the exposure.</w:t>
            </w:r>
          </w:p>
          <w:p w14:paraId="7D72A283">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In every analysis, SNPs that showed significant associations with the outcome (p &lt; 5×10⁻⁸) were removed to reduce bias and maintain compliance with the assumptions of MR.</w:t>
            </w:r>
          </w:p>
        </w:tc>
      </w:tr>
      <w:tr w14:paraId="215DDE8E">
        <w:tblPrEx>
          <w:tblCellMar>
            <w:top w:w="0" w:type="dxa"/>
            <w:left w:w="108" w:type="dxa"/>
            <w:bottom w:w="0" w:type="dxa"/>
            <w:right w:w="108" w:type="dxa"/>
          </w:tblCellMar>
        </w:tblPrEx>
        <w:tc>
          <w:tcPr>
            <w:tcW w:w="587" w:type="dxa"/>
            <w:shd w:val="clear" w:color="auto" w:fill="auto"/>
          </w:tcPr>
          <w:p w14:paraId="7E3D460D">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0FB55ADC">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14:paraId="3B6B6065">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720" w:type="dxa"/>
          </w:tcPr>
          <w:p w14:paraId="37FB656C">
            <w:pPr>
              <w:spacing w:before="96" w:beforeLines="40" w:after="96" w:afterLines="40" w:line="24" w:lineRule="atLeast"/>
              <w:textAlignment w:val="baseline"/>
              <w:rPr>
                <w:rFonts w:hint="eastAsia" w:eastAsia="宋体"/>
                <w:sz w:val="18"/>
                <w:szCs w:val="18"/>
                <w:shd w:val="clear" w:color="auto" w:fill="FFFFFF"/>
                <w:lang w:val="en-US" w:eastAsia="zh-CN"/>
              </w:rPr>
            </w:pPr>
            <w:r>
              <w:rPr>
                <w:rFonts w:hint="eastAsia" w:eastAsia="宋体"/>
                <w:sz w:val="18"/>
                <w:szCs w:val="18"/>
                <w:shd w:val="clear" w:color="auto" w:fill="FFFFFF"/>
                <w:lang w:val="en-US" w:eastAsia="zh-CN"/>
              </w:rPr>
              <w:t>3</w:t>
            </w:r>
          </w:p>
        </w:tc>
        <w:tc>
          <w:tcPr>
            <w:tcW w:w="4320" w:type="dxa"/>
          </w:tcPr>
          <w:p w14:paraId="18BB4B57">
            <w:pPr>
              <w:spacing w:before="96" w:beforeLines="40" w:after="96" w:afterLines="40" w:line="24" w:lineRule="atLeast"/>
              <w:textAlignment w:val="baseline"/>
              <w:rPr>
                <w:rFonts w:hint="eastAsia" w:eastAsia="Times New Roman"/>
                <w:sz w:val="18"/>
                <w:szCs w:val="18"/>
                <w:shd w:val="clear" w:color="auto" w:fill="FFFFFF"/>
                <w:lang w:val="en-GB" w:eastAsia="en-GB"/>
              </w:rPr>
            </w:pPr>
            <w:r>
              <w:rPr>
                <w:rFonts w:hint="eastAsia" w:eastAsia="Times New Roman"/>
                <w:sz w:val="18"/>
                <w:szCs w:val="18"/>
                <w:shd w:val="clear" w:color="auto" w:fill="FFFFFF"/>
                <w:lang w:val="en-GB" w:eastAsia="en-GB"/>
              </w:rPr>
              <w:t>BMI data from four different sources.</w:t>
            </w:r>
          </w:p>
          <w:p w14:paraId="039F7077">
            <w:pPr>
              <w:spacing w:before="96" w:beforeLines="40" w:after="96" w:afterLines="40" w:line="24" w:lineRule="atLeast"/>
              <w:textAlignment w:val="baseline"/>
              <w:rPr>
                <w:rFonts w:hint="eastAsia" w:eastAsia="Times New Roman"/>
                <w:sz w:val="18"/>
                <w:szCs w:val="18"/>
                <w:shd w:val="clear" w:color="auto" w:fill="FFFFFF"/>
                <w:lang w:val="en-GB" w:eastAsia="en-GB"/>
              </w:rPr>
            </w:pPr>
            <w:r>
              <w:rPr>
                <w:rFonts w:hint="eastAsia" w:eastAsia="Times New Roman"/>
                <w:sz w:val="18"/>
                <w:szCs w:val="18"/>
                <w:shd w:val="clear" w:color="auto" w:fill="FFFFFF"/>
                <w:lang w:val="en-GB" w:eastAsia="en-GB"/>
              </w:rPr>
              <w:t>NAFLD data from two different sources.</w:t>
            </w:r>
          </w:p>
          <w:p w14:paraId="4C470444">
            <w:pPr>
              <w:spacing w:before="96" w:beforeLines="40" w:after="96" w:afterLines="40" w:line="24" w:lineRule="atLeast"/>
              <w:textAlignment w:val="baseline"/>
              <w:rPr>
                <w:rFonts w:hint="eastAsia" w:eastAsia="Times New Roman"/>
                <w:sz w:val="18"/>
                <w:szCs w:val="18"/>
                <w:shd w:val="clear" w:color="auto" w:fill="FFFFFF"/>
                <w:lang w:val="en-GB" w:eastAsia="en-GB"/>
              </w:rPr>
            </w:pPr>
            <w:r>
              <w:rPr>
                <w:rFonts w:hint="eastAsia" w:eastAsia="Times New Roman"/>
                <w:sz w:val="18"/>
                <w:szCs w:val="18"/>
                <w:shd w:val="clear" w:color="auto" w:fill="FFFFFF"/>
                <w:lang w:val="en-GB" w:eastAsia="en-GB"/>
              </w:rPr>
              <w:t>This study employed a Mendelian randomization approach to explore the causal influence of BMI on metabolic biomarkers and the subsequent risk of NAFLD.</w:t>
            </w:r>
          </w:p>
          <w:p w14:paraId="316E17FE">
            <w:pPr>
              <w:spacing w:before="96" w:beforeLines="40" w:after="96" w:afterLines="40" w:line="24" w:lineRule="atLeast"/>
              <w:textAlignment w:val="baseline"/>
              <w:rPr>
                <w:rFonts w:hint="eastAsia" w:eastAsia="Times New Roman"/>
                <w:sz w:val="18"/>
                <w:szCs w:val="18"/>
                <w:shd w:val="clear" w:color="auto" w:fill="FFFFFF"/>
                <w:lang w:val="en-GB" w:eastAsia="en-GB"/>
              </w:rPr>
            </w:pPr>
          </w:p>
        </w:tc>
      </w:tr>
      <w:tr w14:paraId="69A6C8B1">
        <w:tblPrEx>
          <w:tblCellMar>
            <w:top w:w="0" w:type="dxa"/>
            <w:left w:w="108" w:type="dxa"/>
            <w:bottom w:w="0" w:type="dxa"/>
            <w:right w:w="108" w:type="dxa"/>
          </w:tblCellMar>
        </w:tblPrEx>
        <w:tc>
          <w:tcPr>
            <w:tcW w:w="587" w:type="dxa"/>
            <w:shd w:val="clear" w:color="auto" w:fill="EEEEEE"/>
          </w:tcPr>
          <w:p w14:paraId="292FBB97">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273C46B4">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7041" w:type="dxa"/>
            <w:shd w:val="clear" w:color="auto" w:fill="EEEEEE"/>
          </w:tcPr>
          <w:p w14:paraId="4E713FBB">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Provide details of ethics committee approval and participant informed consent, if relevant</w:t>
            </w:r>
          </w:p>
        </w:tc>
        <w:tc>
          <w:tcPr>
            <w:tcW w:w="720" w:type="dxa"/>
            <w:shd w:val="clear" w:color="auto" w:fill="EEEEEE"/>
          </w:tcPr>
          <w:p w14:paraId="2754FA07">
            <w:pPr>
              <w:spacing w:before="96" w:beforeLines="40" w:after="96" w:afterLines="40" w:line="24" w:lineRule="atLeast"/>
              <w:textAlignment w:val="baseline"/>
              <w:rPr>
                <w:rFonts w:hint="eastAsia" w:eastAsia="宋体"/>
                <w:sz w:val="18"/>
                <w:szCs w:val="18"/>
                <w:shd w:val="clear" w:color="auto" w:fill="FFFFFF"/>
                <w:lang w:val="en-US" w:eastAsia="zh-CN"/>
              </w:rPr>
            </w:pPr>
            <w:r>
              <w:rPr>
                <w:rFonts w:hint="eastAsia" w:eastAsia="宋体"/>
                <w:sz w:val="18"/>
                <w:szCs w:val="18"/>
                <w:shd w:val="clear" w:color="auto" w:fill="FFFFFF"/>
                <w:lang w:val="en-US" w:eastAsia="zh-CN"/>
              </w:rPr>
              <w:t>3</w:t>
            </w:r>
          </w:p>
        </w:tc>
        <w:tc>
          <w:tcPr>
            <w:tcW w:w="4320" w:type="dxa"/>
            <w:shd w:val="clear" w:color="auto" w:fill="EEEEEE"/>
          </w:tcPr>
          <w:p w14:paraId="6067A95B">
            <w:pPr>
              <w:spacing w:before="96" w:beforeLines="40" w:after="96" w:afterLines="40" w:line="24" w:lineRule="atLeast"/>
              <w:textAlignment w:val="baseline"/>
              <w:rPr>
                <w:rFonts w:eastAsia="Times New Roman"/>
                <w:sz w:val="18"/>
                <w:szCs w:val="18"/>
                <w:shd w:val="clear" w:color="auto" w:fill="FFFFFF"/>
                <w:lang w:val="en-GB" w:eastAsia="en-GB"/>
              </w:rPr>
            </w:pPr>
            <w:r>
              <w:rPr>
                <w:rFonts w:hint="eastAsia" w:eastAsia="Times New Roman"/>
                <w:sz w:val="18"/>
                <w:szCs w:val="18"/>
                <w:shd w:val="clear" w:color="auto" w:fill="FFFFFF"/>
                <w:lang w:val="en-GB" w:eastAsia="en-GB"/>
              </w:rPr>
              <w:t>Ethics committee approval was not required for this research, as the MR analysis used publicly available data from open-access databases and did not involve individual-level data.</w:t>
            </w:r>
          </w:p>
        </w:tc>
      </w:tr>
      <w:tr w14:paraId="23EA53EC">
        <w:tblPrEx>
          <w:tblCellMar>
            <w:top w:w="0" w:type="dxa"/>
            <w:left w:w="108" w:type="dxa"/>
            <w:bottom w:w="0" w:type="dxa"/>
            <w:right w:w="108" w:type="dxa"/>
          </w:tblCellMar>
        </w:tblPrEx>
        <w:tc>
          <w:tcPr>
            <w:tcW w:w="587" w:type="dxa"/>
            <w:shd w:val="clear" w:color="auto" w:fill="auto"/>
          </w:tcPr>
          <w:p w14:paraId="3E6E0D63">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5</w:t>
            </w:r>
          </w:p>
        </w:tc>
        <w:tc>
          <w:tcPr>
            <w:tcW w:w="1822" w:type="dxa"/>
            <w:shd w:val="clear" w:color="auto" w:fill="auto"/>
          </w:tcPr>
          <w:p w14:paraId="1F0455B3">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Assumptions</w:t>
            </w:r>
          </w:p>
          <w:p w14:paraId="0458797D">
            <w:pPr>
              <w:spacing w:before="96" w:beforeLines="40" w:after="96" w:afterLines="40" w:line="24" w:lineRule="atLeast"/>
              <w:jc w:val="center"/>
              <w:rPr>
                <w:rFonts w:eastAsia="Cambria"/>
                <w:sz w:val="18"/>
                <w:szCs w:val="18"/>
                <w:lang w:val="en-GB" w:eastAsia="en-US"/>
              </w:rPr>
            </w:pPr>
          </w:p>
        </w:tc>
        <w:tc>
          <w:tcPr>
            <w:tcW w:w="7041" w:type="dxa"/>
            <w:shd w:val="clear" w:color="auto" w:fill="auto"/>
          </w:tcPr>
          <w:p w14:paraId="5139727F">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720" w:type="dxa"/>
          </w:tcPr>
          <w:p w14:paraId="6A2AE76D">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4</w:t>
            </w:r>
          </w:p>
        </w:tc>
        <w:tc>
          <w:tcPr>
            <w:tcW w:w="4320" w:type="dxa"/>
          </w:tcPr>
          <w:p w14:paraId="7A54DE1B">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The selection of SNPs was based on multiple criteria, such as a clumping window of 10,000 kb to consider physical proximity, a strong linkage disequilibrium threshold (r2&lt; 0.001), and a genome-wide significance cutoff (p &lt; 5×10-8) to establish reliable associations with the exposure.</w:t>
            </w:r>
          </w:p>
          <w:p w14:paraId="057C5701">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In every analysis, SNPs that showed significant associations with the outcome (p &lt; 5×10⁻⁸) were removed to reduce bias and maintain compliance with the assumptions of MR.</w:t>
            </w:r>
          </w:p>
          <w:p w14:paraId="5FA14890">
            <w:pPr>
              <w:spacing w:before="96" w:beforeLines="40" w:after="96" w:afterLines="40" w:line="24" w:lineRule="atLeast"/>
              <w:rPr>
                <w:rFonts w:hint="eastAsia" w:eastAsia="Times New Roman"/>
                <w:sz w:val="18"/>
                <w:szCs w:val="18"/>
                <w:lang w:val="en-GB" w:eastAsia="en-GB"/>
              </w:rPr>
            </w:pPr>
          </w:p>
        </w:tc>
      </w:tr>
      <w:tr w14:paraId="6209F8C8">
        <w:tblPrEx>
          <w:tblCellMar>
            <w:top w:w="0" w:type="dxa"/>
            <w:left w:w="108" w:type="dxa"/>
            <w:bottom w:w="0" w:type="dxa"/>
            <w:right w:w="108" w:type="dxa"/>
          </w:tblCellMar>
        </w:tblPrEx>
        <w:tc>
          <w:tcPr>
            <w:tcW w:w="587" w:type="dxa"/>
            <w:shd w:val="clear" w:color="auto" w:fill="EEEEEE"/>
          </w:tcPr>
          <w:p w14:paraId="6FA239C8">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6</w:t>
            </w:r>
          </w:p>
        </w:tc>
        <w:tc>
          <w:tcPr>
            <w:tcW w:w="1822" w:type="dxa"/>
            <w:shd w:val="clear" w:color="auto" w:fill="EEEEEE"/>
          </w:tcPr>
          <w:p w14:paraId="3D8F9E93">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Statistical methods: main analysis</w:t>
            </w:r>
          </w:p>
        </w:tc>
        <w:tc>
          <w:tcPr>
            <w:tcW w:w="7041" w:type="dxa"/>
            <w:shd w:val="clear" w:color="auto" w:fill="EEEEEE"/>
          </w:tcPr>
          <w:p w14:paraId="49C33D0D">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statistical methods and statistics used</w:t>
            </w:r>
          </w:p>
        </w:tc>
        <w:tc>
          <w:tcPr>
            <w:tcW w:w="720" w:type="dxa"/>
            <w:shd w:val="clear" w:color="auto" w:fill="EEEEEE"/>
          </w:tcPr>
          <w:p w14:paraId="0D1191BA">
            <w:pPr>
              <w:spacing w:before="96" w:beforeLines="40" w:after="96" w:afterLines="40" w:line="24" w:lineRule="atLeast"/>
              <w:rPr>
                <w:rFonts w:eastAsia="Times New Roman"/>
                <w:sz w:val="18"/>
                <w:szCs w:val="18"/>
                <w:lang w:val="en-GB" w:eastAsia="en-GB"/>
              </w:rPr>
            </w:pPr>
          </w:p>
        </w:tc>
        <w:tc>
          <w:tcPr>
            <w:tcW w:w="4320" w:type="dxa"/>
            <w:shd w:val="clear" w:color="auto" w:fill="EEEEEE"/>
          </w:tcPr>
          <w:p w14:paraId="75DF0C4B">
            <w:pPr>
              <w:spacing w:before="96" w:beforeLines="40" w:after="96" w:afterLines="40" w:line="24" w:lineRule="atLeast"/>
              <w:rPr>
                <w:rFonts w:eastAsia="Times New Roman"/>
                <w:sz w:val="18"/>
                <w:szCs w:val="18"/>
                <w:lang w:val="en-GB" w:eastAsia="en-GB"/>
              </w:rPr>
            </w:pPr>
          </w:p>
        </w:tc>
      </w:tr>
      <w:tr w14:paraId="4346E621">
        <w:tblPrEx>
          <w:tblCellMar>
            <w:top w:w="0" w:type="dxa"/>
            <w:left w:w="108" w:type="dxa"/>
            <w:bottom w:w="0" w:type="dxa"/>
            <w:right w:w="108" w:type="dxa"/>
          </w:tblCellMar>
        </w:tblPrEx>
        <w:tc>
          <w:tcPr>
            <w:tcW w:w="587" w:type="dxa"/>
            <w:shd w:val="clear" w:color="auto" w:fill="auto"/>
          </w:tcPr>
          <w:p w14:paraId="339A016D">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3635743C">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3BB90022">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how quantitative variables were handled in the analyses (i.e., scale, units, model)</w:t>
            </w:r>
          </w:p>
        </w:tc>
        <w:tc>
          <w:tcPr>
            <w:tcW w:w="720" w:type="dxa"/>
          </w:tcPr>
          <w:p w14:paraId="22720A53">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Table1；4</w:t>
            </w:r>
          </w:p>
        </w:tc>
        <w:tc>
          <w:tcPr>
            <w:tcW w:w="4320" w:type="dxa"/>
          </w:tcPr>
          <w:p w14:paraId="76159846">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All statistical analyses were carried out with R software (version 4.3.2) and the TwoSampleMR package (version 0.5.10).</w:t>
            </w:r>
          </w:p>
        </w:tc>
      </w:tr>
      <w:tr w14:paraId="642A4D4B">
        <w:tblPrEx>
          <w:tblCellMar>
            <w:top w:w="0" w:type="dxa"/>
            <w:left w:w="108" w:type="dxa"/>
            <w:bottom w:w="0" w:type="dxa"/>
            <w:right w:w="108" w:type="dxa"/>
          </w:tblCellMar>
        </w:tblPrEx>
        <w:tc>
          <w:tcPr>
            <w:tcW w:w="587" w:type="dxa"/>
            <w:shd w:val="clear" w:color="auto" w:fill="EEEEEE"/>
          </w:tcPr>
          <w:p w14:paraId="11F7484C">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569D49F3">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6B2ACDE9">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how genetic variants were handled in the analyses and, if applicable, how their weights were selected</w:t>
            </w:r>
          </w:p>
        </w:tc>
        <w:tc>
          <w:tcPr>
            <w:tcW w:w="720" w:type="dxa"/>
            <w:shd w:val="clear" w:color="auto" w:fill="EEEEEE"/>
          </w:tcPr>
          <w:p w14:paraId="0DAE64B0">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4</w:t>
            </w:r>
          </w:p>
        </w:tc>
        <w:tc>
          <w:tcPr>
            <w:tcW w:w="4320" w:type="dxa"/>
            <w:shd w:val="clear" w:color="auto" w:fill="EEEEEE"/>
          </w:tcPr>
          <w:p w14:paraId="1612F89F">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IVs, typically single nucleotide polymorphisms (SNPs), serve as proxies for the exposure in MR studies to infer causality.</w:t>
            </w:r>
          </w:p>
          <w:p w14:paraId="22A06DD7">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The selection of SNPs was based on multiple criteria, such as a clumping window of 10,000 kb to consider physical proximity, a strong linkage disequilibrium threshold (r2&lt; 0.001), and a genome-wide significance cutoff (p &lt; 5×10-8) to establish reliable associations with the exposure.</w:t>
            </w:r>
          </w:p>
          <w:p w14:paraId="241CB78E">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In every analysis, SNPs that showed significant associations with the outcome (p &lt; 5×10⁻⁸) were removed to reduce bias and maintain compliance with the assumptions of MR.</w:t>
            </w:r>
          </w:p>
        </w:tc>
      </w:tr>
      <w:tr w14:paraId="70378831">
        <w:tblPrEx>
          <w:tblCellMar>
            <w:top w:w="0" w:type="dxa"/>
            <w:left w:w="108" w:type="dxa"/>
            <w:bottom w:w="0" w:type="dxa"/>
            <w:right w:w="108" w:type="dxa"/>
          </w:tblCellMar>
        </w:tblPrEx>
        <w:tc>
          <w:tcPr>
            <w:tcW w:w="587" w:type="dxa"/>
            <w:shd w:val="clear" w:color="auto" w:fill="auto"/>
          </w:tcPr>
          <w:p w14:paraId="45E41495">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59F665E7">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14:paraId="5CB03D96">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720" w:type="dxa"/>
          </w:tcPr>
          <w:p w14:paraId="7B7E7C35">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4</w:t>
            </w:r>
          </w:p>
        </w:tc>
        <w:tc>
          <w:tcPr>
            <w:tcW w:w="4320" w:type="dxa"/>
          </w:tcPr>
          <w:p w14:paraId="334D44EB">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Given its superior performance over the other two methods (Weighted Median and MR-Egger), the inverse-variance weighted (IVW) approach is considered the primary method for identifying causal linkages in this study.</w:t>
            </w:r>
          </w:p>
          <w:p w14:paraId="53EBEE7F">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The MR-Egger method, which accommodates non-zero intercepts, was applied to evaluate horizontal pleiotropy.</w:t>
            </w:r>
          </w:p>
        </w:tc>
      </w:tr>
      <w:tr w14:paraId="0D8F3A7E">
        <w:tblPrEx>
          <w:tblCellMar>
            <w:top w:w="0" w:type="dxa"/>
            <w:left w:w="108" w:type="dxa"/>
            <w:bottom w:w="0" w:type="dxa"/>
            <w:right w:w="108" w:type="dxa"/>
          </w:tblCellMar>
        </w:tblPrEx>
        <w:tc>
          <w:tcPr>
            <w:tcW w:w="587" w:type="dxa"/>
            <w:shd w:val="clear" w:color="auto" w:fill="EEEEEE"/>
          </w:tcPr>
          <w:p w14:paraId="1D70C4CD">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0A3AAFD6">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EEEEEE"/>
          </w:tcPr>
          <w:p w14:paraId="08786389">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Explain how missing data were addressed</w:t>
            </w:r>
          </w:p>
        </w:tc>
        <w:tc>
          <w:tcPr>
            <w:tcW w:w="720" w:type="dxa"/>
            <w:shd w:val="clear" w:color="auto" w:fill="EEEEEE"/>
          </w:tcPr>
          <w:p w14:paraId="297C3632">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N/A</w:t>
            </w:r>
          </w:p>
        </w:tc>
        <w:tc>
          <w:tcPr>
            <w:tcW w:w="4320" w:type="dxa"/>
            <w:shd w:val="clear" w:color="auto" w:fill="EEEEEE"/>
          </w:tcPr>
          <w:p w14:paraId="16808665">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N/A</w:t>
            </w:r>
          </w:p>
        </w:tc>
      </w:tr>
      <w:tr w14:paraId="77F037B8">
        <w:tblPrEx>
          <w:tblCellMar>
            <w:top w:w="0" w:type="dxa"/>
            <w:left w:w="108" w:type="dxa"/>
            <w:bottom w:w="0" w:type="dxa"/>
            <w:right w:w="108" w:type="dxa"/>
          </w:tblCellMar>
        </w:tblPrEx>
        <w:tc>
          <w:tcPr>
            <w:tcW w:w="587" w:type="dxa"/>
            <w:shd w:val="clear" w:color="auto" w:fill="auto"/>
          </w:tcPr>
          <w:p w14:paraId="4AC39E55">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4D9E0350">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7041" w:type="dxa"/>
            <w:shd w:val="clear" w:color="auto" w:fill="auto"/>
          </w:tcPr>
          <w:p w14:paraId="41F1E52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applicable, indicate how multiple testing was addressed</w:t>
            </w:r>
          </w:p>
        </w:tc>
        <w:tc>
          <w:tcPr>
            <w:tcW w:w="720" w:type="dxa"/>
          </w:tcPr>
          <w:p w14:paraId="6B5C4982">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4</w:t>
            </w:r>
          </w:p>
        </w:tc>
        <w:tc>
          <w:tcPr>
            <w:tcW w:w="4320" w:type="dxa"/>
          </w:tcPr>
          <w:p w14:paraId="490E44D4">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To minimize the false discovery rate (FDR) during the multiple hypothesis testing process, we applied FDR adjustments.</w:t>
            </w:r>
          </w:p>
        </w:tc>
      </w:tr>
      <w:tr w14:paraId="585043CE">
        <w:tblPrEx>
          <w:tblCellMar>
            <w:top w:w="0" w:type="dxa"/>
            <w:left w:w="108" w:type="dxa"/>
            <w:bottom w:w="0" w:type="dxa"/>
            <w:right w:w="108" w:type="dxa"/>
          </w:tblCellMar>
        </w:tblPrEx>
        <w:tc>
          <w:tcPr>
            <w:tcW w:w="587" w:type="dxa"/>
            <w:shd w:val="clear" w:color="auto" w:fill="EEEEEE"/>
          </w:tcPr>
          <w:p w14:paraId="55967D09">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7</w:t>
            </w:r>
          </w:p>
        </w:tc>
        <w:tc>
          <w:tcPr>
            <w:tcW w:w="1822" w:type="dxa"/>
            <w:shd w:val="clear" w:color="auto" w:fill="EEEEEE"/>
          </w:tcPr>
          <w:p w14:paraId="0947B164">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7041" w:type="dxa"/>
            <w:shd w:val="clear" w:color="auto" w:fill="EEEEEE"/>
          </w:tcPr>
          <w:p w14:paraId="1E6D0B1E">
            <w:pPr>
              <w:tabs>
                <w:tab w:val="left" w:pos="1620"/>
              </w:tabs>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any methods or prior knowledge used to assess the assumptions or justify their validity</w:t>
            </w:r>
            <w:r>
              <w:rPr>
                <w:rFonts w:eastAsia="Cambria"/>
                <w:sz w:val="18"/>
                <w:szCs w:val="18"/>
                <w:lang w:val="en-GB" w:eastAsia="en-US"/>
              </w:rPr>
              <w:tab/>
            </w:r>
          </w:p>
        </w:tc>
        <w:tc>
          <w:tcPr>
            <w:tcW w:w="720" w:type="dxa"/>
            <w:shd w:val="clear" w:color="auto" w:fill="EEEEEE"/>
          </w:tcPr>
          <w:p w14:paraId="61C50F74">
            <w:pPr>
              <w:tabs>
                <w:tab w:val="left" w:pos="1620"/>
              </w:tabs>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4</w:t>
            </w:r>
          </w:p>
        </w:tc>
        <w:tc>
          <w:tcPr>
            <w:tcW w:w="4320" w:type="dxa"/>
            <w:shd w:val="clear" w:color="auto" w:fill="EEEEEE"/>
          </w:tcPr>
          <w:p w14:paraId="5D46DB2B">
            <w:pPr>
              <w:tabs>
                <w:tab w:val="left" w:pos="1620"/>
              </w:tabs>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In every analysis, SNPs that showed significant associations with the outcome (p &lt; 5×10⁻⁸) were removed to reduce bias and maintain compliance with the assumptions of MR.</w:t>
            </w:r>
          </w:p>
          <w:p w14:paraId="50C800E0">
            <w:pPr>
              <w:tabs>
                <w:tab w:val="left" w:pos="1620"/>
              </w:tabs>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The MR-Egger method, which accommodates non-zero intercepts, was applied to evaluate horizontal pleiotropy.</w:t>
            </w:r>
          </w:p>
        </w:tc>
      </w:tr>
      <w:tr w14:paraId="383932D9">
        <w:tblPrEx>
          <w:tblCellMar>
            <w:top w:w="0" w:type="dxa"/>
            <w:left w:w="108" w:type="dxa"/>
            <w:bottom w:w="0" w:type="dxa"/>
            <w:right w:w="108" w:type="dxa"/>
          </w:tblCellMar>
        </w:tblPrEx>
        <w:tc>
          <w:tcPr>
            <w:tcW w:w="587" w:type="dxa"/>
            <w:shd w:val="clear" w:color="auto" w:fill="auto"/>
          </w:tcPr>
          <w:p w14:paraId="1A4621BC">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8</w:t>
            </w:r>
          </w:p>
        </w:tc>
        <w:tc>
          <w:tcPr>
            <w:tcW w:w="1822" w:type="dxa"/>
            <w:shd w:val="clear" w:color="auto" w:fill="auto"/>
          </w:tcPr>
          <w:p w14:paraId="0F88F25B">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Sensitivity analyses and additional analyses</w:t>
            </w:r>
          </w:p>
        </w:tc>
        <w:tc>
          <w:tcPr>
            <w:tcW w:w="7041" w:type="dxa"/>
            <w:shd w:val="clear" w:color="auto" w:fill="auto"/>
          </w:tcPr>
          <w:p w14:paraId="13C6445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720" w:type="dxa"/>
          </w:tcPr>
          <w:p w14:paraId="4B9B6FF5">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4-5</w:t>
            </w:r>
          </w:p>
        </w:tc>
        <w:tc>
          <w:tcPr>
            <w:tcW w:w="4320" w:type="dxa"/>
          </w:tcPr>
          <w:p w14:paraId="229BFDFD">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In this study, the inverse-variance weighted (IVW) approach is regarded as the primary method for determining causal relationships due to its superior performance compared to the other two methods (Weighted Median and MR-Egger method). To ensure the IVW method operates correctly, horizontal pleiotropy must be either balanced or negligible. The MR-Egger method, which accommodates non-zero intercepts, was applied to evaluate horizontal pleiotropy. We applied false discovery rate (FDR) adjustments to lower the FDR during the multiple hypothesis testing procedure. Cochran's Q-test was applied to assess heterogeneity; if the p-value was below 0.05, a random-effects IVW model was implemented, whereas a fixed-effects IVW model was applied if the p-value exceeded 0.05. The MR-PRESSO technique was implemented to detect outliers. All statistical analyses were conducted with R software (version 4.3.2) and the TwoSampleMR package (version 0.5.10).</w:t>
            </w:r>
          </w:p>
        </w:tc>
      </w:tr>
      <w:tr w14:paraId="55C7A410">
        <w:tblPrEx>
          <w:tblCellMar>
            <w:top w:w="0" w:type="dxa"/>
            <w:left w:w="108" w:type="dxa"/>
            <w:bottom w:w="0" w:type="dxa"/>
            <w:right w:w="108" w:type="dxa"/>
          </w:tblCellMar>
        </w:tblPrEx>
        <w:tc>
          <w:tcPr>
            <w:tcW w:w="587" w:type="dxa"/>
            <w:shd w:val="clear" w:color="auto" w:fill="EEEEEE"/>
          </w:tcPr>
          <w:p w14:paraId="056075DE">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9</w:t>
            </w:r>
          </w:p>
        </w:tc>
        <w:tc>
          <w:tcPr>
            <w:tcW w:w="1822" w:type="dxa"/>
            <w:shd w:val="clear" w:color="auto" w:fill="EEEEEE"/>
          </w:tcPr>
          <w:p w14:paraId="6096809E">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Software and pre-registration</w:t>
            </w:r>
          </w:p>
        </w:tc>
        <w:tc>
          <w:tcPr>
            <w:tcW w:w="7041" w:type="dxa"/>
            <w:shd w:val="clear" w:color="auto" w:fill="EEEEEE"/>
          </w:tcPr>
          <w:p w14:paraId="08D1055E">
            <w:pPr>
              <w:spacing w:before="96" w:beforeLines="40" w:after="96" w:afterLines="40" w:line="24" w:lineRule="atLeast"/>
              <w:rPr>
                <w:rFonts w:eastAsia="Cambria"/>
                <w:sz w:val="18"/>
                <w:szCs w:val="18"/>
                <w:lang w:val="en-GB" w:eastAsia="en-US"/>
              </w:rPr>
            </w:pPr>
          </w:p>
        </w:tc>
        <w:tc>
          <w:tcPr>
            <w:tcW w:w="720" w:type="dxa"/>
            <w:shd w:val="clear" w:color="auto" w:fill="EEEEEE"/>
          </w:tcPr>
          <w:p w14:paraId="721E714E">
            <w:pPr>
              <w:spacing w:before="96" w:beforeLines="40" w:after="96" w:afterLines="40" w:line="24" w:lineRule="atLeast"/>
              <w:rPr>
                <w:rFonts w:eastAsia="Cambria"/>
                <w:sz w:val="18"/>
                <w:szCs w:val="18"/>
                <w:lang w:val="en-GB" w:eastAsia="en-US"/>
              </w:rPr>
            </w:pPr>
          </w:p>
        </w:tc>
        <w:tc>
          <w:tcPr>
            <w:tcW w:w="4320" w:type="dxa"/>
            <w:shd w:val="clear" w:color="auto" w:fill="EEEEEE"/>
          </w:tcPr>
          <w:p w14:paraId="495710C0">
            <w:pPr>
              <w:spacing w:before="96" w:beforeLines="40" w:after="96" w:afterLines="40" w:line="24" w:lineRule="atLeast"/>
              <w:rPr>
                <w:rFonts w:eastAsia="Cambria"/>
                <w:sz w:val="18"/>
                <w:szCs w:val="18"/>
                <w:lang w:val="en-GB" w:eastAsia="en-US"/>
              </w:rPr>
            </w:pPr>
          </w:p>
        </w:tc>
      </w:tr>
      <w:tr w14:paraId="5EA9EBD1">
        <w:tblPrEx>
          <w:tblCellMar>
            <w:top w:w="0" w:type="dxa"/>
            <w:left w:w="108" w:type="dxa"/>
            <w:bottom w:w="0" w:type="dxa"/>
            <w:right w:w="108" w:type="dxa"/>
          </w:tblCellMar>
        </w:tblPrEx>
        <w:tc>
          <w:tcPr>
            <w:tcW w:w="587" w:type="dxa"/>
            <w:shd w:val="clear" w:color="auto" w:fill="auto"/>
          </w:tcPr>
          <w:p w14:paraId="66EDED80">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50BD32B9">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054FBA47">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Name statistical software and package(s), including version and settings used </w:t>
            </w:r>
          </w:p>
        </w:tc>
        <w:tc>
          <w:tcPr>
            <w:tcW w:w="720" w:type="dxa"/>
          </w:tcPr>
          <w:p w14:paraId="305BB821">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4320" w:type="dxa"/>
          </w:tcPr>
          <w:p w14:paraId="79626260">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All statistical analyses were conducted with R software (version 4.3.2) and the TwoSampleMR package (version 0.5.10).</w:t>
            </w:r>
          </w:p>
        </w:tc>
      </w:tr>
      <w:tr w14:paraId="6A631D93">
        <w:tblPrEx>
          <w:tblCellMar>
            <w:top w:w="0" w:type="dxa"/>
            <w:left w:w="108" w:type="dxa"/>
            <w:bottom w:w="0" w:type="dxa"/>
            <w:right w:w="108" w:type="dxa"/>
          </w:tblCellMar>
        </w:tblPrEx>
        <w:tc>
          <w:tcPr>
            <w:tcW w:w="587" w:type="dxa"/>
            <w:tcBorders>
              <w:bottom w:val="single" w:color="7F7F7F" w:sz="6" w:space="0"/>
            </w:tcBorders>
            <w:shd w:val="clear" w:color="auto" w:fill="EEEEEE"/>
          </w:tcPr>
          <w:p w14:paraId="37C88958">
            <w:pPr>
              <w:spacing w:before="96" w:beforeLines="40" w:after="96" w:afterLines="40" w:line="24" w:lineRule="atLeast"/>
              <w:jc w:val="right"/>
              <w:rPr>
                <w:rFonts w:eastAsia="Cambria"/>
                <w:b/>
                <w:bCs/>
                <w:sz w:val="18"/>
                <w:szCs w:val="18"/>
                <w:lang w:val="en-GB" w:eastAsia="en-US"/>
              </w:rPr>
            </w:pPr>
          </w:p>
        </w:tc>
        <w:tc>
          <w:tcPr>
            <w:tcW w:w="1822" w:type="dxa"/>
            <w:tcBorders>
              <w:bottom w:val="single" w:color="7F7F7F" w:sz="6" w:space="0"/>
            </w:tcBorders>
            <w:shd w:val="clear" w:color="auto" w:fill="EEEEEE"/>
          </w:tcPr>
          <w:p w14:paraId="2349B556">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tcBorders>
              <w:bottom w:val="single" w:color="7F7F7F" w:sz="6" w:space="0"/>
            </w:tcBorders>
            <w:shd w:val="clear" w:color="auto" w:fill="EEEEEE"/>
          </w:tcPr>
          <w:p w14:paraId="5DBE58D7">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State whether the study protocol and details were pre-registered (as well as when and where)</w:t>
            </w:r>
          </w:p>
        </w:tc>
        <w:tc>
          <w:tcPr>
            <w:tcW w:w="720" w:type="dxa"/>
            <w:tcBorders>
              <w:bottom w:val="single" w:color="7F7F7F" w:sz="6" w:space="0"/>
            </w:tcBorders>
            <w:shd w:val="clear" w:color="auto" w:fill="EEEEEE"/>
          </w:tcPr>
          <w:p w14:paraId="2325504F">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N/A</w:t>
            </w:r>
          </w:p>
        </w:tc>
        <w:tc>
          <w:tcPr>
            <w:tcW w:w="4320" w:type="dxa"/>
            <w:tcBorders>
              <w:bottom w:val="single" w:color="7F7F7F" w:sz="6" w:space="0"/>
            </w:tcBorders>
            <w:shd w:val="clear" w:color="auto" w:fill="EEEEEE"/>
          </w:tcPr>
          <w:p w14:paraId="3EFCD231">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The study does not mention any pre-registration of the study protocol or details.</w:t>
            </w:r>
          </w:p>
        </w:tc>
      </w:tr>
      <w:tr w14:paraId="040F15E5">
        <w:tblPrEx>
          <w:tblCellMar>
            <w:top w:w="0" w:type="dxa"/>
            <w:left w:w="108" w:type="dxa"/>
            <w:bottom w:w="0" w:type="dxa"/>
            <w:right w:w="108" w:type="dxa"/>
          </w:tblCellMar>
        </w:tblPrEx>
        <w:tc>
          <w:tcPr>
            <w:tcW w:w="587" w:type="dxa"/>
            <w:tcBorders>
              <w:top w:val="single" w:color="7F7F7F" w:sz="6" w:space="0"/>
            </w:tcBorders>
            <w:shd w:val="clear" w:color="auto" w:fill="auto"/>
          </w:tcPr>
          <w:p w14:paraId="777278B3">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14:paraId="7D8D653B">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RESULTS</w:t>
            </w:r>
          </w:p>
        </w:tc>
        <w:tc>
          <w:tcPr>
            <w:tcW w:w="7041" w:type="dxa"/>
            <w:tcBorders>
              <w:top w:val="single" w:color="7F7F7F" w:sz="6" w:space="0"/>
            </w:tcBorders>
            <w:shd w:val="clear" w:color="auto" w:fill="auto"/>
          </w:tcPr>
          <w:p w14:paraId="34719287">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tcPr>
          <w:p w14:paraId="0E355A69">
            <w:pPr>
              <w:spacing w:before="96" w:beforeLines="40" w:after="96" w:afterLines="40" w:line="24" w:lineRule="atLeast"/>
              <w:rPr>
                <w:rFonts w:eastAsia="Cambria"/>
                <w:sz w:val="18"/>
                <w:szCs w:val="18"/>
                <w:lang w:val="en-GB" w:eastAsia="en-US"/>
              </w:rPr>
            </w:pPr>
          </w:p>
        </w:tc>
        <w:tc>
          <w:tcPr>
            <w:tcW w:w="4320" w:type="dxa"/>
            <w:tcBorders>
              <w:top w:val="single" w:color="7F7F7F" w:sz="6" w:space="0"/>
            </w:tcBorders>
          </w:tcPr>
          <w:p w14:paraId="33E956D1">
            <w:pPr>
              <w:spacing w:before="96" w:beforeLines="40" w:after="96" w:afterLines="40" w:line="24" w:lineRule="atLeast"/>
              <w:rPr>
                <w:rFonts w:eastAsia="Cambria"/>
                <w:sz w:val="18"/>
                <w:szCs w:val="18"/>
                <w:lang w:val="en-GB" w:eastAsia="en-US"/>
              </w:rPr>
            </w:pPr>
          </w:p>
        </w:tc>
      </w:tr>
      <w:tr w14:paraId="67F47EED">
        <w:tblPrEx>
          <w:tblCellMar>
            <w:top w:w="0" w:type="dxa"/>
            <w:left w:w="108" w:type="dxa"/>
            <w:bottom w:w="0" w:type="dxa"/>
            <w:right w:w="108" w:type="dxa"/>
          </w:tblCellMar>
        </w:tblPrEx>
        <w:tc>
          <w:tcPr>
            <w:tcW w:w="587" w:type="dxa"/>
            <w:shd w:val="clear" w:color="auto" w:fill="EEEEEE"/>
          </w:tcPr>
          <w:p w14:paraId="51C7A54B">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10</w:t>
            </w:r>
          </w:p>
        </w:tc>
        <w:tc>
          <w:tcPr>
            <w:tcW w:w="1822" w:type="dxa"/>
            <w:shd w:val="clear" w:color="auto" w:fill="EEEEEE"/>
          </w:tcPr>
          <w:p w14:paraId="731D0370">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Descriptive data</w:t>
            </w:r>
          </w:p>
        </w:tc>
        <w:tc>
          <w:tcPr>
            <w:tcW w:w="7041" w:type="dxa"/>
            <w:shd w:val="clear" w:color="auto" w:fill="EEEEEE"/>
          </w:tcPr>
          <w:p w14:paraId="3B19CDAF">
            <w:pPr>
              <w:spacing w:before="96" w:beforeLines="40" w:after="96" w:afterLines="40" w:line="24" w:lineRule="atLeast"/>
              <w:rPr>
                <w:rFonts w:eastAsia="Cambria"/>
                <w:sz w:val="18"/>
                <w:szCs w:val="18"/>
                <w:lang w:val="en-GB" w:eastAsia="en-US"/>
              </w:rPr>
            </w:pPr>
          </w:p>
        </w:tc>
        <w:tc>
          <w:tcPr>
            <w:tcW w:w="720" w:type="dxa"/>
            <w:shd w:val="clear" w:color="auto" w:fill="EEEEEE"/>
          </w:tcPr>
          <w:p w14:paraId="1091FF57">
            <w:pPr>
              <w:spacing w:before="96" w:beforeLines="40" w:after="96" w:afterLines="40" w:line="24" w:lineRule="atLeast"/>
              <w:rPr>
                <w:rFonts w:eastAsia="Cambria"/>
                <w:sz w:val="18"/>
                <w:szCs w:val="18"/>
                <w:lang w:val="en-GB" w:eastAsia="en-US"/>
              </w:rPr>
            </w:pPr>
          </w:p>
        </w:tc>
        <w:tc>
          <w:tcPr>
            <w:tcW w:w="4320" w:type="dxa"/>
            <w:shd w:val="clear" w:color="auto" w:fill="EEEEEE"/>
          </w:tcPr>
          <w:p w14:paraId="4B684E79">
            <w:pPr>
              <w:spacing w:before="96" w:beforeLines="40" w:after="96" w:afterLines="40" w:line="24" w:lineRule="atLeast"/>
              <w:rPr>
                <w:rFonts w:eastAsia="Cambria"/>
                <w:sz w:val="18"/>
                <w:szCs w:val="18"/>
                <w:lang w:val="en-GB" w:eastAsia="en-US"/>
              </w:rPr>
            </w:pPr>
          </w:p>
        </w:tc>
      </w:tr>
      <w:tr w14:paraId="6CA228D1">
        <w:tblPrEx>
          <w:tblCellMar>
            <w:top w:w="0" w:type="dxa"/>
            <w:left w:w="108" w:type="dxa"/>
            <w:bottom w:w="0" w:type="dxa"/>
            <w:right w:w="108" w:type="dxa"/>
          </w:tblCellMar>
        </w:tblPrEx>
        <w:tc>
          <w:tcPr>
            <w:tcW w:w="587" w:type="dxa"/>
            <w:shd w:val="clear" w:color="auto" w:fill="auto"/>
          </w:tcPr>
          <w:p w14:paraId="29B62776">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4C1499C8">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4D5C652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numbers of individuals at each stage of included studies and reasons for exclusion. Consider use of a flow diagram</w:t>
            </w:r>
          </w:p>
        </w:tc>
        <w:tc>
          <w:tcPr>
            <w:tcW w:w="720" w:type="dxa"/>
          </w:tcPr>
          <w:p w14:paraId="7AF8CC23">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Figure 1</w:t>
            </w:r>
          </w:p>
        </w:tc>
        <w:tc>
          <w:tcPr>
            <w:tcW w:w="4320" w:type="dxa"/>
          </w:tcPr>
          <w:p w14:paraId="00D65497">
            <w:pPr>
              <w:spacing w:before="96" w:beforeLines="40" w:after="96" w:afterLines="40" w:line="24" w:lineRule="atLeast"/>
              <w:rPr>
                <w:rFonts w:eastAsia="Times New Roman"/>
                <w:sz w:val="18"/>
                <w:szCs w:val="18"/>
                <w:lang w:val="en-GB" w:eastAsia="en-GB"/>
              </w:rPr>
            </w:pPr>
            <w:r>
              <w:rPr>
                <w:rFonts w:hint="eastAsia" w:eastAsia="宋体"/>
                <w:sz w:val="18"/>
                <w:szCs w:val="18"/>
                <w:lang w:val="en-US" w:eastAsia="zh-CN"/>
              </w:rPr>
              <w:t>Figure 1</w:t>
            </w:r>
          </w:p>
        </w:tc>
      </w:tr>
      <w:tr w14:paraId="0765C344">
        <w:tblPrEx>
          <w:tblCellMar>
            <w:top w:w="0" w:type="dxa"/>
            <w:left w:w="108" w:type="dxa"/>
            <w:bottom w:w="0" w:type="dxa"/>
            <w:right w:w="108" w:type="dxa"/>
          </w:tblCellMar>
        </w:tblPrEx>
        <w:tc>
          <w:tcPr>
            <w:tcW w:w="587" w:type="dxa"/>
            <w:shd w:val="clear" w:color="auto" w:fill="EEEEEE"/>
          </w:tcPr>
          <w:p w14:paraId="2404BFFB">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6545C2F1">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405491AF">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Report summary statistics for phenotypic exposure(s), outcome(s), and other relevant variables (e.g. means, SDs, proportions)</w:t>
            </w:r>
          </w:p>
        </w:tc>
        <w:tc>
          <w:tcPr>
            <w:tcW w:w="720" w:type="dxa"/>
            <w:shd w:val="clear" w:color="auto" w:fill="EEEEEE"/>
          </w:tcPr>
          <w:p w14:paraId="03BBA613">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N/A</w:t>
            </w:r>
          </w:p>
        </w:tc>
        <w:tc>
          <w:tcPr>
            <w:tcW w:w="4320" w:type="dxa"/>
            <w:shd w:val="clear" w:color="auto" w:fill="EEEEEE"/>
          </w:tcPr>
          <w:p w14:paraId="0FD9D468">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The study focuses on examining the causal relationship between BMI, metabolic traits, and cholelithiasis using Mendelian Randomization analysis, but specific descriptive statistics for the data used are not included in the provided content.</w:t>
            </w:r>
          </w:p>
        </w:tc>
      </w:tr>
      <w:tr w14:paraId="48F10342">
        <w:tblPrEx>
          <w:tblCellMar>
            <w:top w:w="0" w:type="dxa"/>
            <w:left w:w="108" w:type="dxa"/>
            <w:bottom w:w="0" w:type="dxa"/>
            <w:right w:w="108" w:type="dxa"/>
          </w:tblCellMar>
        </w:tblPrEx>
        <w:tc>
          <w:tcPr>
            <w:tcW w:w="587" w:type="dxa"/>
            <w:shd w:val="clear" w:color="auto" w:fill="auto"/>
          </w:tcPr>
          <w:p w14:paraId="6600AF43">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435099F2">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14:paraId="062EB561">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the data sources include meta-analyses of previous studies, provide the assessments of heterogeneity across these studies</w:t>
            </w:r>
          </w:p>
        </w:tc>
        <w:tc>
          <w:tcPr>
            <w:tcW w:w="720" w:type="dxa"/>
          </w:tcPr>
          <w:p w14:paraId="10F6EF39">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4320" w:type="dxa"/>
          </w:tcPr>
          <w:p w14:paraId="449D40FD">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 xml:space="preserve">The study applied Cochran's Q-test to assess heterogeneity. If the p-value was below 0.05, a random-effects IVW model was implemented; otherwise, a fixed-effects IVW model was applied. </w:t>
            </w:r>
          </w:p>
        </w:tc>
      </w:tr>
      <w:tr w14:paraId="51930A8C">
        <w:tblPrEx>
          <w:tblCellMar>
            <w:top w:w="0" w:type="dxa"/>
            <w:left w:w="108" w:type="dxa"/>
            <w:bottom w:w="0" w:type="dxa"/>
            <w:right w:w="108" w:type="dxa"/>
          </w:tblCellMar>
        </w:tblPrEx>
        <w:tc>
          <w:tcPr>
            <w:tcW w:w="587" w:type="dxa"/>
            <w:shd w:val="clear" w:color="auto" w:fill="EEEEEE"/>
          </w:tcPr>
          <w:p w14:paraId="6116DD95">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453F7877">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EEEEEE"/>
          </w:tcPr>
          <w:p w14:paraId="2EFD572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For </w:t>
            </w:r>
            <w:r>
              <w:rPr>
                <w:rFonts w:eastAsia="Times New Roman"/>
                <w:iCs/>
                <w:sz w:val="18"/>
                <w:szCs w:val="18"/>
                <w:lang w:val="en-GB" w:eastAsia="en-GB"/>
              </w:rPr>
              <w:t>two-sample</w:t>
            </w:r>
            <w:r>
              <w:rPr>
                <w:rFonts w:eastAsia="Times New Roman"/>
                <w:sz w:val="18"/>
                <w:szCs w:val="18"/>
                <w:lang w:val="en-GB" w:eastAsia="en-GB"/>
              </w:rPr>
              <w:t xml:space="preserve"> MR:</w:t>
            </w:r>
          </w:p>
          <w:p w14:paraId="48065368">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   i.  Provide justification of the similarity of the genetic variant-exposure associations between the exposure and outcome samples</w:t>
            </w:r>
          </w:p>
          <w:p w14:paraId="35BA9280">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   ii.  Provide information on the number of individuals who overlap between the exposure and outcome studies</w:t>
            </w:r>
          </w:p>
        </w:tc>
        <w:tc>
          <w:tcPr>
            <w:tcW w:w="720" w:type="dxa"/>
            <w:shd w:val="clear" w:color="auto" w:fill="EEEEEE"/>
          </w:tcPr>
          <w:p w14:paraId="4948EE3D">
            <w:pPr>
              <w:spacing w:before="96" w:beforeLines="40" w:after="96" w:afterLines="40" w:line="24" w:lineRule="atLeast"/>
              <w:rPr>
                <w:rFonts w:eastAsia="Times New Roman"/>
                <w:sz w:val="18"/>
                <w:szCs w:val="18"/>
                <w:lang w:val="en-GB" w:eastAsia="en-GB"/>
              </w:rPr>
            </w:pPr>
          </w:p>
        </w:tc>
        <w:tc>
          <w:tcPr>
            <w:tcW w:w="4320" w:type="dxa"/>
            <w:shd w:val="clear" w:color="auto" w:fill="EEEEEE"/>
          </w:tcPr>
          <w:p w14:paraId="30530451">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i. To minimize sample overlap, BMI from the GIANT consortium (id: ieu-a-835) was chosen as the exposure, and cholelithiasis from the FinnGen Biobank as the outcome, to examine whether BMI is associated with cholelithiasis and whether it influences cholelithiasis risk through its effects on blood metabolites.</w:t>
            </w:r>
          </w:p>
          <w:p w14:paraId="73B93397">
            <w:pPr>
              <w:spacing w:before="96" w:beforeLines="40" w:after="96" w:afterLines="40" w:line="24" w:lineRule="atLeast"/>
              <w:rPr>
                <w:rFonts w:hint="eastAsia" w:eastAsia="Times New Roman"/>
                <w:sz w:val="18"/>
                <w:szCs w:val="18"/>
                <w:lang w:val="en-GB" w:eastAsia="en-GB"/>
              </w:rPr>
            </w:pPr>
          </w:p>
          <w:p w14:paraId="5B2A1A71">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ii. The original text does not provide specific information on the number of individuals who overlap between the exposure and outcome studies, but steps were taken to minimize overlap by choosing distinct sources for BMI and cholelithiasis data.</w:t>
            </w:r>
          </w:p>
        </w:tc>
      </w:tr>
      <w:tr w14:paraId="52CFCA59">
        <w:tblPrEx>
          <w:tblCellMar>
            <w:top w:w="0" w:type="dxa"/>
            <w:left w:w="108" w:type="dxa"/>
            <w:bottom w:w="0" w:type="dxa"/>
            <w:right w:w="108" w:type="dxa"/>
          </w:tblCellMar>
        </w:tblPrEx>
        <w:tc>
          <w:tcPr>
            <w:tcW w:w="587" w:type="dxa"/>
            <w:shd w:val="clear" w:color="auto" w:fill="auto"/>
          </w:tcPr>
          <w:p w14:paraId="110872BB">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11</w:t>
            </w:r>
          </w:p>
        </w:tc>
        <w:tc>
          <w:tcPr>
            <w:tcW w:w="1822" w:type="dxa"/>
            <w:shd w:val="clear" w:color="auto" w:fill="auto"/>
          </w:tcPr>
          <w:p w14:paraId="0C26298F">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Main results</w:t>
            </w:r>
          </w:p>
        </w:tc>
        <w:tc>
          <w:tcPr>
            <w:tcW w:w="7041" w:type="dxa"/>
            <w:shd w:val="clear" w:color="auto" w:fill="auto"/>
          </w:tcPr>
          <w:p w14:paraId="2F14FA37">
            <w:pPr>
              <w:spacing w:before="96" w:beforeLines="40" w:after="96" w:afterLines="40" w:line="24" w:lineRule="atLeast"/>
              <w:rPr>
                <w:rFonts w:eastAsia="Cambria"/>
                <w:sz w:val="18"/>
                <w:szCs w:val="18"/>
                <w:lang w:val="en-GB" w:eastAsia="en-US"/>
              </w:rPr>
            </w:pPr>
          </w:p>
        </w:tc>
        <w:tc>
          <w:tcPr>
            <w:tcW w:w="720" w:type="dxa"/>
          </w:tcPr>
          <w:p w14:paraId="035B3367">
            <w:pPr>
              <w:spacing w:before="96" w:beforeLines="40" w:after="96" w:afterLines="40" w:line="24" w:lineRule="atLeast"/>
              <w:rPr>
                <w:rFonts w:eastAsia="Cambria"/>
                <w:sz w:val="18"/>
                <w:szCs w:val="18"/>
                <w:lang w:val="en-GB" w:eastAsia="en-US"/>
              </w:rPr>
            </w:pPr>
          </w:p>
        </w:tc>
        <w:tc>
          <w:tcPr>
            <w:tcW w:w="4320" w:type="dxa"/>
          </w:tcPr>
          <w:p w14:paraId="0AFA0083">
            <w:pPr>
              <w:spacing w:before="96" w:beforeLines="40" w:after="96" w:afterLines="40" w:line="24" w:lineRule="atLeast"/>
              <w:rPr>
                <w:rFonts w:eastAsia="Cambria"/>
                <w:sz w:val="18"/>
                <w:szCs w:val="18"/>
                <w:lang w:val="en-GB" w:eastAsia="en-US"/>
              </w:rPr>
            </w:pPr>
          </w:p>
        </w:tc>
      </w:tr>
      <w:tr w14:paraId="56845A2A">
        <w:tblPrEx>
          <w:tblCellMar>
            <w:top w:w="0" w:type="dxa"/>
            <w:left w:w="108" w:type="dxa"/>
            <w:bottom w:w="0" w:type="dxa"/>
            <w:right w:w="108" w:type="dxa"/>
          </w:tblCellMar>
        </w:tblPrEx>
        <w:tc>
          <w:tcPr>
            <w:tcW w:w="587" w:type="dxa"/>
            <w:shd w:val="clear" w:color="auto" w:fill="EEEEEE"/>
          </w:tcPr>
          <w:p w14:paraId="0892A548">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7CDB72AD">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14:paraId="09CB478B">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associations between genetic variant and exposure, and between genetic variant and outcome, preferably on an interpretable scale</w:t>
            </w:r>
          </w:p>
        </w:tc>
        <w:tc>
          <w:tcPr>
            <w:tcW w:w="720" w:type="dxa"/>
            <w:shd w:val="clear" w:color="auto" w:fill="EEEEEE"/>
          </w:tcPr>
          <w:p w14:paraId="7F1B8B69">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4-5</w:t>
            </w:r>
          </w:p>
        </w:tc>
        <w:tc>
          <w:tcPr>
            <w:tcW w:w="4320" w:type="dxa"/>
            <w:shd w:val="clear" w:color="auto" w:fill="EEEEEE"/>
          </w:tcPr>
          <w:p w14:paraId="7BCA1C07">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The original text does not provide explicit details on the associations between the genetic variants and the exposure (BMI), or between the genetic variants and the outcome (cholelithiasis) on an interpretable scale. However, it does state that SNPs significantly associated with the exposure (p &lt; 5×10^-8) were selected, and SNPs significantly associated with the outcome were excluded to minimize bias. Further statistical details of the associations are not included in the provided content.</w:t>
            </w:r>
          </w:p>
        </w:tc>
      </w:tr>
      <w:tr w14:paraId="2FAEFE68">
        <w:tblPrEx>
          <w:tblCellMar>
            <w:top w:w="0" w:type="dxa"/>
            <w:left w:w="108" w:type="dxa"/>
            <w:bottom w:w="0" w:type="dxa"/>
            <w:right w:w="108" w:type="dxa"/>
          </w:tblCellMar>
        </w:tblPrEx>
        <w:tc>
          <w:tcPr>
            <w:tcW w:w="587" w:type="dxa"/>
            <w:shd w:val="clear" w:color="auto" w:fill="auto"/>
          </w:tcPr>
          <w:p w14:paraId="2E83DFB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142A3CE2">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14:paraId="336E75EE">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MR estimates of the relationship between exposure and outcome, and the measures of uncertainty from the MR analysis, on an interpretable scale, such as odds ratio or relative risk per SD difference</w:t>
            </w:r>
          </w:p>
        </w:tc>
        <w:tc>
          <w:tcPr>
            <w:tcW w:w="720" w:type="dxa"/>
          </w:tcPr>
          <w:p w14:paraId="1E1B567F">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Supplementary Table 1-2</w:t>
            </w:r>
          </w:p>
        </w:tc>
        <w:tc>
          <w:tcPr>
            <w:tcW w:w="4320" w:type="dxa"/>
          </w:tcPr>
          <w:p w14:paraId="4564CEDB">
            <w:pPr>
              <w:spacing w:before="96" w:beforeLines="40" w:after="96" w:afterLines="40" w:line="24" w:lineRule="atLeast"/>
              <w:rPr>
                <w:rFonts w:hint="default" w:eastAsia="宋体"/>
                <w:sz w:val="18"/>
                <w:szCs w:val="18"/>
                <w:lang w:val="en-US" w:eastAsia="zh-CN"/>
              </w:rPr>
            </w:pPr>
            <w:r>
              <w:rPr>
                <w:rFonts w:hint="default" w:eastAsia="宋体"/>
                <w:sz w:val="18"/>
                <w:szCs w:val="18"/>
                <w:lang w:val="en-US" w:eastAsia="zh-CN"/>
              </w:rPr>
              <w:t>Supplementary Table 1-2</w:t>
            </w:r>
          </w:p>
        </w:tc>
      </w:tr>
      <w:tr w14:paraId="1FAC379E">
        <w:tblPrEx>
          <w:tblCellMar>
            <w:top w:w="0" w:type="dxa"/>
            <w:left w:w="108" w:type="dxa"/>
            <w:bottom w:w="0" w:type="dxa"/>
            <w:right w:w="108" w:type="dxa"/>
          </w:tblCellMar>
        </w:tblPrEx>
        <w:tc>
          <w:tcPr>
            <w:tcW w:w="587" w:type="dxa"/>
            <w:shd w:val="clear" w:color="auto" w:fill="EEEEEE"/>
          </w:tcPr>
          <w:p w14:paraId="6762B88A">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514E8164">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14:paraId="4BC6AB7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relevant, consider translating estimates of relative risk into absolute risk for a meaningful time period</w:t>
            </w:r>
          </w:p>
        </w:tc>
        <w:tc>
          <w:tcPr>
            <w:tcW w:w="720" w:type="dxa"/>
            <w:shd w:val="clear" w:color="auto" w:fill="EEEEEE"/>
          </w:tcPr>
          <w:p w14:paraId="326BA5CA">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N/A</w:t>
            </w:r>
          </w:p>
        </w:tc>
        <w:tc>
          <w:tcPr>
            <w:tcW w:w="4320" w:type="dxa"/>
            <w:shd w:val="clear" w:color="auto" w:fill="EEEEEE"/>
          </w:tcPr>
          <w:p w14:paraId="4A2216FF">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The original text does not include a translation of relative risk estimates into absolute risk for a specific time period. It primarily focuses on the associations between BMI, metabolic traits, and cholelithiasis using Mendelian Randomization analysis without providing estimates on an absolute risk scale over a defined period.</w:t>
            </w:r>
          </w:p>
        </w:tc>
      </w:tr>
      <w:tr w14:paraId="00F87C74">
        <w:tblPrEx>
          <w:tblCellMar>
            <w:top w:w="0" w:type="dxa"/>
            <w:left w:w="108" w:type="dxa"/>
            <w:bottom w:w="0" w:type="dxa"/>
            <w:right w:w="108" w:type="dxa"/>
          </w:tblCellMar>
        </w:tblPrEx>
        <w:tc>
          <w:tcPr>
            <w:tcW w:w="587" w:type="dxa"/>
            <w:shd w:val="clear" w:color="auto" w:fill="auto"/>
          </w:tcPr>
          <w:p w14:paraId="2CDE5DE6">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69C50E8E">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14:paraId="47CC3AC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720" w:type="dxa"/>
          </w:tcPr>
          <w:p w14:paraId="777DAC23">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N/A</w:t>
            </w:r>
          </w:p>
        </w:tc>
        <w:tc>
          <w:tcPr>
            <w:tcW w:w="4320" w:type="dxa"/>
          </w:tcPr>
          <w:p w14:paraId="7B9F0A4D">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The original text does not mention the use of plots such as forest plots or scatterplots to visualize the results. It primarily describes the statistical analysis and findings without providing visual representations of the associations between genetic variants, exposure (BMI), and outcome (cholelithiasis).</w:t>
            </w:r>
          </w:p>
        </w:tc>
      </w:tr>
      <w:tr w14:paraId="62E6DFEA">
        <w:tblPrEx>
          <w:tblCellMar>
            <w:top w:w="0" w:type="dxa"/>
            <w:left w:w="108" w:type="dxa"/>
            <w:bottom w:w="0" w:type="dxa"/>
            <w:right w:w="108" w:type="dxa"/>
          </w:tblCellMar>
        </w:tblPrEx>
        <w:tc>
          <w:tcPr>
            <w:tcW w:w="587" w:type="dxa"/>
            <w:shd w:val="clear" w:color="auto" w:fill="EEEEEE"/>
          </w:tcPr>
          <w:p w14:paraId="57CB2789">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12</w:t>
            </w:r>
          </w:p>
        </w:tc>
        <w:tc>
          <w:tcPr>
            <w:tcW w:w="1822" w:type="dxa"/>
            <w:shd w:val="clear" w:color="auto" w:fill="EEEEEE"/>
          </w:tcPr>
          <w:p w14:paraId="27B891DB">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7041" w:type="dxa"/>
            <w:shd w:val="clear" w:color="auto" w:fill="EEEEEE"/>
          </w:tcPr>
          <w:p w14:paraId="6EC050C1">
            <w:pPr>
              <w:spacing w:before="96" w:beforeLines="40" w:after="96" w:afterLines="40" w:line="24" w:lineRule="atLeast"/>
              <w:rPr>
                <w:rFonts w:eastAsia="Cambria"/>
                <w:sz w:val="18"/>
                <w:szCs w:val="18"/>
                <w:lang w:val="en-GB" w:eastAsia="en-US"/>
              </w:rPr>
            </w:pPr>
          </w:p>
        </w:tc>
        <w:tc>
          <w:tcPr>
            <w:tcW w:w="720" w:type="dxa"/>
            <w:shd w:val="clear" w:color="auto" w:fill="EEEEEE"/>
          </w:tcPr>
          <w:p w14:paraId="3871A389">
            <w:pPr>
              <w:spacing w:before="96" w:beforeLines="40" w:after="96" w:afterLines="40" w:line="24" w:lineRule="atLeast"/>
              <w:rPr>
                <w:rFonts w:eastAsia="Cambria"/>
                <w:sz w:val="18"/>
                <w:szCs w:val="18"/>
                <w:lang w:val="en-GB" w:eastAsia="en-US"/>
              </w:rPr>
            </w:pPr>
          </w:p>
        </w:tc>
        <w:tc>
          <w:tcPr>
            <w:tcW w:w="4320" w:type="dxa"/>
            <w:shd w:val="clear" w:color="auto" w:fill="EEEEEE"/>
          </w:tcPr>
          <w:p w14:paraId="10C8ADE2">
            <w:pPr>
              <w:spacing w:before="96" w:beforeLines="40" w:after="96" w:afterLines="40" w:line="24" w:lineRule="atLeast"/>
              <w:rPr>
                <w:rFonts w:eastAsia="Cambria"/>
                <w:sz w:val="18"/>
                <w:szCs w:val="18"/>
                <w:lang w:val="en-GB" w:eastAsia="en-US"/>
              </w:rPr>
            </w:pPr>
          </w:p>
        </w:tc>
      </w:tr>
      <w:tr w14:paraId="48EE0AFA">
        <w:tblPrEx>
          <w:tblCellMar>
            <w:top w:w="0" w:type="dxa"/>
            <w:left w:w="108" w:type="dxa"/>
            <w:bottom w:w="0" w:type="dxa"/>
            <w:right w:w="108" w:type="dxa"/>
          </w:tblCellMar>
        </w:tblPrEx>
        <w:tc>
          <w:tcPr>
            <w:tcW w:w="587" w:type="dxa"/>
            <w:shd w:val="clear" w:color="auto" w:fill="auto"/>
          </w:tcPr>
          <w:p w14:paraId="4E29121D">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18A8B0EA">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1A97B456">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assessment of the validity of the assumptions</w:t>
            </w:r>
          </w:p>
        </w:tc>
        <w:tc>
          <w:tcPr>
            <w:tcW w:w="720" w:type="dxa"/>
          </w:tcPr>
          <w:p w14:paraId="6E2D56F0">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4320" w:type="dxa"/>
          </w:tcPr>
          <w:p w14:paraId="4491C5B7">
            <w:pPr>
              <w:spacing w:before="96" w:beforeLines="40" w:after="96" w:afterLines="40" w:line="24" w:lineRule="atLeast"/>
              <w:rPr>
                <w:rFonts w:hint="eastAsia" w:eastAsia="Times New Roman"/>
                <w:sz w:val="18"/>
                <w:szCs w:val="18"/>
                <w:lang w:val="en-GB" w:eastAsia="en-GB"/>
              </w:rPr>
            </w:pPr>
          </w:p>
          <w:p w14:paraId="5E7081D1">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To ensure the IVW method operates correctly, horizontal pleiotropy must be either balanced or negligible. The MR-Egger method, which accommodates non-zero intercepts, was applied to evaluate horizontal pleiotropy. Cochran's Q-test was applied to assess heterogeneity; if the p-value was below 0.05, a random-effects IVW model was implemented, whereas a fixed-effects IVW model was applied if the p-value exceeded 0.05. The MR-PRESSO technique was implemented to detect outliers.</w:t>
            </w:r>
          </w:p>
        </w:tc>
      </w:tr>
      <w:tr w14:paraId="7BDA55CD">
        <w:tblPrEx>
          <w:tblCellMar>
            <w:top w:w="0" w:type="dxa"/>
            <w:left w:w="108" w:type="dxa"/>
            <w:bottom w:w="0" w:type="dxa"/>
            <w:right w:w="108" w:type="dxa"/>
          </w:tblCellMar>
        </w:tblPrEx>
        <w:tc>
          <w:tcPr>
            <w:tcW w:w="587" w:type="dxa"/>
            <w:shd w:val="clear" w:color="auto" w:fill="EEEEEE"/>
          </w:tcPr>
          <w:p w14:paraId="6F27FA73">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6BC0019D">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400ADD58">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Report any additional statistics (e.g., assessments of heterogeneity </w:t>
            </w:r>
            <w:r>
              <w:rPr>
                <w:rFonts w:eastAsia="Times New Roman"/>
                <w:sz w:val="18"/>
                <w:szCs w:val="18"/>
                <w:lang w:eastAsia="en-GB"/>
              </w:rPr>
              <w:t>across genetic variants</w:t>
            </w:r>
            <w:r>
              <w:rPr>
                <w:rFonts w:eastAsia="Times New Roman"/>
                <w:sz w:val="18"/>
                <w:szCs w:val="18"/>
                <w:lang w:val="en-GB" w:eastAsia="en-GB"/>
              </w:rPr>
              <w:t xml:space="preserve">, such as </w:t>
            </w:r>
            <w:r>
              <w:rPr>
                <w:rFonts w:eastAsia="Times New Roman"/>
                <w:i/>
                <w:sz w:val="18"/>
                <w:szCs w:val="18"/>
                <w:lang w:val="en-GB" w:eastAsia="en-GB"/>
              </w:rPr>
              <w:t>I</w:t>
            </w:r>
            <w:r>
              <w:rPr>
                <w:rFonts w:eastAsia="Times New Roman"/>
                <w:i/>
                <w:sz w:val="18"/>
                <w:szCs w:val="18"/>
                <w:vertAlign w:val="superscript"/>
                <w:lang w:val="en-GB" w:eastAsia="en-GB"/>
              </w:rPr>
              <w:t>2</w:t>
            </w:r>
            <w:r>
              <w:rPr>
                <w:rFonts w:eastAsia="Times New Roman"/>
                <w:sz w:val="18"/>
                <w:szCs w:val="18"/>
                <w:lang w:val="en-GB" w:eastAsia="en-GB"/>
              </w:rPr>
              <w:t>, Q statistic or E-value)</w:t>
            </w:r>
          </w:p>
        </w:tc>
        <w:tc>
          <w:tcPr>
            <w:tcW w:w="720" w:type="dxa"/>
            <w:shd w:val="clear" w:color="auto" w:fill="EEEEEE"/>
          </w:tcPr>
          <w:p w14:paraId="2D6E39C6">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4320" w:type="dxa"/>
            <w:shd w:val="clear" w:color="auto" w:fill="EEEEEE"/>
          </w:tcPr>
          <w:p w14:paraId="205C4ED8">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Cochran's Q-test was applied to assess heterogeneity; if the p-value was below 0.05, a random-effects IVW model was implemented, whereas a fixed-effects IVW model was applied if the p-value exceeded 0.05.</w:t>
            </w:r>
          </w:p>
        </w:tc>
      </w:tr>
      <w:tr w14:paraId="23F1C43D">
        <w:tblPrEx>
          <w:tblCellMar>
            <w:top w:w="0" w:type="dxa"/>
            <w:left w:w="108" w:type="dxa"/>
            <w:bottom w:w="0" w:type="dxa"/>
            <w:right w:w="108" w:type="dxa"/>
          </w:tblCellMar>
        </w:tblPrEx>
        <w:tc>
          <w:tcPr>
            <w:tcW w:w="587" w:type="dxa"/>
            <w:shd w:val="clear" w:color="auto" w:fill="auto"/>
          </w:tcPr>
          <w:p w14:paraId="021A9BB4">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13</w:t>
            </w:r>
          </w:p>
        </w:tc>
        <w:tc>
          <w:tcPr>
            <w:tcW w:w="1822" w:type="dxa"/>
            <w:shd w:val="clear" w:color="auto" w:fill="auto"/>
          </w:tcPr>
          <w:p w14:paraId="51D3F02D">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Sensitivity analyses and additional analyses</w:t>
            </w:r>
          </w:p>
        </w:tc>
        <w:tc>
          <w:tcPr>
            <w:tcW w:w="7041" w:type="dxa"/>
            <w:shd w:val="clear" w:color="auto" w:fill="auto"/>
          </w:tcPr>
          <w:p w14:paraId="4AB1D97F">
            <w:pPr>
              <w:spacing w:before="96" w:beforeLines="40" w:after="96" w:afterLines="40" w:line="24" w:lineRule="atLeast"/>
              <w:rPr>
                <w:rFonts w:eastAsia="Cambria"/>
                <w:sz w:val="18"/>
                <w:szCs w:val="18"/>
                <w:lang w:val="en-GB" w:eastAsia="en-US"/>
              </w:rPr>
            </w:pPr>
          </w:p>
        </w:tc>
        <w:tc>
          <w:tcPr>
            <w:tcW w:w="720" w:type="dxa"/>
          </w:tcPr>
          <w:p w14:paraId="50481D19">
            <w:pPr>
              <w:spacing w:before="96" w:beforeLines="40" w:after="96" w:afterLines="40" w:line="24" w:lineRule="atLeast"/>
              <w:rPr>
                <w:rFonts w:eastAsia="Cambria"/>
                <w:sz w:val="18"/>
                <w:szCs w:val="18"/>
                <w:lang w:val="en-GB" w:eastAsia="en-US"/>
              </w:rPr>
            </w:pPr>
          </w:p>
        </w:tc>
        <w:tc>
          <w:tcPr>
            <w:tcW w:w="4320" w:type="dxa"/>
          </w:tcPr>
          <w:p w14:paraId="0F2C43F0">
            <w:pPr>
              <w:spacing w:before="96" w:beforeLines="40" w:after="96" w:afterLines="40" w:line="24" w:lineRule="atLeast"/>
              <w:rPr>
                <w:rFonts w:eastAsia="Cambria"/>
                <w:sz w:val="18"/>
                <w:szCs w:val="18"/>
                <w:lang w:val="en-GB" w:eastAsia="en-US"/>
              </w:rPr>
            </w:pPr>
          </w:p>
        </w:tc>
      </w:tr>
      <w:tr w14:paraId="1ABE2F1D">
        <w:tblPrEx>
          <w:tblCellMar>
            <w:top w:w="0" w:type="dxa"/>
            <w:left w:w="108" w:type="dxa"/>
            <w:bottom w:w="0" w:type="dxa"/>
            <w:right w:w="108" w:type="dxa"/>
          </w:tblCellMar>
        </w:tblPrEx>
        <w:tc>
          <w:tcPr>
            <w:tcW w:w="587" w:type="dxa"/>
            <w:shd w:val="clear" w:color="auto" w:fill="EEEEEE"/>
          </w:tcPr>
          <w:p w14:paraId="0D022F9B">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27E8FFD0">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14:paraId="30AA9260">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any sensitivity analyses to assess the robustness of the main results to violations of the assumptions</w:t>
            </w:r>
          </w:p>
        </w:tc>
        <w:tc>
          <w:tcPr>
            <w:tcW w:w="720" w:type="dxa"/>
            <w:shd w:val="clear" w:color="auto" w:fill="EEEEEE"/>
          </w:tcPr>
          <w:p w14:paraId="39DB2F0E">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4320" w:type="dxa"/>
            <w:shd w:val="clear" w:color="auto" w:fill="EEEEEE"/>
          </w:tcPr>
          <w:p w14:paraId="73386906">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The MR-Egger method, which accommodates non-zero intercepts, was applied to evaluate horizontal pleiotropy. The MR-PRESSO technique was implemented to detect outliers.</w:t>
            </w:r>
          </w:p>
        </w:tc>
      </w:tr>
      <w:tr w14:paraId="3696A9F1">
        <w:tblPrEx>
          <w:tblCellMar>
            <w:top w:w="0" w:type="dxa"/>
            <w:left w:w="108" w:type="dxa"/>
            <w:bottom w:w="0" w:type="dxa"/>
            <w:right w:w="108" w:type="dxa"/>
          </w:tblCellMar>
        </w:tblPrEx>
        <w:tc>
          <w:tcPr>
            <w:tcW w:w="587" w:type="dxa"/>
            <w:shd w:val="clear" w:color="auto" w:fill="auto"/>
          </w:tcPr>
          <w:p w14:paraId="0D2234E5">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7453E1FF">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14:paraId="5111E54D">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results from other sensitivity analyses or additional analyses</w:t>
            </w:r>
          </w:p>
        </w:tc>
        <w:tc>
          <w:tcPr>
            <w:tcW w:w="720" w:type="dxa"/>
          </w:tcPr>
          <w:p w14:paraId="447F5BF5">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4320" w:type="dxa"/>
          </w:tcPr>
          <w:p w14:paraId="5BB83735">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We applied false discovery rate (FDR) adjustments to lower the FDR during the multiple hypothesis testing procedure.</w:t>
            </w:r>
          </w:p>
        </w:tc>
      </w:tr>
      <w:tr w14:paraId="1650BAB8">
        <w:tblPrEx>
          <w:tblCellMar>
            <w:top w:w="0" w:type="dxa"/>
            <w:left w:w="108" w:type="dxa"/>
            <w:bottom w:w="0" w:type="dxa"/>
            <w:right w:w="108" w:type="dxa"/>
          </w:tblCellMar>
        </w:tblPrEx>
        <w:tc>
          <w:tcPr>
            <w:tcW w:w="587" w:type="dxa"/>
            <w:shd w:val="clear" w:color="auto" w:fill="EEEEEE"/>
          </w:tcPr>
          <w:p w14:paraId="4D025CC4">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6EAD995A">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14:paraId="14E0FCD9">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Report any assessment of direction of causal relationship (e.g., bidirectional MR)</w:t>
            </w:r>
          </w:p>
        </w:tc>
        <w:tc>
          <w:tcPr>
            <w:tcW w:w="720" w:type="dxa"/>
            <w:shd w:val="clear" w:color="auto" w:fill="EEEEEE"/>
          </w:tcPr>
          <w:p w14:paraId="03D1A085">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N/A</w:t>
            </w:r>
          </w:p>
        </w:tc>
        <w:tc>
          <w:tcPr>
            <w:tcW w:w="4320" w:type="dxa"/>
            <w:shd w:val="clear" w:color="auto" w:fill="EEEEEE"/>
          </w:tcPr>
          <w:p w14:paraId="4C8BAB20">
            <w:pPr>
              <w:spacing w:before="96" w:beforeLines="40" w:after="96" w:afterLines="40" w:line="24" w:lineRule="atLeast"/>
              <w:rPr>
                <w:rFonts w:hint="eastAsia" w:eastAsia="Times New Roman"/>
                <w:sz w:val="18"/>
                <w:szCs w:val="18"/>
                <w:lang w:val="en-GB" w:eastAsia="en-GB"/>
              </w:rPr>
            </w:pPr>
          </w:p>
          <w:p w14:paraId="66751F07">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The original text does not provide any assessment of the direction of the causal relationship, such as bidirectional Mendelian Randomization (MR).</w:t>
            </w:r>
          </w:p>
        </w:tc>
      </w:tr>
      <w:tr w14:paraId="2034ACF7">
        <w:tblPrEx>
          <w:tblCellMar>
            <w:top w:w="0" w:type="dxa"/>
            <w:left w:w="108" w:type="dxa"/>
            <w:bottom w:w="0" w:type="dxa"/>
            <w:right w:w="108" w:type="dxa"/>
          </w:tblCellMar>
        </w:tblPrEx>
        <w:tc>
          <w:tcPr>
            <w:tcW w:w="587" w:type="dxa"/>
            <w:shd w:val="clear" w:color="auto" w:fill="auto"/>
          </w:tcPr>
          <w:p w14:paraId="3217ECED">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5AE90FE5">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14:paraId="3A13AF31">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When relevant, report and compare with estimates from non-MR analyses</w:t>
            </w:r>
          </w:p>
        </w:tc>
        <w:tc>
          <w:tcPr>
            <w:tcW w:w="720" w:type="dxa"/>
          </w:tcPr>
          <w:p w14:paraId="528F9F4C">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N/A</w:t>
            </w:r>
          </w:p>
        </w:tc>
        <w:tc>
          <w:tcPr>
            <w:tcW w:w="4320" w:type="dxa"/>
          </w:tcPr>
          <w:p w14:paraId="7B882C5B">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The original text does not report or compare estimates from non-MR analyses.</w:t>
            </w:r>
          </w:p>
        </w:tc>
      </w:tr>
      <w:tr w14:paraId="3E7CFBFC">
        <w:tblPrEx>
          <w:tblCellMar>
            <w:top w:w="0" w:type="dxa"/>
            <w:left w:w="108" w:type="dxa"/>
            <w:bottom w:w="0" w:type="dxa"/>
            <w:right w:w="108" w:type="dxa"/>
          </w:tblCellMar>
        </w:tblPrEx>
        <w:tc>
          <w:tcPr>
            <w:tcW w:w="587" w:type="dxa"/>
            <w:tcBorders>
              <w:bottom w:val="single" w:color="7F7F7F" w:sz="6" w:space="0"/>
            </w:tcBorders>
            <w:shd w:val="clear" w:color="auto" w:fill="EEEEEE"/>
          </w:tcPr>
          <w:p w14:paraId="1FDC421F">
            <w:pPr>
              <w:spacing w:before="96" w:beforeLines="40" w:after="96" w:afterLines="40" w:line="24" w:lineRule="atLeast"/>
              <w:jc w:val="right"/>
              <w:rPr>
                <w:rFonts w:eastAsia="Cambria"/>
                <w:b/>
                <w:bCs/>
                <w:sz w:val="18"/>
                <w:szCs w:val="18"/>
                <w:lang w:val="en-GB" w:eastAsia="en-US"/>
              </w:rPr>
            </w:pPr>
          </w:p>
        </w:tc>
        <w:tc>
          <w:tcPr>
            <w:tcW w:w="1822" w:type="dxa"/>
            <w:tcBorders>
              <w:bottom w:val="single" w:color="7F7F7F" w:sz="6" w:space="0"/>
            </w:tcBorders>
            <w:shd w:val="clear" w:color="auto" w:fill="EEEEEE"/>
          </w:tcPr>
          <w:p w14:paraId="5FE15030">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7041" w:type="dxa"/>
            <w:tcBorders>
              <w:bottom w:val="single" w:color="7F7F7F" w:sz="6" w:space="0"/>
            </w:tcBorders>
            <w:shd w:val="clear" w:color="auto" w:fill="EEEEEE"/>
          </w:tcPr>
          <w:p w14:paraId="61CE32BA">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Consider additional plots to visualize results (e.g., leave-one-out analyses)</w:t>
            </w:r>
          </w:p>
        </w:tc>
        <w:tc>
          <w:tcPr>
            <w:tcW w:w="720" w:type="dxa"/>
            <w:tcBorders>
              <w:bottom w:val="single" w:color="7F7F7F" w:sz="6" w:space="0"/>
            </w:tcBorders>
            <w:shd w:val="clear" w:color="auto" w:fill="EEEEEE"/>
          </w:tcPr>
          <w:p w14:paraId="33892A62">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N/A</w:t>
            </w:r>
          </w:p>
        </w:tc>
        <w:tc>
          <w:tcPr>
            <w:tcW w:w="4320" w:type="dxa"/>
            <w:tcBorders>
              <w:bottom w:val="single" w:color="7F7F7F" w:sz="6" w:space="0"/>
            </w:tcBorders>
            <w:shd w:val="clear" w:color="auto" w:fill="EEEEEE"/>
          </w:tcPr>
          <w:p w14:paraId="03A6AB93">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The original text does not mention the use of additional plots to visualize results, such as leave-one-out analyses.</w:t>
            </w:r>
          </w:p>
        </w:tc>
      </w:tr>
      <w:tr w14:paraId="5B7D2773">
        <w:tblPrEx>
          <w:tblCellMar>
            <w:top w:w="0" w:type="dxa"/>
            <w:left w:w="108" w:type="dxa"/>
            <w:bottom w:w="0" w:type="dxa"/>
            <w:right w:w="108" w:type="dxa"/>
          </w:tblCellMar>
        </w:tblPrEx>
        <w:tc>
          <w:tcPr>
            <w:tcW w:w="587" w:type="dxa"/>
            <w:tcBorders>
              <w:top w:val="single" w:color="7F7F7F" w:sz="6" w:space="0"/>
            </w:tcBorders>
            <w:shd w:val="clear" w:color="auto" w:fill="auto"/>
          </w:tcPr>
          <w:p w14:paraId="5BDBDA65">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14:paraId="1C564B75">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DISCUSSION</w:t>
            </w:r>
          </w:p>
        </w:tc>
        <w:tc>
          <w:tcPr>
            <w:tcW w:w="7041" w:type="dxa"/>
            <w:tcBorders>
              <w:top w:val="single" w:color="7F7F7F" w:sz="6" w:space="0"/>
            </w:tcBorders>
            <w:shd w:val="clear" w:color="auto" w:fill="auto"/>
          </w:tcPr>
          <w:p w14:paraId="35997729">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tcPr>
          <w:p w14:paraId="1AAD7FFB">
            <w:pPr>
              <w:spacing w:before="96" w:beforeLines="40" w:after="96" w:afterLines="40" w:line="24" w:lineRule="atLeast"/>
              <w:rPr>
                <w:rFonts w:eastAsia="Cambria"/>
                <w:sz w:val="18"/>
                <w:szCs w:val="18"/>
                <w:lang w:val="en-GB" w:eastAsia="en-US"/>
              </w:rPr>
            </w:pPr>
          </w:p>
        </w:tc>
        <w:tc>
          <w:tcPr>
            <w:tcW w:w="4320" w:type="dxa"/>
            <w:tcBorders>
              <w:top w:val="single" w:color="7F7F7F" w:sz="6" w:space="0"/>
            </w:tcBorders>
          </w:tcPr>
          <w:p w14:paraId="2AE3A897">
            <w:pPr>
              <w:spacing w:before="96" w:beforeLines="40" w:after="96" w:afterLines="40" w:line="24" w:lineRule="atLeast"/>
              <w:rPr>
                <w:rFonts w:eastAsia="Cambria"/>
                <w:sz w:val="18"/>
                <w:szCs w:val="18"/>
                <w:lang w:val="en-GB" w:eastAsia="en-US"/>
              </w:rPr>
            </w:pPr>
          </w:p>
        </w:tc>
      </w:tr>
      <w:tr w14:paraId="1800AF05">
        <w:tblPrEx>
          <w:tblCellMar>
            <w:top w:w="0" w:type="dxa"/>
            <w:left w:w="108" w:type="dxa"/>
            <w:bottom w:w="0" w:type="dxa"/>
            <w:right w:w="108" w:type="dxa"/>
          </w:tblCellMar>
        </w:tblPrEx>
        <w:tc>
          <w:tcPr>
            <w:tcW w:w="587" w:type="dxa"/>
            <w:shd w:val="clear" w:color="auto" w:fill="EEEEEE"/>
          </w:tcPr>
          <w:p w14:paraId="6B5F5286">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14</w:t>
            </w:r>
          </w:p>
        </w:tc>
        <w:tc>
          <w:tcPr>
            <w:tcW w:w="1822" w:type="dxa"/>
            <w:shd w:val="clear" w:color="auto" w:fill="EEEEEE"/>
          </w:tcPr>
          <w:p w14:paraId="42EDC029">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Key results </w:t>
            </w:r>
          </w:p>
        </w:tc>
        <w:tc>
          <w:tcPr>
            <w:tcW w:w="7041" w:type="dxa"/>
            <w:shd w:val="clear" w:color="auto" w:fill="EEEEEE"/>
          </w:tcPr>
          <w:p w14:paraId="35F1CADF">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Summarize key results with reference to study objectives</w:t>
            </w:r>
          </w:p>
        </w:tc>
        <w:tc>
          <w:tcPr>
            <w:tcW w:w="720" w:type="dxa"/>
            <w:shd w:val="clear" w:color="auto" w:fill="EEEEEE"/>
          </w:tcPr>
          <w:p w14:paraId="2C7117BF">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8</w:t>
            </w:r>
          </w:p>
        </w:tc>
        <w:tc>
          <w:tcPr>
            <w:tcW w:w="4320" w:type="dxa"/>
            <w:shd w:val="clear" w:color="auto" w:fill="EEEEEE"/>
          </w:tcPr>
          <w:p w14:paraId="70F1DDE7">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BMI was found to be positively associated with the risk of cholelithiasis across all datasets analyzed. A total of 176 metabolites were identified to be significantly associated with BMI, including amino acids, cholesterol esters, free cholesterol, triglycerides, and phospholipids. Among these, 49 metabolites were identified as mediators in the BMI-cholelithiasis relationship. Specifically, fatty acid levels, cholesteryl esters, phospholipids, triglycerides, and free cholesterol were key mediators in this relationship, with mediation proportions ranging from -2.38% to 7.14%. This study provides robust evidence that BMI significantly impacts metabolic biomarkers, which in turn affect the risk of cholelithiasis.</w:t>
            </w:r>
          </w:p>
        </w:tc>
      </w:tr>
      <w:tr w14:paraId="06BFAFA4">
        <w:tblPrEx>
          <w:tblCellMar>
            <w:top w:w="0" w:type="dxa"/>
            <w:left w:w="108" w:type="dxa"/>
            <w:bottom w:w="0" w:type="dxa"/>
            <w:right w:w="108" w:type="dxa"/>
          </w:tblCellMar>
        </w:tblPrEx>
        <w:tc>
          <w:tcPr>
            <w:tcW w:w="587" w:type="dxa"/>
            <w:shd w:val="clear" w:color="auto" w:fill="auto"/>
          </w:tcPr>
          <w:p w14:paraId="6D471CC5">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15</w:t>
            </w:r>
          </w:p>
        </w:tc>
        <w:tc>
          <w:tcPr>
            <w:tcW w:w="1822" w:type="dxa"/>
            <w:shd w:val="clear" w:color="auto" w:fill="auto"/>
          </w:tcPr>
          <w:p w14:paraId="5C27961E">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Limitations</w:t>
            </w:r>
          </w:p>
        </w:tc>
        <w:tc>
          <w:tcPr>
            <w:tcW w:w="7041" w:type="dxa"/>
            <w:shd w:val="clear" w:color="auto" w:fill="auto"/>
          </w:tcPr>
          <w:p w14:paraId="75B6F41B">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Pr>
                <w:rFonts w:eastAsia="Times New Roman"/>
                <w:sz w:val="18"/>
                <w:szCs w:val="18"/>
                <w:shd w:val="clear" w:color="auto" w:fill="FFFFFF"/>
                <w:lang w:val="en-GB" w:eastAsia="en-GB"/>
              </w:rPr>
              <w:t> </w:t>
            </w:r>
          </w:p>
        </w:tc>
        <w:tc>
          <w:tcPr>
            <w:tcW w:w="720" w:type="dxa"/>
          </w:tcPr>
          <w:p w14:paraId="201D4281">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10</w:t>
            </w:r>
          </w:p>
        </w:tc>
        <w:tc>
          <w:tcPr>
            <w:tcW w:w="4320" w:type="dxa"/>
          </w:tcPr>
          <w:p w14:paraId="7CB4BA33">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This study inevitably has certain limitations. First, the findings cannot be generalized to populations outside of Europe, as the data used primarily came from European populations. Second, due to data limitations, we were unable to perform subgroup analyses based on age and gender. Third, also due to data constraints, while the study provides qualitative insights, it cannot conclusively demonstrate whether certain metabolic levels increase and then decrease as BMI rises.</w:t>
            </w:r>
          </w:p>
        </w:tc>
      </w:tr>
      <w:tr w14:paraId="71F8B8B5">
        <w:tblPrEx>
          <w:tblCellMar>
            <w:top w:w="0" w:type="dxa"/>
            <w:left w:w="108" w:type="dxa"/>
            <w:bottom w:w="0" w:type="dxa"/>
            <w:right w:w="108" w:type="dxa"/>
          </w:tblCellMar>
        </w:tblPrEx>
        <w:tc>
          <w:tcPr>
            <w:tcW w:w="587" w:type="dxa"/>
            <w:shd w:val="clear" w:color="auto" w:fill="EEEEEE"/>
          </w:tcPr>
          <w:p w14:paraId="02C1D590">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16</w:t>
            </w:r>
          </w:p>
        </w:tc>
        <w:tc>
          <w:tcPr>
            <w:tcW w:w="1822" w:type="dxa"/>
            <w:shd w:val="clear" w:color="auto" w:fill="EEEEEE"/>
          </w:tcPr>
          <w:p w14:paraId="612AA484">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Interpretation</w:t>
            </w:r>
          </w:p>
        </w:tc>
        <w:tc>
          <w:tcPr>
            <w:tcW w:w="7041" w:type="dxa"/>
            <w:shd w:val="clear" w:color="auto" w:fill="EEEEEE"/>
          </w:tcPr>
          <w:p w14:paraId="3BF6466E">
            <w:pPr>
              <w:spacing w:before="96" w:beforeLines="40" w:after="96" w:afterLines="40" w:line="24" w:lineRule="atLeast"/>
              <w:rPr>
                <w:rFonts w:eastAsia="Cambria"/>
                <w:sz w:val="18"/>
                <w:szCs w:val="18"/>
                <w:lang w:val="en-GB" w:eastAsia="en-US"/>
              </w:rPr>
            </w:pPr>
          </w:p>
        </w:tc>
        <w:tc>
          <w:tcPr>
            <w:tcW w:w="720" w:type="dxa"/>
            <w:shd w:val="clear" w:color="auto" w:fill="EEEEEE"/>
          </w:tcPr>
          <w:p w14:paraId="4B5179B2">
            <w:pPr>
              <w:spacing w:before="96" w:beforeLines="40" w:after="96" w:afterLines="40" w:line="24" w:lineRule="atLeast"/>
              <w:rPr>
                <w:rFonts w:eastAsia="Cambria"/>
                <w:sz w:val="18"/>
                <w:szCs w:val="18"/>
                <w:lang w:val="en-GB" w:eastAsia="en-US"/>
              </w:rPr>
            </w:pPr>
          </w:p>
        </w:tc>
        <w:tc>
          <w:tcPr>
            <w:tcW w:w="4320" w:type="dxa"/>
            <w:shd w:val="clear" w:color="auto" w:fill="EEEEEE"/>
          </w:tcPr>
          <w:p w14:paraId="1C445080">
            <w:pPr>
              <w:spacing w:before="96" w:beforeLines="40" w:after="96" w:afterLines="40" w:line="24" w:lineRule="atLeast"/>
              <w:rPr>
                <w:rFonts w:eastAsia="Cambria"/>
                <w:sz w:val="18"/>
                <w:szCs w:val="18"/>
                <w:lang w:val="en-GB" w:eastAsia="en-US"/>
              </w:rPr>
            </w:pPr>
          </w:p>
        </w:tc>
      </w:tr>
      <w:tr w14:paraId="62E6D51A">
        <w:tblPrEx>
          <w:tblCellMar>
            <w:top w:w="0" w:type="dxa"/>
            <w:left w:w="108" w:type="dxa"/>
            <w:bottom w:w="0" w:type="dxa"/>
            <w:right w:w="108" w:type="dxa"/>
          </w:tblCellMar>
        </w:tblPrEx>
        <w:tc>
          <w:tcPr>
            <w:tcW w:w="587" w:type="dxa"/>
            <w:shd w:val="clear" w:color="auto" w:fill="auto"/>
          </w:tcPr>
          <w:p w14:paraId="6DD2F448">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50F26A29">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7EDF9868">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Meaning: Give a cautious overall interpretation of results in the context of their limitations and in comparison with other studies</w:t>
            </w:r>
          </w:p>
        </w:tc>
        <w:tc>
          <w:tcPr>
            <w:tcW w:w="720" w:type="dxa"/>
          </w:tcPr>
          <w:p w14:paraId="565CC165">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10</w:t>
            </w:r>
          </w:p>
        </w:tc>
        <w:tc>
          <w:tcPr>
            <w:tcW w:w="4320" w:type="dxa"/>
          </w:tcPr>
          <w:p w14:paraId="5251245C">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Overall, our study provides robust evidence that BMI significantly affects multiple metabolic pathways, many of which contribute to the risk of cholelithiasis. These findings underscore the importance of managing BMI to mitigate metabolic dysfunction and reduce the risk of cholelithiasis. Future research should focus on the specific mechanisms by which BMI-induced metabolic changes influence gallstone formation, with the goal of identifying potential therapeutic targets to prevent cholelithiasis in individuals with elevated BMI.</w:t>
            </w:r>
          </w:p>
        </w:tc>
      </w:tr>
      <w:tr w14:paraId="156B69E5">
        <w:tblPrEx>
          <w:tblCellMar>
            <w:top w:w="0" w:type="dxa"/>
            <w:left w:w="108" w:type="dxa"/>
            <w:bottom w:w="0" w:type="dxa"/>
            <w:right w:w="108" w:type="dxa"/>
          </w:tblCellMar>
        </w:tblPrEx>
        <w:tc>
          <w:tcPr>
            <w:tcW w:w="587" w:type="dxa"/>
            <w:shd w:val="clear" w:color="auto" w:fill="EEEEEE"/>
          </w:tcPr>
          <w:p w14:paraId="4C8A2215">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6A4A5F16">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422EB891">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720" w:type="dxa"/>
            <w:shd w:val="clear" w:color="auto" w:fill="EEEEEE"/>
          </w:tcPr>
          <w:p w14:paraId="2FA4AA4D">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9-10</w:t>
            </w:r>
          </w:p>
        </w:tc>
        <w:tc>
          <w:tcPr>
            <w:tcW w:w="4320" w:type="dxa"/>
            <w:shd w:val="clear" w:color="auto" w:fill="EEEEEE"/>
          </w:tcPr>
          <w:p w14:paraId="3A91F000">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Our findings reveal a significant association between BMI and several key metabolic traits, including amino acids, cholesterol, and lipoproteins. For instance, both our study and previous research have demonstrated that BMI is associated with increased levels of branched-chain amino acids. These amino acids have previously been linked to metabolic disorders, including insulin resistance, cardiovascular diseases, and type 2 diabetes, suggesting that higher BMI may exacerbate metabolic dysfunction through amino acid metabolism. Cholesterol metabolism also emerged as a critical pathway influenced by BMI. We observed significant associations between BMI and both cholesteryl ester and free cholesterol levels. This suggests a potential pathway through which BMI may influence the risk of cholelithiasis, and our results also support this conclusion. Notably, several cholesterol esters and free cholesterol levels mediated the relationship between BMI and cholelithiasis, with mediation proportions ranging from 2% to 5%. This suggests that BMI-related alterations in cholesterol metabolism could play a role in the development of cholelithiasis, particularly through increased cholesterol saturation in bile.</w:t>
            </w:r>
          </w:p>
        </w:tc>
      </w:tr>
      <w:tr w14:paraId="203390A0">
        <w:tblPrEx>
          <w:tblCellMar>
            <w:top w:w="0" w:type="dxa"/>
            <w:left w:w="108" w:type="dxa"/>
            <w:bottom w:w="0" w:type="dxa"/>
            <w:right w:w="108" w:type="dxa"/>
          </w:tblCellMar>
        </w:tblPrEx>
        <w:tc>
          <w:tcPr>
            <w:tcW w:w="587" w:type="dxa"/>
            <w:shd w:val="clear" w:color="auto" w:fill="auto"/>
          </w:tcPr>
          <w:p w14:paraId="54CA3A2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6D25BA57">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14:paraId="5B6A8315">
            <w:pPr>
              <w:tabs>
                <w:tab w:val="left" w:pos="1350"/>
              </w:tabs>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Clinical relevance: Discuss whether the results have clinical or public policy relevance, and </w:t>
            </w:r>
            <w:r>
              <w:rPr>
                <w:rFonts w:eastAsia="Times New Roman"/>
                <w:color w:val="000000"/>
                <w:sz w:val="18"/>
                <w:szCs w:val="18"/>
                <w:lang w:eastAsia="en-GB"/>
              </w:rPr>
              <w:t>to what extent they inform effect sizes of possible interventions</w:t>
            </w:r>
          </w:p>
        </w:tc>
        <w:tc>
          <w:tcPr>
            <w:tcW w:w="720" w:type="dxa"/>
          </w:tcPr>
          <w:p w14:paraId="32FCF028">
            <w:pPr>
              <w:tabs>
                <w:tab w:val="left" w:pos="1350"/>
              </w:tabs>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10</w:t>
            </w:r>
          </w:p>
        </w:tc>
        <w:tc>
          <w:tcPr>
            <w:tcW w:w="4320" w:type="dxa"/>
          </w:tcPr>
          <w:p w14:paraId="78058AE6">
            <w:pPr>
              <w:tabs>
                <w:tab w:val="left" w:pos="1350"/>
              </w:tabs>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These findings underscore the importance of managing BMI to mitigate metabolic dysfunction and reduce the risk of cholelithiasis. By identifying key metabolic mediators, this research could inform future therapeutic interventions aimed at mitigating the metabolic dysfunctions associated with elevated BMI and reducing the risk of gallstone formation and other obesity-related conditions.</w:t>
            </w:r>
          </w:p>
        </w:tc>
      </w:tr>
      <w:tr w14:paraId="71FDAFC1">
        <w:tblPrEx>
          <w:tblCellMar>
            <w:top w:w="0" w:type="dxa"/>
            <w:left w:w="108" w:type="dxa"/>
            <w:bottom w:w="0" w:type="dxa"/>
            <w:right w:w="108" w:type="dxa"/>
          </w:tblCellMar>
        </w:tblPrEx>
        <w:tc>
          <w:tcPr>
            <w:tcW w:w="587" w:type="dxa"/>
            <w:tcBorders>
              <w:bottom w:val="single" w:color="7F7F7F" w:sz="6" w:space="0"/>
            </w:tcBorders>
            <w:shd w:val="clear" w:color="auto" w:fill="EEEEEE"/>
          </w:tcPr>
          <w:p w14:paraId="7540155A">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17</w:t>
            </w:r>
          </w:p>
        </w:tc>
        <w:tc>
          <w:tcPr>
            <w:tcW w:w="1822" w:type="dxa"/>
            <w:tcBorders>
              <w:bottom w:val="single" w:color="7F7F7F" w:sz="6" w:space="0"/>
            </w:tcBorders>
            <w:shd w:val="clear" w:color="auto" w:fill="EEEEEE"/>
          </w:tcPr>
          <w:p w14:paraId="3680059F">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 xml:space="preserve">Generalizability  </w:t>
            </w:r>
            <w:r>
              <w:rPr>
                <w:rFonts w:eastAsia="Times New Roman"/>
                <w:sz w:val="18"/>
                <w:szCs w:val="18"/>
                <w:lang w:val="en-GB" w:eastAsia="en-GB"/>
              </w:rPr>
              <w:t> </w:t>
            </w:r>
          </w:p>
        </w:tc>
        <w:tc>
          <w:tcPr>
            <w:tcW w:w="7041" w:type="dxa"/>
            <w:tcBorders>
              <w:bottom w:val="single" w:color="7F7F7F" w:sz="6" w:space="0"/>
            </w:tcBorders>
            <w:shd w:val="clear" w:color="auto" w:fill="EEEEEE"/>
          </w:tcPr>
          <w:p w14:paraId="68647C3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Discuss the generalizability of the study results (a) to other populations, (b) across other exposure periods/timings, and (c) across other levels of exposure</w:t>
            </w:r>
          </w:p>
        </w:tc>
        <w:tc>
          <w:tcPr>
            <w:tcW w:w="720" w:type="dxa"/>
            <w:tcBorders>
              <w:bottom w:val="single" w:color="7F7F7F" w:sz="6" w:space="0"/>
            </w:tcBorders>
            <w:shd w:val="clear" w:color="auto" w:fill="EEEEEE"/>
          </w:tcPr>
          <w:p w14:paraId="3ACD3D08">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10</w:t>
            </w:r>
          </w:p>
        </w:tc>
        <w:tc>
          <w:tcPr>
            <w:tcW w:w="4320" w:type="dxa"/>
            <w:tcBorders>
              <w:bottom w:val="single" w:color="7F7F7F" w:sz="6" w:space="0"/>
            </w:tcBorders>
            <w:shd w:val="clear" w:color="auto" w:fill="EEEEEE"/>
          </w:tcPr>
          <w:p w14:paraId="41ABF5A9">
            <w:pPr>
              <w:spacing w:before="96" w:beforeLines="40" w:after="96" w:afterLines="40" w:line="24" w:lineRule="atLeast"/>
              <w:rPr>
                <w:rFonts w:eastAsia="Times New Roman"/>
                <w:sz w:val="18"/>
                <w:szCs w:val="18"/>
                <w:lang w:val="en-GB" w:eastAsia="en-GB"/>
              </w:rPr>
            </w:pPr>
            <w:r>
              <w:rPr>
                <w:rFonts w:hint="eastAsia" w:eastAsia="Times New Roman"/>
                <w:sz w:val="18"/>
                <w:szCs w:val="18"/>
                <w:lang w:val="en-GB" w:eastAsia="en-GB"/>
              </w:rPr>
              <w:t>First, the findings cannot be generalized to populations outside of Europe, as the data used primarily came from European populations. Second, due to data limitations, we were unable to perform subgroup analyses based on age and gender. Third, also due to data constraints, while the study provides qualitative insights, it cannot conclusively demonstrate whether certain metabolic levels increase and then decrease as BMI rises.</w:t>
            </w:r>
          </w:p>
        </w:tc>
      </w:tr>
      <w:tr w14:paraId="57884E75">
        <w:tblPrEx>
          <w:tblCellMar>
            <w:top w:w="0" w:type="dxa"/>
            <w:left w:w="108" w:type="dxa"/>
            <w:bottom w:w="0" w:type="dxa"/>
            <w:right w:w="108" w:type="dxa"/>
          </w:tblCellMar>
        </w:tblPrEx>
        <w:tc>
          <w:tcPr>
            <w:tcW w:w="587" w:type="dxa"/>
            <w:tcBorders>
              <w:top w:val="single" w:color="7F7F7F" w:sz="6" w:space="0"/>
            </w:tcBorders>
            <w:shd w:val="clear" w:color="auto" w:fill="auto"/>
          </w:tcPr>
          <w:p w14:paraId="2C4C694A">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14:paraId="0A6FFE33">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OTHER INFORMATION</w:t>
            </w:r>
          </w:p>
        </w:tc>
        <w:tc>
          <w:tcPr>
            <w:tcW w:w="7041" w:type="dxa"/>
            <w:tcBorders>
              <w:top w:val="single" w:color="7F7F7F" w:sz="6" w:space="0"/>
            </w:tcBorders>
            <w:shd w:val="clear" w:color="auto" w:fill="auto"/>
          </w:tcPr>
          <w:p w14:paraId="0577947E">
            <w:pPr>
              <w:spacing w:before="96" w:beforeLines="40" w:after="96" w:afterLines="40" w:line="24" w:lineRule="atLeast"/>
              <w:rPr>
                <w:rFonts w:eastAsia="Cambria"/>
                <w:sz w:val="18"/>
                <w:szCs w:val="18"/>
                <w:lang w:val="en-GB" w:eastAsia="en-US"/>
              </w:rPr>
            </w:pPr>
          </w:p>
        </w:tc>
        <w:tc>
          <w:tcPr>
            <w:tcW w:w="720" w:type="dxa"/>
            <w:tcBorders>
              <w:top w:val="single" w:color="7F7F7F" w:sz="6" w:space="0"/>
            </w:tcBorders>
          </w:tcPr>
          <w:p w14:paraId="7561574C">
            <w:pPr>
              <w:spacing w:before="96" w:beforeLines="40" w:after="96" w:afterLines="40" w:line="24" w:lineRule="atLeast"/>
              <w:rPr>
                <w:rFonts w:eastAsia="Cambria"/>
                <w:sz w:val="18"/>
                <w:szCs w:val="18"/>
                <w:lang w:val="en-GB" w:eastAsia="en-US"/>
              </w:rPr>
            </w:pPr>
          </w:p>
        </w:tc>
        <w:tc>
          <w:tcPr>
            <w:tcW w:w="4320" w:type="dxa"/>
            <w:tcBorders>
              <w:top w:val="single" w:color="7F7F7F" w:sz="6" w:space="0"/>
            </w:tcBorders>
          </w:tcPr>
          <w:p w14:paraId="3718ED5B">
            <w:pPr>
              <w:spacing w:before="96" w:beforeLines="40" w:after="96" w:afterLines="40" w:line="24" w:lineRule="atLeast"/>
              <w:rPr>
                <w:rFonts w:eastAsia="Cambria"/>
                <w:sz w:val="18"/>
                <w:szCs w:val="18"/>
                <w:lang w:val="en-GB" w:eastAsia="en-US"/>
              </w:rPr>
            </w:pPr>
          </w:p>
        </w:tc>
      </w:tr>
      <w:tr w14:paraId="0014C6D1">
        <w:tblPrEx>
          <w:tblCellMar>
            <w:top w:w="0" w:type="dxa"/>
            <w:left w:w="108" w:type="dxa"/>
            <w:bottom w:w="0" w:type="dxa"/>
            <w:right w:w="108" w:type="dxa"/>
          </w:tblCellMar>
        </w:tblPrEx>
        <w:tc>
          <w:tcPr>
            <w:tcW w:w="587" w:type="dxa"/>
            <w:shd w:val="clear" w:color="auto" w:fill="EEEEEE"/>
          </w:tcPr>
          <w:p w14:paraId="2336D08C">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18</w:t>
            </w:r>
          </w:p>
        </w:tc>
        <w:tc>
          <w:tcPr>
            <w:tcW w:w="1822" w:type="dxa"/>
            <w:shd w:val="clear" w:color="auto" w:fill="EEEEEE"/>
          </w:tcPr>
          <w:p w14:paraId="08EB4FDF">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Funding</w:t>
            </w:r>
          </w:p>
        </w:tc>
        <w:tc>
          <w:tcPr>
            <w:tcW w:w="7041" w:type="dxa"/>
            <w:shd w:val="clear" w:color="auto" w:fill="EEEEEE"/>
          </w:tcPr>
          <w:p w14:paraId="4663DCA7">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720" w:type="dxa"/>
            <w:shd w:val="clear" w:color="auto" w:fill="EEEEEE"/>
          </w:tcPr>
          <w:p w14:paraId="33E2D855">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11</w:t>
            </w:r>
          </w:p>
        </w:tc>
        <w:tc>
          <w:tcPr>
            <w:tcW w:w="4320" w:type="dxa"/>
            <w:shd w:val="clear" w:color="auto" w:fill="EEEEEE"/>
          </w:tcPr>
          <w:p w14:paraId="449BE3D9">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Funding Statement</w:t>
            </w:r>
          </w:p>
          <w:p w14:paraId="6121E0E5">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None</w:t>
            </w:r>
          </w:p>
          <w:p w14:paraId="2C6CE5FF">
            <w:pPr>
              <w:spacing w:before="96" w:beforeLines="40" w:after="96" w:afterLines="40" w:line="24" w:lineRule="atLeast"/>
              <w:rPr>
                <w:rFonts w:eastAsia="Times New Roman"/>
                <w:sz w:val="18"/>
                <w:szCs w:val="18"/>
                <w:lang w:val="en-GB" w:eastAsia="en-GB"/>
              </w:rPr>
            </w:pPr>
          </w:p>
        </w:tc>
      </w:tr>
      <w:tr w14:paraId="1B22CB41">
        <w:tblPrEx>
          <w:tblCellMar>
            <w:top w:w="0" w:type="dxa"/>
            <w:left w:w="108" w:type="dxa"/>
            <w:bottom w:w="0" w:type="dxa"/>
            <w:right w:w="108" w:type="dxa"/>
          </w:tblCellMar>
        </w:tblPrEx>
        <w:tc>
          <w:tcPr>
            <w:tcW w:w="587" w:type="dxa"/>
            <w:shd w:val="clear" w:color="auto" w:fill="auto"/>
          </w:tcPr>
          <w:p w14:paraId="381BF2BA">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19</w:t>
            </w:r>
          </w:p>
        </w:tc>
        <w:tc>
          <w:tcPr>
            <w:tcW w:w="1822" w:type="dxa"/>
            <w:shd w:val="clear" w:color="auto" w:fill="auto"/>
          </w:tcPr>
          <w:p w14:paraId="233BA942">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Data and data sharing </w:t>
            </w:r>
          </w:p>
        </w:tc>
        <w:tc>
          <w:tcPr>
            <w:tcW w:w="7041" w:type="dxa"/>
            <w:shd w:val="clear" w:color="auto" w:fill="auto"/>
          </w:tcPr>
          <w:p w14:paraId="42D9085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720" w:type="dxa"/>
          </w:tcPr>
          <w:p w14:paraId="5725EE6D">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11</w:t>
            </w:r>
          </w:p>
        </w:tc>
        <w:tc>
          <w:tcPr>
            <w:tcW w:w="4320" w:type="dxa"/>
          </w:tcPr>
          <w:p w14:paraId="3BCC28D5">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8.</w:t>
            </w:r>
            <w:r>
              <w:rPr>
                <w:rFonts w:hint="eastAsia" w:eastAsia="Times New Roman"/>
                <w:sz w:val="18"/>
                <w:szCs w:val="18"/>
                <w:lang w:val="en-GB" w:eastAsia="en-GB"/>
              </w:rPr>
              <w:tab/>
            </w:r>
            <w:r>
              <w:rPr>
                <w:rFonts w:hint="eastAsia" w:eastAsia="Times New Roman"/>
                <w:sz w:val="18"/>
                <w:szCs w:val="18"/>
                <w:lang w:val="en-GB" w:eastAsia="en-GB"/>
              </w:rPr>
              <w:t>Data Availability Statement</w:t>
            </w:r>
          </w:p>
          <w:p w14:paraId="29E78F40">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 xml:space="preserve">All GWAS data used in this study are available in the IEU open GWAS project (https://gwas.mrcieu.ac.uk/) and the FinnGen Biobank (https://r10.risteys.finngen.fi/). </w:t>
            </w:r>
          </w:p>
          <w:p w14:paraId="38DE3AA7">
            <w:pPr>
              <w:spacing w:before="96" w:beforeLines="40" w:after="96" w:afterLines="40" w:line="24" w:lineRule="atLeast"/>
              <w:rPr>
                <w:rFonts w:eastAsia="Times New Roman"/>
                <w:sz w:val="18"/>
                <w:szCs w:val="18"/>
                <w:lang w:val="en-GB" w:eastAsia="en-GB"/>
              </w:rPr>
            </w:pPr>
          </w:p>
        </w:tc>
      </w:tr>
      <w:tr w14:paraId="1BFE6A86">
        <w:tblPrEx>
          <w:tblCellMar>
            <w:top w:w="0" w:type="dxa"/>
            <w:left w:w="108" w:type="dxa"/>
            <w:bottom w:w="0" w:type="dxa"/>
            <w:right w:w="108" w:type="dxa"/>
          </w:tblCellMar>
        </w:tblPrEx>
        <w:tc>
          <w:tcPr>
            <w:tcW w:w="587" w:type="dxa"/>
            <w:tcBorders>
              <w:bottom w:val="single" w:color="7F7F7F" w:sz="6" w:space="0"/>
            </w:tcBorders>
            <w:shd w:val="clear" w:color="auto" w:fill="EEEEEE"/>
          </w:tcPr>
          <w:p w14:paraId="20DC2C92">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20</w:t>
            </w:r>
          </w:p>
        </w:tc>
        <w:tc>
          <w:tcPr>
            <w:tcW w:w="1822" w:type="dxa"/>
            <w:tcBorders>
              <w:bottom w:val="single" w:color="7F7F7F" w:sz="6" w:space="0"/>
            </w:tcBorders>
            <w:shd w:val="clear" w:color="auto" w:fill="EEEEEE"/>
          </w:tcPr>
          <w:p w14:paraId="39A69A1B">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Conflicts of Interest  </w:t>
            </w:r>
          </w:p>
        </w:tc>
        <w:tc>
          <w:tcPr>
            <w:tcW w:w="7041" w:type="dxa"/>
            <w:tcBorders>
              <w:bottom w:val="single" w:color="7F7F7F" w:sz="6" w:space="0"/>
            </w:tcBorders>
            <w:shd w:val="clear" w:color="auto" w:fill="EEEEEE"/>
          </w:tcPr>
          <w:p w14:paraId="4772D912">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All authors should declare all potential conflicts of interest</w:t>
            </w:r>
          </w:p>
        </w:tc>
        <w:tc>
          <w:tcPr>
            <w:tcW w:w="720" w:type="dxa"/>
            <w:tcBorders>
              <w:bottom w:val="single" w:color="7F7F7F" w:sz="6" w:space="0"/>
            </w:tcBorders>
            <w:shd w:val="clear" w:color="auto" w:fill="EEEEEE"/>
          </w:tcPr>
          <w:p w14:paraId="1B63BC8B">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11</w:t>
            </w:r>
          </w:p>
        </w:tc>
        <w:tc>
          <w:tcPr>
            <w:tcW w:w="4320" w:type="dxa"/>
            <w:tcBorders>
              <w:bottom w:val="single" w:color="7F7F7F" w:sz="6" w:space="0"/>
            </w:tcBorders>
            <w:shd w:val="clear" w:color="auto" w:fill="EEEEEE"/>
          </w:tcPr>
          <w:p w14:paraId="105ABE49">
            <w:pPr>
              <w:spacing w:before="96" w:beforeLines="40" w:after="96" w:afterLines="40" w:line="24" w:lineRule="atLeast"/>
              <w:rPr>
                <w:rFonts w:hint="eastAsia" w:eastAsia="Times New Roman"/>
                <w:sz w:val="18"/>
                <w:szCs w:val="18"/>
                <w:lang w:val="en-GB" w:eastAsia="en-GB"/>
              </w:rPr>
            </w:pPr>
            <w:bookmarkStart w:id="0" w:name="_GoBack"/>
            <w:bookmarkEnd w:id="0"/>
            <w:r>
              <w:rPr>
                <w:rFonts w:hint="eastAsia" w:eastAsia="Times New Roman"/>
                <w:sz w:val="18"/>
                <w:szCs w:val="18"/>
                <w:lang w:val="en-GB" w:eastAsia="en-GB"/>
              </w:rPr>
              <w:t>Conflicts of Interest</w:t>
            </w:r>
          </w:p>
          <w:p w14:paraId="5A18A3BA">
            <w:pPr>
              <w:spacing w:before="96" w:beforeLines="40" w:after="96" w:afterLines="40" w:line="24" w:lineRule="atLeast"/>
              <w:rPr>
                <w:rFonts w:hint="eastAsia" w:eastAsia="Times New Roman"/>
                <w:sz w:val="18"/>
                <w:szCs w:val="18"/>
                <w:lang w:val="en-GB" w:eastAsia="en-GB"/>
              </w:rPr>
            </w:pPr>
            <w:r>
              <w:rPr>
                <w:rFonts w:hint="eastAsia" w:eastAsia="Times New Roman"/>
                <w:sz w:val="18"/>
                <w:szCs w:val="18"/>
                <w:lang w:val="en-GB" w:eastAsia="en-GB"/>
              </w:rPr>
              <w:t xml:space="preserve">The authors declare none. </w:t>
            </w:r>
          </w:p>
          <w:p w14:paraId="5D9123A4">
            <w:pPr>
              <w:spacing w:before="96" w:beforeLines="40" w:after="96" w:afterLines="40" w:line="24" w:lineRule="atLeast"/>
              <w:rPr>
                <w:rFonts w:eastAsia="Times New Roman"/>
                <w:sz w:val="18"/>
                <w:szCs w:val="18"/>
                <w:lang w:val="en-GB" w:eastAsia="en-GB"/>
              </w:rPr>
            </w:pPr>
          </w:p>
        </w:tc>
      </w:tr>
    </w:tbl>
    <w:p w14:paraId="386115B2">
      <w:pPr>
        <w:spacing w:before="240" w:after="240"/>
        <w:rPr>
          <w:sz w:val="19"/>
          <w:szCs w:val="19"/>
        </w:rPr>
      </w:pPr>
      <w:r>
        <w:rPr>
          <w:sz w:val="19"/>
          <w:szCs w:val="19"/>
        </w:rPr>
        <w:t>This checklist is copyrighted by the Equator Network under the Creative Commons Attribution 3.0 Unported (CC BY 3.0) license.</w:t>
      </w:r>
    </w:p>
    <w:p w14:paraId="5DDF8A06">
      <w:pPr>
        <w:widowControl w:val="0"/>
        <w:autoSpaceDE w:val="0"/>
        <w:autoSpaceDN w:val="0"/>
        <w:adjustRightInd w:val="0"/>
        <w:spacing w:before="240" w:after="240" w:line="240" w:lineRule="auto"/>
        <w:ind w:left="640" w:hanging="640"/>
        <w:rPr>
          <w:sz w:val="19"/>
          <w:szCs w:val="19"/>
        </w:rPr>
      </w:pPr>
      <w:r>
        <w:rPr>
          <w:sz w:val="19"/>
          <w:szCs w:val="19"/>
        </w:rPr>
        <w:fldChar w:fldCharType="begin" w:fldLock="1"/>
      </w:r>
      <w:r>
        <w:rPr>
          <w:sz w:val="19"/>
          <w:szCs w:val="19"/>
        </w:rPr>
        <w:instrText xml:space="preserve">ADDIN Mendeley Bibliography CSL_BIBLIOGRAPHY </w:instrText>
      </w:r>
      <w:r>
        <w:rPr>
          <w:sz w:val="19"/>
          <w:szCs w:val="19"/>
        </w:rPr>
        <w:fldChar w:fldCharType="separate"/>
      </w:r>
      <w:r>
        <w:rPr>
          <w:sz w:val="19"/>
          <w:szCs w:val="19"/>
        </w:rPr>
        <w:t xml:space="preserve">1. </w:t>
      </w:r>
      <w:r>
        <w:rPr>
          <w:sz w:val="19"/>
          <w:szCs w:val="19"/>
        </w:rPr>
        <w:tab/>
      </w:r>
      <w:r>
        <w:rPr>
          <w:sz w:val="19"/>
          <w:szCs w:val="19"/>
        </w:rPr>
        <w:t xml:space="preserve">Skrivankova VW, Richmond RC, Woolf BAR, Yarmolinsky J, Davies NM, Swanson SA, et al. Strengthening the Reporting of Observational Studies in Epidemiology using Mendelian Randomization (STROBE-MR) Statement. JAMA. 2021;under review. </w:t>
      </w:r>
    </w:p>
    <w:p w14:paraId="63BF03A9">
      <w:pPr>
        <w:widowControl w:val="0"/>
        <w:autoSpaceDE w:val="0"/>
        <w:autoSpaceDN w:val="0"/>
        <w:adjustRightInd w:val="0"/>
        <w:spacing w:before="240" w:after="240" w:line="240" w:lineRule="auto"/>
        <w:ind w:left="640" w:hanging="640"/>
        <w:rPr>
          <w:sz w:val="19"/>
          <w:szCs w:val="19"/>
        </w:rPr>
      </w:pPr>
      <w:r>
        <w:rPr>
          <w:sz w:val="19"/>
          <w:szCs w:val="19"/>
        </w:rPr>
        <w:t xml:space="preserve">2. </w:t>
      </w:r>
      <w:r>
        <w:rPr>
          <w:sz w:val="19"/>
          <w:szCs w:val="19"/>
        </w:rPr>
        <w:tab/>
      </w:r>
      <w:r>
        <w:rPr>
          <w:sz w:val="19"/>
          <w:szCs w:val="19"/>
        </w:rPr>
        <w:t xml:space="preserve">Skrivankova VW, Richmond RC, Woolf BAR, Davies NM, Swanson SA, VanderWeele TJ, et al. Strengthening the Reporting of Observational Studies in Epidemiology using Mendelian Randomisation (STROBE-MR): Explanation and Elaboration. BMJ. 2021;375:n2233. </w:t>
      </w:r>
    </w:p>
    <w:p w14:paraId="25DB435D">
      <w:pPr>
        <w:spacing w:before="240" w:after="240"/>
      </w:pPr>
      <w:r>
        <w:rPr>
          <w:sz w:val="19"/>
          <w:szCs w:val="19"/>
        </w:rPr>
        <w:fldChar w:fldCharType="end"/>
      </w:r>
    </w:p>
    <w:sectPr>
      <w:footerReference r:id="rId5" w:type="default"/>
      <w:footerReference r:id="rId6" w:type="even"/>
      <w:pgSz w:w="15840" w:h="12240" w:orient="landscape"/>
      <w:pgMar w:top="1008" w:right="720" w:bottom="1008" w:left="720" w:header="720" w:footer="720" w:gutter="0"/>
      <w:pgNumType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B7B5E">
    <w:pPr>
      <w:pStyle w:val="2"/>
      <w:jc w:val="right"/>
    </w:pPr>
    <w:r>
      <w:fldChar w:fldCharType="begin"/>
    </w:r>
    <w:r>
      <w:instrText xml:space="preserve"> PAGE   \* MERGEFORMAT </w:instrText>
    </w:r>
    <w:r>
      <w:fldChar w:fldCharType="separate"/>
    </w:r>
    <w:r>
      <w:t>1</w:t>
    </w:r>
    <w:r>
      <w:fldChar w:fldCharType="end"/>
    </w:r>
  </w:p>
  <w:p w14:paraId="41D89672">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4A166">
    <w:pPr>
      <w:pStyle w:val="2"/>
      <w:framePr w:wrap="auto" w:vAnchor="text" w:hAnchor="margin" w:xAlign="right" w:y="1"/>
      <w:rPr>
        <w:rStyle w:val="5"/>
      </w:rPr>
    </w:pPr>
  </w:p>
  <w:p w14:paraId="40A0897E">
    <w:pPr>
      <w:pStyle w:val="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I3OWQ4YjhiNDVlNjU1Mzc5NTVkMjExMzFjNTgyZmYifQ=="/>
  </w:docVars>
  <w:rsids>
    <w:rsidRoot w:val="00914C56"/>
    <w:rsid w:val="000A4CE8"/>
    <w:rsid w:val="002663E6"/>
    <w:rsid w:val="003D447D"/>
    <w:rsid w:val="003D47DD"/>
    <w:rsid w:val="004B5CBB"/>
    <w:rsid w:val="004E11D4"/>
    <w:rsid w:val="00514462"/>
    <w:rsid w:val="005520ED"/>
    <w:rsid w:val="005A0D0D"/>
    <w:rsid w:val="00665795"/>
    <w:rsid w:val="00685D31"/>
    <w:rsid w:val="006912BF"/>
    <w:rsid w:val="006A41D0"/>
    <w:rsid w:val="006B08D5"/>
    <w:rsid w:val="00804498"/>
    <w:rsid w:val="00914C56"/>
    <w:rsid w:val="00950729"/>
    <w:rsid w:val="009854A9"/>
    <w:rsid w:val="009E033F"/>
    <w:rsid w:val="00BB6328"/>
    <w:rsid w:val="00D65199"/>
    <w:rsid w:val="00D8098C"/>
    <w:rsid w:val="00ED48A3"/>
    <w:rsid w:val="00EF4B94"/>
    <w:rsid w:val="0439319E"/>
    <w:rsid w:val="04D705BF"/>
    <w:rsid w:val="05003798"/>
    <w:rsid w:val="06D51397"/>
    <w:rsid w:val="0A9A624D"/>
    <w:rsid w:val="0B045AE4"/>
    <w:rsid w:val="0FAE176B"/>
    <w:rsid w:val="104B5127"/>
    <w:rsid w:val="1A5C5755"/>
    <w:rsid w:val="1C647A98"/>
    <w:rsid w:val="257870FD"/>
    <w:rsid w:val="28572917"/>
    <w:rsid w:val="300512D8"/>
    <w:rsid w:val="30146F8B"/>
    <w:rsid w:val="34363C66"/>
    <w:rsid w:val="381F52C9"/>
    <w:rsid w:val="3A0D4166"/>
    <w:rsid w:val="4EF14F47"/>
    <w:rsid w:val="514522AE"/>
    <w:rsid w:val="582B6B85"/>
    <w:rsid w:val="5B1A4A81"/>
    <w:rsid w:val="61C755E0"/>
    <w:rsid w:val="670375E7"/>
    <w:rsid w:val="67AE693B"/>
    <w:rsid w:val="6EB16FAA"/>
    <w:rsid w:val="6EF308A5"/>
    <w:rsid w:val="72512DBC"/>
    <w:rsid w:val="73AF73A4"/>
    <w:rsid w:val="75185563"/>
    <w:rsid w:val="76497A7B"/>
    <w:rsid w:val="78B377F8"/>
    <w:rsid w:val="7DA77C5D"/>
    <w:rsid w:val="7F4C461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after="0" w:line="276" w:lineRule="auto"/>
    </w:pPr>
    <w:rPr>
      <w:rFonts w:ascii="Arial" w:hAnsi="Arial" w:eastAsia="Arial" w:cs="Arial"/>
      <w:sz w:val="22"/>
      <w:szCs w:val="22"/>
      <w:lang w:val="en" w:eastAsia="de-CH" w:bidi="ar-SA"/>
    </w:rPr>
  </w:style>
  <w:style w:type="character" w:default="1" w:styleId="4">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680"/>
        <w:tab w:val="right" w:pos="9360"/>
      </w:tabs>
      <w:spacing w:line="240" w:lineRule="auto"/>
    </w:pPr>
  </w:style>
  <w:style w:type="character" w:styleId="5">
    <w:name w:val="page number"/>
    <w:basedOn w:val="4"/>
    <w:semiHidden/>
    <w:unhideWhenUsed/>
    <w:qFormat/>
    <w:uiPriority w:val="99"/>
  </w:style>
  <w:style w:type="character" w:styleId="6">
    <w:name w:val="line number"/>
    <w:basedOn w:val="4"/>
    <w:semiHidden/>
    <w:unhideWhenUsed/>
    <w:uiPriority w:val="99"/>
  </w:style>
  <w:style w:type="character" w:customStyle="1" w:styleId="7">
    <w:name w:val="Footer Char"/>
    <w:basedOn w:val="4"/>
    <w:link w:val="2"/>
    <w:qFormat/>
    <w:uiPriority w:val="99"/>
    <w:rPr>
      <w:rFonts w:ascii="Arial" w:hAnsi="Arial" w:eastAsia="Arial" w:cs="Arial"/>
      <w:lang w:val="en" w:eastAsia="de-CH"/>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B0931C-FCE2-4CC4-80DE-15614B41F1F9}">
  <ds:schemaRefs/>
</ds:datastoreItem>
</file>

<file path=customXml/itemProps2.xml><?xml version="1.0" encoding="utf-8"?>
<ds:datastoreItem xmlns:ds="http://schemas.openxmlformats.org/officeDocument/2006/customXml" ds:itemID="{B7DA32DB-E5B8-4E32-AD11-08F2E668867B}">
  <ds:schemaRefs/>
</ds:datastoreItem>
</file>

<file path=customXml/itemProps3.xml><?xml version="1.0" encoding="utf-8"?>
<ds:datastoreItem xmlns:ds="http://schemas.openxmlformats.org/officeDocument/2006/customXml" ds:itemID="{A9898B61-61B7-44F1-9388-8B27875B1EDA}">
  <ds:schemaRefs/>
</ds:datastoreItem>
</file>

<file path=customXml/itemProps4.xml><?xml version="1.0" encoding="utf-8"?>
<ds:datastoreItem xmlns:ds="http://schemas.openxmlformats.org/officeDocument/2006/customXml" ds:itemID="{5DF20111-77FD-4F18-8E31-D737874646AB}">
  <ds:schemaRefs/>
</ds:datastoreItem>
</file>

<file path=docProps/app.xml><?xml version="1.0" encoding="utf-8"?>
<Properties xmlns="http://schemas.openxmlformats.org/officeDocument/2006/extended-properties" xmlns:vt="http://schemas.openxmlformats.org/officeDocument/2006/docPropsVTypes">
  <Template>Normal.dotm</Template>
  <Company>University of Bern</Company>
  <Pages>10</Pages>
  <Words>1960</Words>
  <Characters>11337</Characters>
  <Lines>286</Lines>
  <Paragraphs>146</Paragraphs>
  <TotalTime>18</TotalTime>
  <ScaleCrop>false</ScaleCrop>
  <LinksUpToDate>false</LinksUpToDate>
  <CharactersWithSpaces>13147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2022-04-07T08:09:00Z</dcterms:created>
  <dc:creator>Whitesell, Veronika (ISPM)</dc:creator>
  <cp:lastModifiedBy>AA 文文</cp:lastModifiedBy>
  <cp:lastPrinted>2021-09-28T07:08:00Z</cp:lastPrinted>
  <dcterms:modified xsi:type="dcterms:W3CDTF">2024-09-29T03:49:08Z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KSOProductBuildVer">
    <vt:lpwstr>2052-12.1.0.18276</vt:lpwstr>
  </property>
  <property fmtid="{D5CDD505-2E9C-101B-9397-08002B2CF9AE}" pid="27" name="ICV">
    <vt:lpwstr>498DD87B3E8E432AAD78F1C39DA802B1_12</vt:lpwstr>
  </property>
</Properties>
</file>