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4B2A6">
      <w:pPr>
        <w:jc w:val="center"/>
        <w:rPr>
          <w:rFonts w:hint="eastAsia" w:eastAsiaTheme="minorEastAsia"/>
          <w:color w:val="auto"/>
          <w:lang w:eastAsia="zh-CN"/>
        </w:rPr>
      </w:pPr>
      <w:bookmarkStart w:id="0" w:name="_GoBack"/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2700655" cy="3148330"/>
            <wp:effectExtent l="0" t="0" r="4445" b="127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D617A"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F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</w:rPr>
        <w:t>igure S1</w:t>
      </w:r>
      <w:r>
        <w:rPr>
          <w:rFonts w:hint="eastAsia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Effect of matrix hydrogel encapsulation of BMSCs on the viability of BMSCs.</w:t>
      </w:r>
    </w:p>
    <w:p w14:paraId="0C55C7ED">
      <w:pPr>
        <w:spacing w:line="360" w:lineRule="auto"/>
        <w:jc w:val="center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The viability of BMSCs was assessed in the matrix hydrogel using the CCK-8 assay.</w:t>
      </w:r>
    </w:p>
    <w:p w14:paraId="3BF715A9">
      <w:pPr>
        <w:jc w:val="center"/>
        <w:rPr>
          <w:rFonts w:hint="eastAsia" w:eastAsiaTheme="minorEastAsia"/>
          <w:color w:val="auto"/>
          <w:lang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A912B6"/>
    <w:rsid w:val="4E0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140</Characters>
  <Lines>0</Lines>
  <Paragraphs>0</Paragraphs>
  <TotalTime>0</TotalTime>
  <ScaleCrop>false</ScaleCrop>
  <LinksUpToDate>false</LinksUpToDate>
  <CharactersWithSpaces>166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2025-03-27T01:37:00Z</dcterms:created>
  <dc:creator>wxy_honor</dc:creator>
  <cp:lastModifiedBy>editor</cp:lastModifiedBy>
  <dcterms:modified xsi:type="dcterms:W3CDTF">2025-03-28T03:18:59Z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eyJoZGlkIjoiZjdhZjY5NDc4OGI0YTE5ZjY5ODQ0ODUwN2Q0NWVhODAiLCJ1c2VySWQiOiI2MjE3MTMzNzYifQ==</vt:lpwstr>
  </property>
  <property fmtid="{D5CDD505-2E9C-101B-9397-08002B2CF9AE}" pid="4" name="ICV">
    <vt:lpwstr>99ECD424964A4B948592AE6E142878B8_12</vt:lpwstr>
  </property>
</Properties>
</file>