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E661A" w14:textId="3FC3506C" w:rsidR="00095BC6" w:rsidRPr="000C38BF" w:rsidRDefault="00095BC6" w:rsidP="00095BC6">
      <w:pPr>
        <w:spacing w:after="160" w:line="278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bookmarkStart w:id="0" w:name="_Toc176220293"/>
      <w:r w:rsidRPr="000C38B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Supporting Information</w:t>
      </w:r>
    </w:p>
    <w:p w14:paraId="0EFFC98B" w14:textId="77777777" w:rsidR="00095BC6" w:rsidRPr="000C38BF" w:rsidRDefault="00095BC6" w:rsidP="00095BC6">
      <w:pPr>
        <w:rPr>
          <w:color w:val="000000" w:themeColor="text1"/>
        </w:rPr>
      </w:pPr>
    </w:p>
    <w:p w14:paraId="38474976" w14:textId="77777777" w:rsidR="00095BC6" w:rsidRPr="000C38BF" w:rsidRDefault="00095BC6" w:rsidP="00095BC6">
      <w:pPr>
        <w:spacing w:after="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BH"/>
        </w:rPr>
      </w:pPr>
      <w:bookmarkStart w:id="1" w:name="_Hlk188873213"/>
      <w:r w:rsidRPr="000C38B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BH"/>
        </w:rPr>
        <w:t xml:space="preserve">Surface modification of MXene using cationic CTAB surfactant </w:t>
      </w:r>
      <w:bookmarkEnd w:id="1"/>
      <w:r w:rsidRPr="000C38B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BH"/>
        </w:rPr>
        <w:t>for adsorptive elimination of cefazolin antibiotic from water</w:t>
      </w:r>
    </w:p>
    <w:p w14:paraId="03F1F1A9" w14:textId="77777777" w:rsidR="00095BC6" w:rsidRPr="000C38BF" w:rsidRDefault="00095BC6" w:rsidP="00095BC6">
      <w:pPr>
        <w:jc w:val="both"/>
        <w:rPr>
          <w:rFonts w:asciiTheme="majorBidi" w:hAnsiTheme="majorBidi" w:cstheme="majorBidi"/>
          <w:color w:val="000000" w:themeColor="text1"/>
        </w:rPr>
      </w:pPr>
    </w:p>
    <w:p w14:paraId="3F7C10E1" w14:textId="77777777" w:rsidR="00095BC6" w:rsidRPr="000C38BF" w:rsidRDefault="00095BC6" w:rsidP="00095BC6">
      <w:pPr>
        <w:spacing w:after="0" w:line="480" w:lineRule="auto"/>
        <w:jc w:val="center"/>
        <w:rPr>
          <w:rFonts w:asciiTheme="majorBidi" w:hAnsiTheme="majorBidi" w:cstheme="majorBidi"/>
          <w:iCs/>
          <w:color w:val="000000" w:themeColor="text1"/>
          <w:sz w:val="24"/>
          <w:szCs w:val="24"/>
        </w:rPr>
      </w:pPr>
      <w:r w:rsidRPr="000C38BF">
        <w:rPr>
          <w:rFonts w:asciiTheme="majorBidi" w:hAnsiTheme="majorBidi" w:cstheme="majorBidi"/>
          <w:iCs/>
          <w:color w:val="000000" w:themeColor="text1"/>
          <w:sz w:val="24"/>
          <w:szCs w:val="24"/>
        </w:rPr>
        <w:t xml:space="preserve">Jafar Abdi </w:t>
      </w:r>
      <w:r w:rsidRPr="000C38BF">
        <w:rPr>
          <w:rFonts w:asciiTheme="majorBidi" w:hAnsiTheme="majorBidi" w:cstheme="majorBidi"/>
          <w:iCs/>
          <w:color w:val="000000" w:themeColor="text1"/>
          <w:sz w:val="24"/>
          <w:szCs w:val="24"/>
          <w:vertAlign w:val="superscript"/>
        </w:rPr>
        <w:t>a, b, *</w:t>
      </w:r>
      <w:r w:rsidRPr="000C38BF">
        <w:rPr>
          <w:rFonts w:asciiTheme="majorBidi" w:hAnsiTheme="majorBidi" w:cstheme="majorBidi"/>
          <w:iCs/>
          <w:color w:val="000000" w:themeColor="text1"/>
          <w:sz w:val="24"/>
          <w:szCs w:val="24"/>
        </w:rPr>
        <w:t xml:space="preserve">, Golshan Mazloom </w:t>
      </w:r>
      <w:r w:rsidRPr="000C38BF">
        <w:rPr>
          <w:rFonts w:asciiTheme="majorBidi" w:hAnsiTheme="majorBidi" w:cstheme="majorBidi"/>
          <w:iCs/>
          <w:color w:val="000000" w:themeColor="text1"/>
          <w:sz w:val="24"/>
          <w:szCs w:val="24"/>
          <w:vertAlign w:val="superscript"/>
        </w:rPr>
        <w:t>c</w:t>
      </w:r>
      <w:r w:rsidRPr="000C38BF">
        <w:rPr>
          <w:rFonts w:asciiTheme="majorBidi" w:hAnsiTheme="majorBidi" w:cstheme="majorBidi"/>
          <w:iCs/>
          <w:color w:val="000000" w:themeColor="text1"/>
          <w:sz w:val="24"/>
          <w:szCs w:val="24"/>
        </w:rPr>
        <w:t>, Yeojoon Yoon</w:t>
      </w:r>
      <w:r w:rsidRPr="000C38BF">
        <w:rPr>
          <w:rFonts w:asciiTheme="majorBidi" w:hAnsiTheme="majorBidi" w:cstheme="majorBidi"/>
          <w:color w:val="000000" w:themeColor="text1"/>
        </w:rPr>
        <w:t xml:space="preserve"> </w:t>
      </w:r>
      <w:r w:rsidRPr="000C38BF">
        <w:rPr>
          <w:rFonts w:asciiTheme="majorBidi" w:hAnsiTheme="majorBidi" w:cstheme="majorBidi"/>
          <w:iCs/>
          <w:color w:val="000000" w:themeColor="text1"/>
          <w:sz w:val="24"/>
          <w:szCs w:val="24"/>
          <w:vertAlign w:val="superscript"/>
        </w:rPr>
        <w:t>d</w:t>
      </w:r>
    </w:p>
    <w:p w14:paraId="15A05032" w14:textId="77777777" w:rsidR="00095BC6" w:rsidRPr="000C38BF" w:rsidRDefault="00095BC6" w:rsidP="00095BC6">
      <w:pPr>
        <w:jc w:val="both"/>
        <w:rPr>
          <w:rFonts w:asciiTheme="majorBidi" w:hAnsiTheme="majorBidi" w:cstheme="majorBidi"/>
          <w:color w:val="000000" w:themeColor="text1"/>
        </w:rPr>
      </w:pPr>
    </w:p>
    <w:p w14:paraId="42315A71" w14:textId="77777777" w:rsidR="00095BC6" w:rsidRPr="000C38BF" w:rsidRDefault="00095BC6" w:rsidP="00095BC6">
      <w:pPr>
        <w:pStyle w:val="BCAuthorAddress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0C38BF">
        <w:rPr>
          <w:rFonts w:asciiTheme="majorBidi" w:hAnsiTheme="majorBidi" w:cstheme="majorBidi"/>
          <w:b/>
          <w:bCs/>
          <w:color w:val="000000" w:themeColor="text1"/>
          <w:sz w:val="22"/>
          <w:szCs w:val="22"/>
          <w:vertAlign w:val="superscript"/>
        </w:rPr>
        <w:t xml:space="preserve">a </w:t>
      </w:r>
      <w:r w:rsidRPr="000C38BF">
        <w:rPr>
          <w:rFonts w:asciiTheme="majorBidi" w:hAnsiTheme="majorBidi" w:cstheme="majorBidi"/>
          <w:color w:val="000000" w:themeColor="text1"/>
          <w:sz w:val="22"/>
          <w:szCs w:val="22"/>
        </w:rPr>
        <w:t>Faculty of Chemical and Materials Engineering, Shahrood University of Technology, 3619995161 Shahrood, Iran</w:t>
      </w:r>
    </w:p>
    <w:p w14:paraId="7A677771" w14:textId="77777777" w:rsidR="00095BC6" w:rsidRPr="000C38BF" w:rsidRDefault="00095BC6" w:rsidP="00095BC6">
      <w:pPr>
        <w:rPr>
          <w:rFonts w:asciiTheme="majorBidi" w:hAnsiTheme="majorBidi" w:cstheme="majorBidi"/>
          <w:color w:val="000000" w:themeColor="text1"/>
        </w:rPr>
      </w:pPr>
      <w:r w:rsidRPr="000C38BF">
        <w:rPr>
          <w:rFonts w:asciiTheme="majorBidi" w:hAnsiTheme="majorBidi" w:cstheme="majorBidi"/>
          <w:color w:val="000000" w:themeColor="text1"/>
          <w:vertAlign w:val="superscript"/>
        </w:rPr>
        <w:t>b</w:t>
      </w:r>
      <w:r w:rsidRPr="000C38BF">
        <w:rPr>
          <w:rFonts w:asciiTheme="majorBidi" w:hAnsiTheme="majorBidi" w:cstheme="majorBidi"/>
          <w:color w:val="000000" w:themeColor="text1"/>
        </w:rPr>
        <w:t xml:space="preserve"> Center for International Scientific Studies and Collaborations, Tehran, Iran</w:t>
      </w:r>
    </w:p>
    <w:p w14:paraId="6E5E1472" w14:textId="77777777" w:rsidR="00095BC6" w:rsidRPr="000C38BF" w:rsidRDefault="00095BC6" w:rsidP="00095BC6">
      <w:pPr>
        <w:rPr>
          <w:rFonts w:asciiTheme="majorBidi" w:hAnsiTheme="majorBidi" w:cstheme="majorBidi"/>
          <w:color w:val="000000" w:themeColor="text1"/>
        </w:rPr>
      </w:pPr>
      <w:r w:rsidRPr="000C38BF">
        <w:rPr>
          <w:rFonts w:asciiTheme="majorBidi" w:hAnsiTheme="majorBidi" w:cstheme="majorBidi"/>
          <w:color w:val="000000" w:themeColor="text1"/>
          <w:vertAlign w:val="superscript"/>
        </w:rPr>
        <w:t>c</w:t>
      </w:r>
      <w:r w:rsidRPr="000C38BF">
        <w:rPr>
          <w:rFonts w:asciiTheme="majorBidi" w:hAnsiTheme="majorBidi" w:cstheme="majorBidi"/>
          <w:color w:val="000000" w:themeColor="text1"/>
        </w:rPr>
        <w:t xml:space="preserve"> Department of Chemical Engineering, Faculty of Engineering, University of Mazandaran, 47416-13534 Babolsar, Iran</w:t>
      </w:r>
    </w:p>
    <w:p w14:paraId="2A4356EC" w14:textId="77777777" w:rsidR="00095BC6" w:rsidRPr="000C38BF" w:rsidRDefault="00095BC6" w:rsidP="00095BC6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0C38BF">
        <w:rPr>
          <w:rFonts w:asciiTheme="majorBidi" w:hAnsiTheme="majorBidi" w:cstheme="majorBidi"/>
          <w:color w:val="000000" w:themeColor="text1"/>
          <w:vertAlign w:val="superscript"/>
        </w:rPr>
        <w:t>d</w:t>
      </w:r>
      <w:r w:rsidRPr="000C38BF">
        <w:rPr>
          <w:rFonts w:asciiTheme="majorBidi" w:hAnsiTheme="majorBidi" w:cstheme="majorBidi"/>
          <w:color w:val="000000" w:themeColor="text1"/>
        </w:rPr>
        <w:t xml:space="preserve"> Department of Environmental and Energy Engineering, Yonsei University, Wonju, Republic of Korea</w:t>
      </w:r>
    </w:p>
    <w:p w14:paraId="727ED0EB" w14:textId="77777777" w:rsidR="00095BC6" w:rsidRPr="000C38BF" w:rsidRDefault="00095BC6" w:rsidP="00095BC6">
      <w:pPr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0621A962" w14:textId="77777777" w:rsidR="00095BC6" w:rsidRPr="000C38BF" w:rsidRDefault="00095BC6" w:rsidP="00095BC6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38BF">
        <w:rPr>
          <w:rFonts w:asciiTheme="majorBidi" w:hAnsiTheme="majorBidi" w:cstheme="majorBidi"/>
          <w:color w:val="000000" w:themeColor="text1"/>
          <w:sz w:val="24"/>
          <w:szCs w:val="24"/>
        </w:rPr>
        <w:t>Corresponding authors (*):</w:t>
      </w:r>
    </w:p>
    <w:p w14:paraId="546BB831" w14:textId="77777777" w:rsidR="00095BC6" w:rsidRPr="000C38BF" w:rsidRDefault="00095BC6" w:rsidP="00095BC6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hyperlink r:id="rId5" w:history="1">
        <w:r w:rsidRPr="000C38BF">
          <w:rPr>
            <w:rStyle w:val="Hyperlink"/>
            <w:rFonts w:asciiTheme="majorBidi" w:hAnsiTheme="majorBidi"/>
            <w:color w:val="000000" w:themeColor="text1"/>
            <w:sz w:val="24"/>
            <w:szCs w:val="24"/>
          </w:rPr>
          <w:t>Jafar.abdi@shahroodut.ac.ir</w:t>
        </w:r>
      </w:hyperlink>
      <w:r w:rsidRPr="000C38BF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(J. Abdi)</w:t>
      </w:r>
    </w:p>
    <w:p w14:paraId="4386145B" w14:textId="77777777" w:rsidR="00095BC6" w:rsidRPr="000C38BF" w:rsidRDefault="00095BC6" w:rsidP="00095BC6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9C7B7C3" w14:textId="77777777" w:rsidR="00095BC6" w:rsidRPr="000C38BF" w:rsidRDefault="00095BC6" w:rsidP="00095BC6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0C38BF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br w:type="page"/>
      </w:r>
    </w:p>
    <w:p w14:paraId="7F36DE1D" w14:textId="1A55105A" w:rsidR="003B3CA0" w:rsidRPr="00A43714" w:rsidRDefault="003B3CA0" w:rsidP="00571853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4371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 xml:space="preserve">Evaluation of the </w:t>
      </w:r>
      <w:r w:rsidR="009F5B49" w:rsidRPr="00A4371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kinetic and isotherm </w:t>
      </w:r>
      <w:r w:rsidRPr="00A4371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models quality</w:t>
      </w:r>
    </w:p>
    <w:p w14:paraId="76F3FC90" w14:textId="11151CF4" w:rsidR="003B3CA0" w:rsidRPr="00A43714" w:rsidRDefault="003B3CA0" w:rsidP="003B3CA0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4371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quality and reliability of the </w:t>
      </w:r>
      <w:r w:rsidR="002B75DF" w:rsidRPr="00A4371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kinetic and isotherm </w:t>
      </w:r>
      <w:r w:rsidRPr="00A43714">
        <w:rPr>
          <w:rFonts w:asciiTheme="majorBidi" w:hAnsiTheme="majorBidi" w:cstheme="majorBidi"/>
          <w:color w:val="000000" w:themeColor="text1"/>
          <w:sz w:val="24"/>
          <w:szCs w:val="24"/>
        </w:rPr>
        <w:t>models were assessed using different statistical techniques described as follows:</w:t>
      </w:r>
    </w:p>
    <w:p w14:paraId="092D0E3C" w14:textId="7D549A66" w:rsidR="003B3CA0" w:rsidRPr="00A43714" w:rsidRDefault="005A0A33" w:rsidP="005A0A33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4371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1. </w:t>
      </w:r>
      <w:r w:rsidR="003B3CA0" w:rsidRPr="00A43714">
        <w:rPr>
          <w:rFonts w:asciiTheme="majorBidi" w:hAnsiTheme="majorBidi" w:cstheme="majorBidi"/>
          <w:color w:val="000000" w:themeColor="text1"/>
          <w:sz w:val="24"/>
          <w:szCs w:val="24"/>
        </w:rPr>
        <w:t>The average absolute relative deviation of the model results from the experimental values was calculated by the average absolute relative error (AARE):</w:t>
      </w:r>
    </w:p>
    <w:p w14:paraId="65DF209A" w14:textId="77777777" w:rsidR="005A0A33" w:rsidRPr="00A43714" w:rsidRDefault="003B3CA0" w:rsidP="005A0A33">
      <w:pPr>
        <w:pStyle w:val="ListParagraph"/>
        <w:spacing w:after="0" w:line="480" w:lineRule="auto"/>
        <w:ind w:left="420"/>
        <w:jc w:val="both"/>
        <w:rPr>
          <w:rFonts w:ascii="Times New Roman" w:eastAsiaTheme="minorEastAsia" w:hAnsi="Times New Roman"/>
        </w:rPr>
      </w:pPr>
      <m:oMath>
        <m:r>
          <w:rPr>
            <w:rFonts w:ascii="Cambria Math" w:hAnsi="Cambria Math"/>
          </w:rPr>
          <m:t>AARE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%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100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(i)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model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-X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(i)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exp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(i)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exp</m:t>
                        </m:r>
                      </m:sub>
                    </m:sSub>
                  </m:den>
                </m:f>
              </m:e>
            </m:d>
          </m:e>
        </m:nary>
      </m:oMath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</w:p>
    <w:p w14:paraId="16A67B11" w14:textId="2A55D773" w:rsidR="003B3CA0" w:rsidRPr="00A43714" w:rsidRDefault="005A0A33" w:rsidP="005A0A33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4371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2. </w:t>
      </w:r>
      <w:r w:rsidR="003B3CA0" w:rsidRPr="00A4371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root </w:t>
      </w:r>
      <w:proofErr w:type="gramStart"/>
      <w:r w:rsidR="003B3CA0" w:rsidRPr="00A43714">
        <w:rPr>
          <w:rFonts w:asciiTheme="majorBidi" w:hAnsiTheme="majorBidi" w:cstheme="majorBidi"/>
          <w:color w:val="000000" w:themeColor="text1"/>
          <w:sz w:val="24"/>
          <w:szCs w:val="24"/>
        </w:rPr>
        <w:t>mean</w:t>
      </w:r>
      <w:proofErr w:type="gramEnd"/>
      <w:r w:rsidR="003B3CA0" w:rsidRPr="00A4371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square error (RMSE), which indicates the error dispersion, is calculated by:</w:t>
      </w:r>
    </w:p>
    <w:p w14:paraId="0BCBF699" w14:textId="3E386CFA" w:rsidR="003B3CA0" w:rsidRPr="00A43714" w:rsidRDefault="003B3CA0" w:rsidP="003B3CA0">
      <w:pPr>
        <w:pStyle w:val="ListParagraph"/>
        <w:spacing w:after="0" w:line="480" w:lineRule="auto"/>
        <w:ind w:left="420"/>
        <w:jc w:val="both"/>
        <w:rPr>
          <w:rFonts w:ascii="Times New Roman" w:eastAsiaTheme="minorEastAsia" w:hAnsi="Times New Roman"/>
        </w:rPr>
      </w:pPr>
      <m:oMath>
        <m:r>
          <w:rPr>
            <w:rFonts w:ascii="Cambria Math" w:hAnsi="Cambria Math"/>
          </w:rPr>
          <m:t>RMSE=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  <m:e>
                        <m:r>
                          <w:rPr>
                            <w:rFonts w:ascii="Cambria Math" w:hAnsi="Cambria Math"/>
                          </w:rPr>
                          <m:t>(X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model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-X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(i)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exp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)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nary>
                  </m:num>
                  <m:den>
                    <m:r>
                      <w:rPr>
                        <w:rFonts w:ascii="Cambria Math" w:hAnsi="Cambria Math"/>
                      </w:rPr>
                      <m:t>n</m:t>
                    </m:r>
                  </m:den>
                </m:f>
              </m:e>
            </m:d>
          </m:e>
          <m:sup>
            <m:f>
              <m:fPr>
                <m:type m:val="skw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p>
        </m:sSup>
      </m:oMath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</w:p>
    <w:p w14:paraId="2AC000A2" w14:textId="781784D4" w:rsidR="003B3CA0" w:rsidRPr="00A43714" w:rsidRDefault="006708B7" w:rsidP="006708B7">
      <w:pPr>
        <w:spacing w:after="0" w:line="48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A43714">
        <w:rPr>
          <w:rFonts w:ascii="Times New Roman" w:eastAsiaTheme="minorEastAsia" w:hAnsi="Times New Roman"/>
          <w:sz w:val="24"/>
          <w:szCs w:val="24"/>
        </w:rPr>
        <w:t xml:space="preserve">3. </w:t>
      </w:r>
      <w:r w:rsidR="003B3CA0" w:rsidRPr="00A43714">
        <w:rPr>
          <w:rFonts w:ascii="Times New Roman" w:eastAsiaTheme="minorEastAsia" w:hAnsi="Times New Roman"/>
          <w:sz w:val="24"/>
          <w:szCs w:val="24"/>
        </w:rPr>
        <w:t xml:space="preserve">The dispersion of data is investigated by the standard deviation of errors (STD), which can be calculated using: </w:t>
      </w:r>
    </w:p>
    <w:p w14:paraId="22E51168" w14:textId="3CC3EA23" w:rsidR="003B3CA0" w:rsidRPr="00A43714" w:rsidRDefault="003B3CA0" w:rsidP="003B3CA0">
      <w:pPr>
        <w:pStyle w:val="ListParagraph"/>
        <w:spacing w:after="0" w:line="480" w:lineRule="auto"/>
        <w:ind w:left="420"/>
        <w:jc w:val="both"/>
        <w:rPr>
          <w:rFonts w:ascii="Times New Roman" w:eastAsiaTheme="minorEastAsia" w:hAnsi="Times New Roman"/>
        </w:rPr>
      </w:pPr>
      <m:oMath>
        <m:r>
          <w:rPr>
            <w:rFonts w:ascii="Cambria Math" w:hAnsi="Cambria Math"/>
          </w:rPr>
          <m:t>STD=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model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X(i)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model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)</m:t>
                </m:r>
              </m:e>
              <m:sup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sup>
            </m:sSup>
          </m:e>
        </m:nary>
      </m:oMath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  <w:r w:rsidRPr="00A43714">
        <w:rPr>
          <w:rFonts w:ascii="Times New Roman" w:eastAsiaTheme="minorEastAsia" w:hAnsi="Times New Roman"/>
        </w:rPr>
        <w:tab/>
      </w:r>
    </w:p>
    <w:p w14:paraId="48D9925B" w14:textId="10E5152B" w:rsidR="003B3CA0" w:rsidRPr="00A43714" w:rsidRDefault="00DE20F2" w:rsidP="00DE20F2">
      <w:pPr>
        <w:spacing w:after="0" w:line="48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A43714">
        <w:rPr>
          <w:rFonts w:ascii="Times New Roman" w:eastAsiaTheme="minorEastAsia" w:hAnsi="Times New Roman"/>
          <w:sz w:val="24"/>
          <w:szCs w:val="24"/>
        </w:rPr>
        <w:t xml:space="preserve">4. </w:t>
      </w:r>
      <w:r w:rsidR="003B3CA0" w:rsidRPr="00A43714">
        <w:rPr>
          <w:rFonts w:ascii="Times New Roman" w:eastAsiaTheme="minorEastAsia" w:hAnsi="Times New Roman"/>
          <w:sz w:val="24"/>
          <w:szCs w:val="24"/>
        </w:rPr>
        <w:t xml:space="preserve">The coefficient of determination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</m:e>
        </m:d>
      </m:oMath>
      <w:r w:rsidR="003B3CA0" w:rsidRPr="00A43714">
        <w:rPr>
          <w:rFonts w:ascii="Times New Roman" w:eastAsiaTheme="minorEastAsia" w:hAnsi="Times New Roman"/>
          <w:sz w:val="24"/>
          <w:szCs w:val="24"/>
        </w:rPr>
        <w:t xml:space="preserve"> which assigns the accuracy of the predictions. The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</m:oMath>
      <w:r w:rsidR="003B3CA0" w:rsidRPr="00A43714">
        <w:rPr>
          <w:rFonts w:ascii="Times New Roman" w:eastAsiaTheme="minorEastAsia" w:hAnsi="Times New Roman"/>
          <w:sz w:val="24"/>
          <w:szCs w:val="24"/>
        </w:rPr>
        <w:t xml:space="preserve"> value close to 1 determines that the estimation of experimental data is more accurate. </w:t>
      </w:r>
    </w:p>
    <w:p w14:paraId="5DD08326" w14:textId="290AFA21" w:rsidR="003B3CA0" w:rsidRDefault="00000000" w:rsidP="003B3CA0">
      <w:pPr>
        <w:pStyle w:val="ListParagraph"/>
        <w:spacing w:after="0" w:line="480" w:lineRule="auto"/>
        <w:ind w:left="420"/>
        <w:jc w:val="both"/>
        <w:rPr>
          <w:rFonts w:ascii="Times New Roman" w:eastAsiaTheme="minorEastAsia" w:hAnsi="Times New Roman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chr m:val="∑"/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i=1</m:t>
                </m:r>
              </m:sub>
              <m:sup>
                <m:r>
                  <w:rPr>
                    <w:rFonts w:ascii="Cambria Math" w:hAnsi="Cambria Math"/>
                  </w:rPr>
                  <m:t>n</m:t>
                </m:r>
              </m:sup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(i)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model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-X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(i)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exp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nary>
          </m:num>
          <m:den>
            <m:nary>
              <m:naryPr>
                <m:chr m:val="∑"/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i=1</m:t>
                </m:r>
              </m:sub>
              <m:sup>
                <m:r>
                  <w:rPr>
                    <w:rFonts w:ascii="Cambria Math" w:hAnsi="Cambria Math"/>
                  </w:rPr>
                  <m:t>n</m:t>
                </m:r>
              </m:sup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(i)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model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X(i)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exp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nary>
          </m:den>
        </m:f>
      </m:oMath>
      <w:r w:rsidR="003B3CA0" w:rsidRPr="00A43714">
        <w:rPr>
          <w:rFonts w:ascii="Times New Roman" w:eastAsiaTheme="minorEastAsia" w:hAnsi="Times New Roman"/>
        </w:rPr>
        <w:tab/>
      </w:r>
      <w:r w:rsidR="003B3CA0" w:rsidRPr="00A43714">
        <w:rPr>
          <w:rFonts w:ascii="Times New Roman" w:eastAsiaTheme="minorEastAsia" w:hAnsi="Times New Roman"/>
        </w:rPr>
        <w:tab/>
      </w:r>
      <w:r w:rsidR="003B3CA0" w:rsidRPr="00A43714">
        <w:rPr>
          <w:rFonts w:ascii="Times New Roman" w:eastAsiaTheme="minorEastAsia" w:hAnsi="Times New Roman"/>
        </w:rPr>
        <w:tab/>
      </w:r>
      <w:r w:rsidR="003B3CA0" w:rsidRPr="00A43714">
        <w:rPr>
          <w:rFonts w:ascii="Times New Roman" w:eastAsiaTheme="minorEastAsia" w:hAnsi="Times New Roman"/>
        </w:rPr>
        <w:tab/>
      </w:r>
      <w:r w:rsidR="003B3CA0">
        <w:rPr>
          <w:rFonts w:ascii="Times New Roman" w:eastAsiaTheme="minorEastAsia" w:hAnsi="Times New Roman"/>
        </w:rPr>
        <w:tab/>
      </w:r>
      <w:r w:rsidR="003B3CA0">
        <w:rPr>
          <w:rFonts w:ascii="Times New Roman" w:eastAsiaTheme="minorEastAsia" w:hAnsi="Times New Roman"/>
        </w:rPr>
        <w:tab/>
      </w:r>
      <w:r w:rsidR="003B3CA0">
        <w:rPr>
          <w:rFonts w:ascii="Times New Roman" w:eastAsiaTheme="minorEastAsia" w:hAnsi="Times New Roman"/>
        </w:rPr>
        <w:tab/>
        <w:t xml:space="preserve">        </w:t>
      </w:r>
    </w:p>
    <w:p w14:paraId="25A92E80" w14:textId="502B74F0" w:rsidR="003B3CA0" w:rsidRDefault="003B3CA0">
      <w:pPr>
        <w:spacing w:after="160" w:line="278" w:lineRule="auto"/>
        <w:rPr>
          <w:noProof/>
          <w:color w:val="000000" w:themeColor="text1"/>
        </w:rPr>
      </w:pPr>
      <w:r>
        <w:rPr>
          <w:noProof/>
          <w:color w:val="000000" w:themeColor="text1"/>
        </w:rPr>
        <w:br w:type="page"/>
      </w:r>
    </w:p>
    <w:p w14:paraId="1BA4010D" w14:textId="278EA052" w:rsidR="00DE1E9D" w:rsidRPr="000C38BF" w:rsidRDefault="00DE1E9D" w:rsidP="00BA2C1D">
      <w:pPr>
        <w:spacing w:after="0"/>
        <w:jc w:val="center"/>
        <w:rPr>
          <w:noProof/>
          <w:color w:val="000000" w:themeColor="text1"/>
        </w:rPr>
      </w:pPr>
      <w:r w:rsidRPr="000C38BF">
        <w:rPr>
          <w:noProof/>
          <w:color w:val="000000" w:themeColor="text1"/>
          <w:rtl/>
        </w:rPr>
        <w:lastRenderedPageBreak/>
        <w:drawing>
          <wp:inline distT="0" distB="0" distL="0" distR="0" wp14:anchorId="68523D9B" wp14:editId="7F1C55AF">
            <wp:extent cx="5593080" cy="1671349"/>
            <wp:effectExtent l="0" t="0" r="7620" b="5080"/>
            <wp:docPr id="1410303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30352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53642" cy="1689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0C38BF">
        <w:rPr>
          <w:noProof/>
          <w:color w:val="000000" w:themeColor="text1"/>
        </w:rPr>
        <w:t xml:space="preserve"> </w:t>
      </w:r>
    </w:p>
    <w:p w14:paraId="5C4D0097" w14:textId="4FF8A247" w:rsidR="00431C2C" w:rsidRPr="000C38BF" w:rsidRDefault="00431C2C" w:rsidP="00431C2C">
      <w:pPr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651673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fa-IR"/>
        </w:rPr>
        <w:t>Fig. S1.</w:t>
      </w:r>
      <w:r w:rsidRPr="000C38BF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 EDS spectrum and elemental mapping of CTAB@MXene. </w:t>
      </w:r>
    </w:p>
    <w:p w14:paraId="7BC37BBF" w14:textId="72A17C1C" w:rsidR="00DE1E9D" w:rsidRPr="000C38BF" w:rsidRDefault="00DE1E9D" w:rsidP="00FD0F2A">
      <w:pPr>
        <w:jc w:val="center"/>
        <w:rPr>
          <w:noProof/>
          <w:color w:val="000000" w:themeColor="text1"/>
        </w:rPr>
      </w:pPr>
    </w:p>
    <w:p w14:paraId="2F461505" w14:textId="38233DA0" w:rsidR="008D7BFF" w:rsidRPr="000C38BF" w:rsidRDefault="00DE1E9D" w:rsidP="00BA2C1D">
      <w:pPr>
        <w:spacing w:after="0"/>
        <w:jc w:val="center"/>
        <w:rPr>
          <w:color w:val="000000" w:themeColor="text1"/>
        </w:rPr>
      </w:pPr>
      <w:r w:rsidRPr="000C38BF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A39EB46" wp14:editId="07635CC5">
                <wp:simplePos x="0" y="0"/>
                <wp:positionH relativeFrom="column">
                  <wp:posOffset>1493520</wp:posOffset>
                </wp:positionH>
                <wp:positionV relativeFrom="paragraph">
                  <wp:posOffset>3242945</wp:posOffset>
                </wp:positionV>
                <wp:extent cx="472440" cy="365760"/>
                <wp:effectExtent l="0" t="0" r="0" b="0"/>
                <wp:wrapNone/>
                <wp:docPr id="6712495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C96EC" w14:textId="19172A8C" w:rsidR="000764A1" w:rsidRPr="000764A1" w:rsidRDefault="000764A1" w:rsidP="000764A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764A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  <w:r w:rsidRPr="000764A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39EB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7.6pt;margin-top:255.35pt;width:37.2pt;height:28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" filled="f" stroked="f">
                <v:textbox>
                  <w:txbxContent>
                    <w:p w14:paraId="546C96EC" w14:textId="19172A8C" w:rsidR="000764A1" w:rsidRPr="000764A1" w:rsidRDefault="000764A1" w:rsidP="000764A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764A1">
                        <w:rPr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  <w:r w:rsidRPr="000764A1">
                        <w:rPr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0C38BF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B415D6" wp14:editId="2EEA7D4A">
                <wp:simplePos x="0" y="0"/>
                <wp:positionH relativeFrom="column">
                  <wp:posOffset>1501140</wp:posOffset>
                </wp:positionH>
                <wp:positionV relativeFrom="paragraph">
                  <wp:posOffset>126365</wp:posOffset>
                </wp:positionV>
                <wp:extent cx="472440" cy="36576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40F0A" w14:textId="41E7A018" w:rsidR="000764A1" w:rsidRPr="000764A1" w:rsidRDefault="000764A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764A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415D6" id="_x0000_s1027" type="#_x0000_t202" style="position:absolute;left:0;text-align:left;margin-left:118.2pt;margin-top:9.95pt;width:37.2pt;height:28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" filled="f" stroked="f">
                <v:textbox>
                  <w:txbxContent>
                    <w:p w14:paraId="53F40F0A" w14:textId="41E7A018" w:rsidR="000764A1" w:rsidRPr="000764A1" w:rsidRDefault="000764A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764A1">
                        <w:rPr>
                          <w:b/>
                          <w:bCs/>
                          <w:sz w:val="28"/>
                          <w:szCs w:val="28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FD0F2A" w:rsidRPr="000C38BF">
        <w:rPr>
          <w:noProof/>
          <w:color w:val="000000" w:themeColor="text1"/>
        </w:rPr>
        <w:drawing>
          <wp:inline distT="0" distB="0" distL="0" distR="0" wp14:anchorId="73438792" wp14:editId="3FD67C8C">
            <wp:extent cx="3680460" cy="3098576"/>
            <wp:effectExtent l="0" t="0" r="0" b="6985"/>
            <wp:docPr id="966169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834" cy="3101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F2A" w:rsidRPr="000C38BF">
        <w:rPr>
          <w:noProof/>
          <w:color w:val="000000" w:themeColor="text1"/>
        </w:rPr>
        <w:drawing>
          <wp:inline distT="0" distB="0" distL="0" distR="0" wp14:anchorId="00B4DD09" wp14:editId="73B077E2">
            <wp:extent cx="3683744" cy="3101340"/>
            <wp:effectExtent l="0" t="0" r="0" b="3810"/>
            <wp:docPr id="2356451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615" cy="310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0C38BF" w:rsidRPr="000C38BF" w14:paraId="1277C99B" w14:textId="77777777" w:rsidTr="008D7BFF">
        <w:tc>
          <w:tcPr>
            <w:tcW w:w="9576" w:type="dxa"/>
            <w:hideMark/>
          </w:tcPr>
          <w:p w14:paraId="1778DB0A" w14:textId="67C6AD54" w:rsidR="008D7BFF" w:rsidRPr="000C38BF" w:rsidRDefault="008D7BFF" w:rsidP="008D7BF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5167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Fig. S</w:t>
            </w:r>
            <w:r w:rsidR="000764A1" w:rsidRPr="0065167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 Non-linear kinetic plots for CFZ adsorption onto CTAB@MXene.</w:t>
            </w:r>
          </w:p>
        </w:tc>
      </w:tr>
    </w:tbl>
    <w:p w14:paraId="4FFD8344" w14:textId="187DF0EA" w:rsidR="00036018" w:rsidRPr="000C38BF" w:rsidRDefault="008D7BFF" w:rsidP="008D7BFF">
      <w:pPr>
        <w:jc w:val="center"/>
        <w:rPr>
          <w:color w:val="000000" w:themeColor="text1"/>
        </w:rPr>
      </w:pPr>
      <w:r w:rsidRPr="000C38BF">
        <w:rPr>
          <w:color w:val="000000" w:themeColor="text1"/>
        </w:rPr>
        <w:lastRenderedPageBreak/>
        <w:t xml:space="preserve"> </w:t>
      </w:r>
      <w:r w:rsidR="00FD0F2A" w:rsidRPr="000C38BF">
        <w:rPr>
          <w:noProof/>
          <w:color w:val="000000" w:themeColor="text1"/>
        </w:rPr>
        <w:drawing>
          <wp:inline distT="0" distB="0" distL="0" distR="0" wp14:anchorId="35905273" wp14:editId="17ACAA20">
            <wp:extent cx="4236720" cy="3436126"/>
            <wp:effectExtent l="0" t="0" r="0" b="0"/>
            <wp:docPr id="544586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502" cy="344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8E5B0" w14:textId="73F273AE" w:rsidR="00080F85" w:rsidRPr="000C38BF" w:rsidRDefault="00080F85" w:rsidP="00080F85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5167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Fig. S3.</w:t>
      </w:r>
      <w:r w:rsidRPr="000C38BF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Non-linear adsorption isotherm plots for CFZ adsorption onto CTAB@MXene.</w:t>
      </w:r>
    </w:p>
    <w:p w14:paraId="0AE478DD" w14:textId="77777777" w:rsidR="00FE0FB2" w:rsidRDefault="00FE0FB2" w:rsidP="008D7BFF">
      <w:pPr>
        <w:jc w:val="center"/>
        <w:rPr>
          <w:color w:val="000000" w:themeColor="text1"/>
        </w:rPr>
      </w:pPr>
    </w:p>
    <w:p w14:paraId="30D9ECBC" w14:textId="77777777" w:rsidR="00524869" w:rsidRDefault="00524869" w:rsidP="008D7BFF">
      <w:pPr>
        <w:jc w:val="center"/>
        <w:rPr>
          <w:color w:val="000000" w:themeColor="text1"/>
        </w:rPr>
      </w:pPr>
    </w:p>
    <w:p w14:paraId="416E0F36" w14:textId="77777777" w:rsidR="00524869" w:rsidRDefault="00524869" w:rsidP="00AE7BFB">
      <w:pPr>
        <w:spacing w:after="0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09DABF2F" wp14:editId="5D91DEDF">
            <wp:extent cx="4747260" cy="3481816"/>
            <wp:effectExtent l="0" t="0" r="0" b="4445"/>
            <wp:docPr id="7409469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518" cy="3487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39B0D" w14:textId="5697BF2B" w:rsidR="00FE0FB2" w:rsidRPr="000C38BF" w:rsidRDefault="00FE0FB2" w:rsidP="00AE7BFB">
      <w:pPr>
        <w:jc w:val="center"/>
        <w:rPr>
          <w:color w:val="000000" w:themeColor="text1"/>
        </w:rPr>
      </w:pPr>
      <w:r w:rsidRPr="0065167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Fig. S4.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AE7BFB" w:rsidRPr="00AE7B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TOC removal rates </w:t>
      </w:r>
      <w:r w:rsidR="00AE7B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adsorption </w:t>
      </w:r>
      <w:r w:rsidR="00AE7BFB" w:rsidRPr="00AE7BFB">
        <w:rPr>
          <w:rFonts w:asciiTheme="majorBidi" w:hAnsiTheme="majorBidi" w:cstheme="majorBidi"/>
          <w:color w:val="000000" w:themeColor="text1"/>
          <w:sz w:val="24"/>
          <w:szCs w:val="24"/>
        </w:rPr>
        <w:t>efficiencies observed via UV-Vis</w:t>
      </w:r>
      <w:r w:rsidR="00AE7B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for</w:t>
      </w:r>
      <w:r w:rsidR="00AE7BFB" w:rsidRPr="00AE7B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CFZ removal.</w:t>
      </w:r>
    </w:p>
    <w:p w14:paraId="60B19A84" w14:textId="77777777" w:rsidR="00524869" w:rsidRDefault="00524869">
      <w:pPr>
        <w:spacing w:after="160" w:line="278" w:lineRule="auto"/>
        <w:rPr>
          <w:rFonts w:asciiTheme="majorBidi" w:hAnsiTheme="majorBidi"/>
          <w:color w:val="000000" w:themeColor="text1"/>
          <w:sz w:val="24"/>
          <w:szCs w:val="24"/>
        </w:rPr>
      </w:pPr>
      <w:r>
        <w:rPr>
          <w:rFonts w:asciiTheme="majorBidi" w:hAnsiTheme="majorBidi"/>
          <w:color w:val="000000" w:themeColor="text1"/>
          <w:sz w:val="24"/>
          <w:szCs w:val="24"/>
        </w:rPr>
        <w:br w:type="page"/>
      </w:r>
    </w:p>
    <w:p w14:paraId="22427FE3" w14:textId="364A6FD9" w:rsidR="007E5F29" w:rsidRPr="000C38BF" w:rsidRDefault="007E5F29" w:rsidP="006A234C">
      <w:pPr>
        <w:spacing w:after="0"/>
        <w:jc w:val="center"/>
        <w:rPr>
          <w:rFonts w:asciiTheme="majorBidi" w:hAnsiTheme="majorBidi"/>
          <w:color w:val="000000" w:themeColor="text1"/>
          <w:sz w:val="24"/>
          <w:szCs w:val="24"/>
        </w:rPr>
      </w:pPr>
      <w:r w:rsidRPr="00651673">
        <w:rPr>
          <w:rFonts w:asciiTheme="majorBidi" w:hAnsiTheme="majorBidi"/>
          <w:b/>
          <w:bCs/>
          <w:color w:val="000000" w:themeColor="text1"/>
          <w:sz w:val="24"/>
          <w:szCs w:val="24"/>
        </w:rPr>
        <w:lastRenderedPageBreak/>
        <w:t>Table S1.</w:t>
      </w:r>
      <w:r w:rsidRPr="000C38BF">
        <w:rPr>
          <w:rFonts w:asciiTheme="majorBidi" w:hAnsiTheme="majorBidi"/>
          <w:color w:val="000000" w:themeColor="text1"/>
          <w:sz w:val="24"/>
          <w:szCs w:val="24"/>
        </w:rPr>
        <w:t xml:space="preserve"> The results of TOC analysis</w:t>
      </w:r>
      <w:r w:rsidR="007851A2" w:rsidRPr="000C38BF">
        <w:rPr>
          <w:rFonts w:asciiTheme="majorBidi" w:hAnsiTheme="majorBidi"/>
          <w:color w:val="000000" w:themeColor="text1"/>
          <w:sz w:val="24"/>
          <w:szCs w:val="24"/>
        </w:rPr>
        <w:t xml:space="preserve"> from the remaining CFZ solution after different adsorption cycles </w:t>
      </w:r>
      <w:r w:rsidR="007851A2" w:rsidRPr="000C38BF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bidi="fa-IR"/>
        </w:rPr>
        <w:t xml:space="preserve">under the optimized conditions.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2340"/>
      </w:tblGrid>
      <w:tr w:rsidR="000C38BF" w:rsidRPr="000C38BF" w14:paraId="5C603D0A" w14:textId="77777777" w:rsidTr="00C455DC">
        <w:trPr>
          <w:jc w:val="center"/>
        </w:trPr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</w:tcPr>
          <w:p w14:paraId="6C30ECD9" w14:textId="77777777" w:rsidR="007E5F29" w:rsidRPr="000C38BF" w:rsidRDefault="007E5F29" w:rsidP="007E5F29">
            <w:pPr>
              <w:spacing w:after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br w:type="page"/>
            </w: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Sample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2BFB2251" w14:textId="77777777" w:rsidR="007E5F29" w:rsidRPr="000C38BF" w:rsidRDefault="007E5F29" w:rsidP="007E5F29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[TOC]</w:t>
            </w: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bscript"/>
              </w:rPr>
              <w:t xml:space="preserve">0 </w:t>
            </w: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(mg/L)</w:t>
            </w:r>
          </w:p>
        </w:tc>
      </w:tr>
      <w:tr w:rsidR="000C38BF" w:rsidRPr="000C38BF" w14:paraId="02F2690A" w14:textId="77777777" w:rsidTr="00C455DC">
        <w:trPr>
          <w:jc w:val="center"/>
        </w:trPr>
        <w:tc>
          <w:tcPr>
            <w:tcW w:w="4770" w:type="dxa"/>
            <w:tcBorders>
              <w:top w:val="single" w:sz="4" w:space="0" w:color="auto"/>
            </w:tcBorders>
          </w:tcPr>
          <w:p w14:paraId="73128AA3" w14:textId="77777777" w:rsidR="007E5F29" w:rsidRPr="000C38BF" w:rsidRDefault="007E5F29" w:rsidP="007E5F29">
            <w:pPr>
              <w:spacing w:after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Pure water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295D7F89" w14:textId="77777777" w:rsidR="007E5F29" w:rsidRPr="000C38BF" w:rsidRDefault="007E5F29" w:rsidP="007E5F29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5.21</w:t>
            </w:r>
          </w:p>
        </w:tc>
      </w:tr>
      <w:tr w:rsidR="000C38BF" w:rsidRPr="000C38BF" w14:paraId="3B647F08" w14:textId="77777777" w:rsidTr="00C455DC">
        <w:trPr>
          <w:jc w:val="center"/>
        </w:trPr>
        <w:tc>
          <w:tcPr>
            <w:tcW w:w="4770" w:type="dxa"/>
          </w:tcPr>
          <w:p w14:paraId="28B455F0" w14:textId="555B8485" w:rsidR="007E5F29" w:rsidRPr="000C38BF" w:rsidRDefault="006A234C" w:rsidP="007E5F29">
            <w:pPr>
              <w:spacing w:after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First cycle</w:t>
            </w:r>
          </w:p>
        </w:tc>
        <w:tc>
          <w:tcPr>
            <w:tcW w:w="2340" w:type="dxa"/>
          </w:tcPr>
          <w:p w14:paraId="29519F99" w14:textId="00900608" w:rsidR="007E5F29" w:rsidRPr="000C38BF" w:rsidRDefault="00937272" w:rsidP="007E5F29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</w:t>
            </w:r>
            <w:r w:rsidR="007E5F29"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.7</w:t>
            </w:r>
          </w:p>
        </w:tc>
      </w:tr>
      <w:tr w:rsidR="000C38BF" w:rsidRPr="000C38BF" w14:paraId="3CFCB0E4" w14:textId="77777777" w:rsidTr="00C455DC">
        <w:trPr>
          <w:jc w:val="center"/>
        </w:trPr>
        <w:tc>
          <w:tcPr>
            <w:tcW w:w="4770" w:type="dxa"/>
          </w:tcPr>
          <w:p w14:paraId="196A3691" w14:textId="036636BE" w:rsidR="007E5F29" w:rsidRPr="000C38BF" w:rsidRDefault="006A234C" w:rsidP="007E5F29">
            <w:pPr>
              <w:spacing w:after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Second cycle</w:t>
            </w:r>
          </w:p>
        </w:tc>
        <w:tc>
          <w:tcPr>
            <w:tcW w:w="2340" w:type="dxa"/>
          </w:tcPr>
          <w:p w14:paraId="1ABC184B" w14:textId="019B575D" w:rsidR="007E5F29" w:rsidRPr="000C38BF" w:rsidRDefault="00937272" w:rsidP="007E5F29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</w:t>
            </w:r>
            <w:r w:rsidR="007E5F29"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.8</w:t>
            </w:r>
          </w:p>
        </w:tc>
      </w:tr>
      <w:tr w:rsidR="000C38BF" w:rsidRPr="000C38BF" w14:paraId="0EE63551" w14:textId="77777777" w:rsidTr="00C455DC">
        <w:trPr>
          <w:jc w:val="center"/>
        </w:trPr>
        <w:tc>
          <w:tcPr>
            <w:tcW w:w="4770" w:type="dxa"/>
          </w:tcPr>
          <w:p w14:paraId="451AE4C8" w14:textId="7027F43C" w:rsidR="007E5F29" w:rsidRPr="000C38BF" w:rsidRDefault="006A234C" w:rsidP="007E5F29">
            <w:pPr>
              <w:spacing w:after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Third cycle </w:t>
            </w:r>
          </w:p>
        </w:tc>
        <w:tc>
          <w:tcPr>
            <w:tcW w:w="2340" w:type="dxa"/>
          </w:tcPr>
          <w:p w14:paraId="33C7B136" w14:textId="03AE4B9C" w:rsidR="007E5F29" w:rsidRPr="000C38BF" w:rsidRDefault="00937272" w:rsidP="007E5F29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</w:t>
            </w:r>
            <w:r w:rsidR="007E5F29"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.6</w:t>
            </w:r>
          </w:p>
        </w:tc>
      </w:tr>
      <w:tr w:rsidR="000C38BF" w:rsidRPr="000C38BF" w14:paraId="6588A325" w14:textId="77777777" w:rsidTr="00C455DC">
        <w:trPr>
          <w:trHeight w:val="58"/>
          <w:jc w:val="center"/>
        </w:trPr>
        <w:tc>
          <w:tcPr>
            <w:tcW w:w="4770" w:type="dxa"/>
            <w:tcBorders>
              <w:bottom w:val="single" w:sz="4" w:space="0" w:color="auto"/>
            </w:tcBorders>
          </w:tcPr>
          <w:p w14:paraId="30982FF4" w14:textId="1B82C063" w:rsidR="007E5F29" w:rsidRPr="000C38BF" w:rsidRDefault="006A234C" w:rsidP="007E5F29">
            <w:pPr>
              <w:spacing w:after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Forth cycle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9748113" w14:textId="7CDB9CB9" w:rsidR="007E5F29" w:rsidRPr="000C38BF" w:rsidRDefault="00937272" w:rsidP="007E5F29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  <w:r w:rsidR="007E5F29" w:rsidRPr="000C38B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.2</w:t>
            </w:r>
          </w:p>
        </w:tc>
      </w:tr>
    </w:tbl>
    <w:p w14:paraId="45E7BC33" w14:textId="77777777" w:rsidR="007E5F29" w:rsidRPr="000C38BF" w:rsidRDefault="007E5F29" w:rsidP="007E5F29">
      <w:pPr>
        <w:spacing w:after="0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14:paraId="045DEC65" w14:textId="77777777" w:rsidR="007E5F29" w:rsidRPr="000C38BF" w:rsidRDefault="007E5F29" w:rsidP="008D7BFF">
      <w:pPr>
        <w:jc w:val="center"/>
        <w:rPr>
          <w:color w:val="000000" w:themeColor="text1"/>
        </w:rPr>
      </w:pPr>
    </w:p>
    <w:sectPr w:rsidR="007E5F29" w:rsidRPr="000C38BF" w:rsidSect="000D0BA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D4D7D"/>
    <w:multiLevelType w:val="multilevel"/>
    <w:tmpl w:val="135031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940562F"/>
    <w:multiLevelType w:val="hybridMultilevel"/>
    <w:tmpl w:val="2C9E079A"/>
    <w:lvl w:ilvl="0" w:tplc="6BC004A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16923049">
    <w:abstractNumId w:val="0"/>
  </w:num>
  <w:num w:numId="2" w16cid:durableId="1914316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4B"/>
    <w:rsid w:val="00017CD0"/>
    <w:rsid w:val="00036018"/>
    <w:rsid w:val="000764A1"/>
    <w:rsid w:val="00080F85"/>
    <w:rsid w:val="00092368"/>
    <w:rsid w:val="00095BC6"/>
    <w:rsid w:val="000C38BF"/>
    <w:rsid w:val="000D0BAD"/>
    <w:rsid w:val="001B0F27"/>
    <w:rsid w:val="001E2359"/>
    <w:rsid w:val="0021539F"/>
    <w:rsid w:val="00230E92"/>
    <w:rsid w:val="002947F9"/>
    <w:rsid w:val="002B75DF"/>
    <w:rsid w:val="003307B5"/>
    <w:rsid w:val="003A0927"/>
    <w:rsid w:val="003B3CA0"/>
    <w:rsid w:val="003D606F"/>
    <w:rsid w:val="003E5E4B"/>
    <w:rsid w:val="004005D3"/>
    <w:rsid w:val="00402582"/>
    <w:rsid w:val="00411764"/>
    <w:rsid w:val="00431C2C"/>
    <w:rsid w:val="00454C13"/>
    <w:rsid w:val="0047068A"/>
    <w:rsid w:val="004B4988"/>
    <w:rsid w:val="004F2FAF"/>
    <w:rsid w:val="00524869"/>
    <w:rsid w:val="00571853"/>
    <w:rsid w:val="005A0A33"/>
    <w:rsid w:val="005F1639"/>
    <w:rsid w:val="00603D4C"/>
    <w:rsid w:val="00612FAC"/>
    <w:rsid w:val="00634306"/>
    <w:rsid w:val="006368B2"/>
    <w:rsid w:val="00651673"/>
    <w:rsid w:val="006708B7"/>
    <w:rsid w:val="00695F60"/>
    <w:rsid w:val="006A234C"/>
    <w:rsid w:val="006A33F7"/>
    <w:rsid w:val="00702F2E"/>
    <w:rsid w:val="0074781A"/>
    <w:rsid w:val="007851A2"/>
    <w:rsid w:val="007E5F29"/>
    <w:rsid w:val="007F3639"/>
    <w:rsid w:val="00805B19"/>
    <w:rsid w:val="008110B4"/>
    <w:rsid w:val="00814CA5"/>
    <w:rsid w:val="0083781A"/>
    <w:rsid w:val="008D24EA"/>
    <w:rsid w:val="008D7BFF"/>
    <w:rsid w:val="00921C88"/>
    <w:rsid w:val="00937272"/>
    <w:rsid w:val="009E1822"/>
    <w:rsid w:val="009F5B49"/>
    <w:rsid w:val="00A426F5"/>
    <w:rsid w:val="00A43714"/>
    <w:rsid w:val="00A5182C"/>
    <w:rsid w:val="00AE72C1"/>
    <w:rsid w:val="00AE7BFB"/>
    <w:rsid w:val="00B01760"/>
    <w:rsid w:val="00B33590"/>
    <w:rsid w:val="00B370A3"/>
    <w:rsid w:val="00BA2C1D"/>
    <w:rsid w:val="00BB3547"/>
    <w:rsid w:val="00BE4845"/>
    <w:rsid w:val="00C455DC"/>
    <w:rsid w:val="00C84AEF"/>
    <w:rsid w:val="00CB7328"/>
    <w:rsid w:val="00CC3461"/>
    <w:rsid w:val="00CD23FA"/>
    <w:rsid w:val="00CD3154"/>
    <w:rsid w:val="00D716FD"/>
    <w:rsid w:val="00D87790"/>
    <w:rsid w:val="00DB2BEE"/>
    <w:rsid w:val="00DE1E9D"/>
    <w:rsid w:val="00DE20F2"/>
    <w:rsid w:val="00DF7693"/>
    <w:rsid w:val="00E06384"/>
    <w:rsid w:val="00E31A03"/>
    <w:rsid w:val="00E378B5"/>
    <w:rsid w:val="00E641E0"/>
    <w:rsid w:val="00E93833"/>
    <w:rsid w:val="00EB041C"/>
    <w:rsid w:val="00F26FDF"/>
    <w:rsid w:val="00F77577"/>
    <w:rsid w:val="00F931B8"/>
    <w:rsid w:val="00FD0F2A"/>
    <w:rsid w:val="00FD537B"/>
    <w:rsid w:val="00FE0FB2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73A23C"/>
  <w14:defaultImageDpi w14:val="32767"/>
  <w15:chartTrackingRefBased/>
  <w15:docId w15:val="{AF54920A-78EA-4FF0-AB66-BF5BDD7C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E4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E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E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E4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E4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E4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E4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E4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E4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E4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E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E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E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E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E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E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5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E4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5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E4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5E4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3E5E4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5E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E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E4B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3E5E4B"/>
    <w:pPr>
      <w:bidi/>
      <w:spacing w:after="0" w:line="360" w:lineRule="auto"/>
      <w:ind w:firstLine="720"/>
      <w:jc w:val="lowKashida"/>
    </w:pPr>
    <w:rPr>
      <w:rFonts w:ascii="Times New Roman" w:eastAsia="Times New Roman" w:hAnsi="Times New Roman" w:cs="Nazanin"/>
      <w:sz w:val="20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3E5E4B"/>
    <w:rPr>
      <w:rFonts w:ascii="Times New Roman" w:eastAsia="Times New Roman" w:hAnsi="Times New Roman" w:cs="Nazanin"/>
      <w:kern w:val="0"/>
      <w:sz w:val="20"/>
      <w:szCs w:val="28"/>
      <w14:ligatures w14:val="none"/>
    </w:rPr>
  </w:style>
  <w:style w:type="table" w:styleId="TableGrid">
    <w:name w:val="Table Grid"/>
    <w:basedOn w:val="TableNormal"/>
    <w:uiPriority w:val="39"/>
    <w:rsid w:val="00036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Title">
    <w:name w:val="BA_Title"/>
    <w:basedOn w:val="Normal"/>
    <w:next w:val="Normal"/>
    <w:rsid w:val="00095BC6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</w:rPr>
  </w:style>
  <w:style w:type="paragraph" w:customStyle="1" w:styleId="BCAuthorAddress">
    <w:name w:val="BC_Author_Address"/>
    <w:basedOn w:val="Normal"/>
    <w:next w:val="Normal"/>
    <w:rsid w:val="00095BC6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095BC6"/>
    <w:rPr>
      <w:color w:val="467886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B3CA0"/>
  </w:style>
  <w:style w:type="character" w:styleId="PlaceholderText">
    <w:name w:val="Placeholder Text"/>
    <w:basedOn w:val="DefaultParagraphFont"/>
    <w:uiPriority w:val="99"/>
    <w:semiHidden/>
    <w:rsid w:val="005A0A3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Jafar.abdi@shahroodut.ac.ir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 abdi</dc:creator>
  <cp:keywords/>
  <dc:description/>
  <cp:lastModifiedBy>jafar abdi</cp:lastModifiedBy>
  <cp:revision>118</cp:revision>
  <dcterms:created xsi:type="dcterms:W3CDTF">2025-04-05T13:13:00Z</dcterms:created>
  <dcterms:modified xsi:type="dcterms:W3CDTF">2025-04-07T20:36:00Z</dcterms:modified>
</cp:coreProperties>
</file>