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b w:val="0"/>
          <w:sz w:val="24"/>
          <w:szCs w:val="24"/>
        </w:rPr>
      </w:pPr>
      <w:r>
        <w:rPr>
          <w:i w:val="0"/>
          <w:iCs/>
          <w:sz w:val="24"/>
          <w:szCs w:val="24"/>
        </w:rPr>
        <w:t>Supplementary Material</w:t>
      </w:r>
    </w:p>
    <w:p>
      <w:pPr>
        <w:jc w:val="center"/>
        <w:rPr>
          <w:rFonts w:hint="eastAsia" w:ascii="Times New Roman" w:hAnsi="Times New Roman"/>
          <w:b/>
          <w:bCs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Association between cardiometabolic index and abdominal aortic calcification: a cross-sectional study on NHANES</w:t>
      </w:r>
    </w:p>
    <w:p>
      <w:pPr>
        <w:rPr>
          <w:rFonts w:hint="eastAsia" w:ascii="Times New Roman" w:hAnsi="Times New Roman"/>
          <w:color w:val="000000"/>
          <w:lang w:val="en-US" w:eastAsia="zh-CN"/>
        </w:rPr>
      </w:pPr>
      <w:r>
        <w:rPr>
          <w:rFonts w:hint="eastAsia" w:ascii="Times New Roman" w:hAnsi="Times New Roman"/>
          <w:color w:val="000000"/>
          <w:lang w:val="en-US" w:eastAsia="zh-CN"/>
        </w:rPr>
        <w:t>Minjiang Ren, Yifan Shen</w:t>
      </w:r>
      <w:r>
        <w:rPr>
          <w:rFonts w:ascii="Times New Roman" w:hAnsi="Times New Roman"/>
          <w:color w:val="000000"/>
        </w:rPr>
        <w:t xml:space="preserve">, </w:t>
      </w:r>
      <w:r>
        <w:rPr>
          <w:rFonts w:hint="eastAsia" w:ascii="Times New Roman" w:hAnsi="Times New Roman"/>
          <w:color w:val="000000"/>
          <w:lang w:val="en-US" w:eastAsia="zh-CN"/>
        </w:rPr>
        <w:t>Ye Yuan, Zhiyu Han, Yun Zhong, Shiming Liu</w:t>
      </w:r>
    </w:p>
    <w:p>
      <w:pPr>
        <w:rPr>
          <w:rFonts w:cs="Times New Roman"/>
          <w:sz w:val="24"/>
          <w:szCs w:val="24"/>
          <w:lang w:eastAsia="zh-CN"/>
        </w:rPr>
      </w:pPr>
      <w:bookmarkStart w:id="0" w:name="_GoBack"/>
      <w:bookmarkEnd w:id="0"/>
      <w:r>
        <w:rPr>
          <w:rFonts w:cs="Times New Roman"/>
          <w:b/>
          <w:bCs/>
          <w:sz w:val="24"/>
          <w:szCs w:val="24"/>
        </w:rPr>
        <w:t>Supplementary Table 1.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 w:cs="Times New Roman"/>
          <w:sz w:val="24"/>
          <w:szCs w:val="24"/>
          <w:lang w:eastAsia="zh-CN"/>
        </w:rPr>
        <w:t>Description of covariates.</w:t>
      </w:r>
    </w:p>
    <w:tbl>
      <w:tblPr>
        <w:tblStyle w:val="4"/>
        <w:tblW w:w="988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5"/>
        <w:gridCol w:w="1750"/>
        <w:gridCol w:w="56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505" w:type="dxa"/>
            <w:tcBorders>
              <w:top w:val="single" w:color="auto" w:sz="8" w:space="0"/>
              <w:bottom w:val="single" w:color="auto" w:sz="4" w:space="0"/>
            </w:tcBorders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Variable</w:t>
            </w:r>
          </w:p>
        </w:tc>
        <w:tc>
          <w:tcPr>
            <w:tcW w:w="1750" w:type="dxa"/>
            <w:tcBorders>
              <w:top w:val="single" w:color="auto" w:sz="8" w:space="0"/>
              <w:bottom w:val="single" w:color="auto" w:sz="4" w:space="0"/>
            </w:tcBorders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Sec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  <w:t>tion</w:t>
            </w:r>
          </w:p>
        </w:tc>
        <w:tc>
          <w:tcPr>
            <w:tcW w:w="5631" w:type="dxa"/>
            <w:tcBorders>
              <w:top w:val="single" w:color="auto" w:sz="8" w:space="0"/>
              <w:bottom w:val="single" w:color="auto" w:sz="4" w:space="0"/>
            </w:tcBorders>
          </w:tcPr>
          <w:p>
            <w:pPr>
              <w:spacing w:before="100" w:beforeAutospacing="1" w:after="100" w:afterAutospacing="1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eastAsia="zh-CN"/>
              </w:rPr>
              <w:t>Description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505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age</w:t>
            </w:r>
          </w:p>
        </w:tc>
        <w:tc>
          <w:tcPr>
            <w:tcW w:w="1750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Demographics Data</w:t>
            </w:r>
          </w:p>
        </w:tc>
        <w:tc>
          <w:tcPr>
            <w:tcW w:w="5631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Age in years of the participant at the time of screening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gender</w:t>
            </w:r>
          </w:p>
        </w:tc>
        <w:tc>
          <w:tcPr>
            <w:tcW w:w="1750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Demographics Data</w:t>
            </w:r>
          </w:p>
        </w:tc>
        <w:tc>
          <w:tcPr>
            <w:tcW w:w="5631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Gender of the participant.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race/ethnicity</w:t>
            </w:r>
          </w:p>
        </w:tc>
        <w:tc>
          <w:tcPr>
            <w:tcW w:w="1750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Demographics Data</w:t>
            </w:r>
          </w:p>
        </w:tc>
        <w:tc>
          <w:tcPr>
            <w:tcW w:w="5631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Recode of reported race and Hispanic origin information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ducation level</w:t>
            </w:r>
          </w:p>
        </w:tc>
        <w:tc>
          <w:tcPr>
            <w:tcW w:w="1750" w:type="dxa"/>
            <w:tcBorders>
              <w:top w:val="single" w:color="auto" w:sz="4" w:space="0"/>
            </w:tcBorders>
            <w:vAlign w:val="top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Demographics Data</w:t>
            </w:r>
          </w:p>
        </w:tc>
        <w:tc>
          <w:tcPr>
            <w:tcW w:w="5631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The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ducation level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was categorized a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 xml:space="preserve">s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less than high school, high school or General Educational Development (GED), or some college and above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arital status</w:t>
            </w:r>
          </w:p>
        </w:tc>
        <w:tc>
          <w:tcPr>
            <w:tcW w:w="1750" w:type="dxa"/>
            <w:tcBorders>
              <w:top w:val="single" w:color="auto" w:sz="4" w:space="0"/>
            </w:tcBorders>
            <w:vAlign w:val="top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Demographics Data</w:t>
            </w:r>
          </w:p>
        </w:tc>
        <w:tc>
          <w:tcPr>
            <w:tcW w:w="5631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The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arital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status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was categorized a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 xml:space="preserve">s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(married/living with a partner, widowed/divorced, or single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505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poverty-to-income ratio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(PIR)</w:t>
            </w:r>
          </w:p>
        </w:tc>
        <w:tc>
          <w:tcPr>
            <w:tcW w:w="1750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Demographics Data</w:t>
            </w:r>
          </w:p>
        </w:tc>
        <w:tc>
          <w:tcPr>
            <w:tcW w:w="5631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A ratio of family income to poverty guidelines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The PIR was categorized as poor (&lt;1.3), medium (≥1.3 to &lt;3.5), or affluent (≥3.5).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body mass index (BMI)</w:t>
            </w:r>
          </w:p>
        </w:tc>
        <w:tc>
          <w:tcPr>
            <w:tcW w:w="1750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Examination Data</w:t>
            </w:r>
          </w:p>
        </w:tc>
        <w:tc>
          <w:tcPr>
            <w:tcW w:w="5631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kg/m²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The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arital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status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was categorized a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 xml:space="preserve">s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normal (&lt;25), overweight (≥25 to &lt;30), or obese (≥30).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tcBorders>
              <w:top w:val="single" w:color="auto" w:sz="4" w:space="0"/>
            </w:tcBorders>
            <w:vAlign w:val="top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tanding Height</w:t>
            </w:r>
          </w:p>
        </w:tc>
        <w:tc>
          <w:tcPr>
            <w:tcW w:w="1750" w:type="dxa"/>
            <w:tcBorders>
              <w:top w:val="single" w:color="auto" w:sz="4" w:space="0"/>
            </w:tcBorders>
            <w:vAlign w:val="top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Examination Data</w:t>
            </w:r>
          </w:p>
        </w:tc>
        <w:tc>
          <w:tcPr>
            <w:tcW w:w="5631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tcBorders>
              <w:top w:val="single" w:color="auto" w:sz="4" w:space="0"/>
            </w:tcBorders>
            <w:vAlign w:val="top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w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aist Circumference</w:t>
            </w:r>
          </w:p>
        </w:tc>
        <w:tc>
          <w:tcPr>
            <w:tcW w:w="1750" w:type="dxa"/>
            <w:tcBorders>
              <w:top w:val="single" w:color="auto" w:sz="4" w:space="0"/>
            </w:tcBorders>
            <w:vAlign w:val="top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Examination Data</w:t>
            </w:r>
          </w:p>
        </w:tc>
        <w:tc>
          <w:tcPr>
            <w:tcW w:w="5631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total cholesterol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(TC)</w:t>
            </w:r>
          </w:p>
        </w:tc>
        <w:tc>
          <w:tcPr>
            <w:tcW w:w="1750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Laboratory Data</w:t>
            </w:r>
          </w:p>
        </w:tc>
        <w:tc>
          <w:tcPr>
            <w:tcW w:w="5631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</w:rPr>
              <w:t>mmol/L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high-density lipoprotein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(HDL)</w:t>
            </w:r>
          </w:p>
        </w:tc>
        <w:tc>
          <w:tcPr>
            <w:tcW w:w="1750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Laboratory Data</w:t>
            </w:r>
          </w:p>
        </w:tc>
        <w:tc>
          <w:tcPr>
            <w:tcW w:w="5631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</w:rPr>
              <w:t>mmol/L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riglycerides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(TG)</w:t>
            </w:r>
          </w:p>
        </w:tc>
        <w:tc>
          <w:tcPr>
            <w:tcW w:w="1750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Laboratory Data</w:t>
            </w:r>
          </w:p>
        </w:tc>
        <w:tc>
          <w:tcPr>
            <w:tcW w:w="5631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</w:rPr>
              <w:t>mmol/L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vMerge w:val="restart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diabetes</w:t>
            </w:r>
          </w:p>
        </w:tc>
        <w:tc>
          <w:tcPr>
            <w:tcW w:w="1750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Questionnaire Data</w:t>
            </w:r>
          </w:p>
        </w:tc>
        <w:tc>
          <w:tcPr>
            <w:tcW w:w="5631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{Other than during pregnancy, {have you/has SP}/ {Have you/Has SP}} ever been told by a doctor or health professional that {you have/{he/she/SP} has} diabetes or sugar diabetes?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2505" w:type="dxa"/>
            <w:vMerge w:val="continue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50" w:type="dxa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Laboratory Data</w:t>
            </w:r>
          </w:p>
        </w:tc>
        <w:tc>
          <w:tcPr>
            <w:tcW w:w="5631" w:type="dxa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Glycohemoglobin&gt; 6.5%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vMerge w:val="continue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50" w:type="dxa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Laboratory Data</w:t>
            </w:r>
          </w:p>
        </w:tc>
        <w:tc>
          <w:tcPr>
            <w:tcW w:w="5631" w:type="dxa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Fasting glucose≥7.0 mmol/L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5" w:type="dxa"/>
            <w:vMerge w:val="continue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50" w:type="dxa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Laboratory Data</w:t>
            </w:r>
          </w:p>
        </w:tc>
        <w:tc>
          <w:tcPr>
            <w:tcW w:w="5631" w:type="dxa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random blood glucose≥11.1 mmol/L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2505" w:type="dxa"/>
            <w:vMerge w:val="continue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50" w:type="dxa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Laboratory Data</w:t>
            </w:r>
          </w:p>
        </w:tc>
        <w:tc>
          <w:tcPr>
            <w:tcW w:w="5631" w:type="dxa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Two Hour Glucose (OGTT)≥11.1 mmol/L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vMerge w:val="restart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hypertension</w:t>
            </w:r>
          </w:p>
        </w:tc>
        <w:tc>
          <w:tcPr>
            <w:tcW w:w="1750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Questionnaire Data</w:t>
            </w:r>
          </w:p>
        </w:tc>
        <w:tc>
          <w:tcPr>
            <w:tcW w:w="5631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{Have you/Has SP} ever been told by a doctor or other health professional that {you/s/he} had hypertension, also called high blood pressure?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05" w:type="dxa"/>
            <w:vMerge w:val="continue"/>
            <w:tcBorders>
              <w:bottom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50" w:type="dxa"/>
            <w:vMerge w:val="restart"/>
            <w:tcBorders>
              <w:bottom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  <w:t>Examination Data</w:t>
            </w:r>
          </w:p>
        </w:tc>
        <w:tc>
          <w:tcPr>
            <w:tcW w:w="5631" w:type="dxa"/>
            <w:vMerge w:val="restart"/>
            <w:tcBorders>
              <w:bottom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Average SBP≥1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0 mmHg, average DBP≥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0 mmHg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05" w:type="dxa"/>
            <w:vMerge w:val="continue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50" w:type="dxa"/>
            <w:vMerge w:val="continue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31" w:type="dxa"/>
            <w:vMerge w:val="continue"/>
            <w:tcBorders>
              <w:top w:val="single" w:color="auto" w:sz="4" w:space="0"/>
            </w:tcBorders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coronary heart disease history</w:t>
            </w:r>
          </w:p>
        </w:tc>
        <w:tc>
          <w:tcPr>
            <w:tcW w:w="175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Questionnaire Data</w:t>
            </w:r>
          </w:p>
        </w:tc>
        <w:tc>
          <w:tcPr>
            <w:tcW w:w="5631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Has a doctor or other health professional ever told {you/SP} that {you/s/he} . . .had congestive heart failure?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coronary heart disease history</w:t>
            </w:r>
          </w:p>
        </w:tc>
        <w:tc>
          <w:tcPr>
            <w:tcW w:w="175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Questionnaire Data</w:t>
            </w:r>
          </w:p>
        </w:tc>
        <w:tc>
          <w:tcPr>
            <w:tcW w:w="563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Has a doctor or other health professional ever told {you/SP} that {you/s/he}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had coronary (kor-o-nare-ee) heart disease?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angina/angina pectoris history</w:t>
            </w:r>
          </w:p>
        </w:tc>
        <w:tc>
          <w:tcPr>
            <w:tcW w:w="175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Questionnaire Data</w:t>
            </w:r>
          </w:p>
        </w:tc>
        <w:tc>
          <w:tcPr>
            <w:tcW w:w="563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Has a doctor or other health professional ever told {you/SP} that {you/s/he}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had angina (an-gi-na), also called angina pectoris?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stroke</w:t>
            </w:r>
          </w:p>
        </w:tc>
        <w:tc>
          <w:tcPr>
            <w:tcW w:w="175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Questionnaire Data</w:t>
            </w:r>
          </w:p>
        </w:tc>
        <w:tc>
          <w:tcPr>
            <w:tcW w:w="5631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Has a doctor or other health professional ever told {you/SP} that {you/s/he}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had a heart attack (also called myocardial infarction (my-o-car-dee-al in-fark-shun))?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coronary heart disease history</w:t>
            </w:r>
          </w:p>
        </w:tc>
        <w:tc>
          <w:tcPr>
            <w:tcW w:w="175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Questionnaire Data</w:t>
            </w:r>
          </w:p>
        </w:tc>
        <w:tc>
          <w:tcPr>
            <w:tcW w:w="5631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Has a doctor or other health professional ever told {you/SP} that {you/s/he} had a stroke?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0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smoking status</w:t>
            </w:r>
          </w:p>
        </w:tc>
        <w:tc>
          <w:tcPr>
            <w:tcW w:w="175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Questionnaire Data</w:t>
            </w:r>
          </w:p>
        </w:tc>
        <w:tc>
          <w:tcPr>
            <w:tcW w:w="563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100" w:beforeAutospacing="1" w:after="100" w:afterAutospacing="1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{Do you/Does SP} now smoke cigarettes?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The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smoking status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was categorized as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never, former, or current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.</w:t>
            </w:r>
          </w:p>
        </w:tc>
      </w:tr>
    </w:tbl>
    <w:p>
      <w:pPr>
        <w:jc w:val="both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 w:cs="Times New Roman"/>
          <w:b/>
          <w:bCs/>
          <w:sz w:val="24"/>
          <w:szCs w:val="24"/>
          <w:lang w:eastAsia="zh-CN"/>
        </w:rPr>
        <w:t>Supplementary Table 1.</w:t>
      </w:r>
      <w:r>
        <w:rPr>
          <w:rFonts w:hint="eastAsia" w:cs="Times New Roman"/>
          <w:sz w:val="24"/>
          <w:szCs w:val="24"/>
          <w:lang w:eastAsia="zh-CN"/>
        </w:rPr>
        <w:t xml:space="preserve"> Description of covariates.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AD186F"/>
    <w:rsid w:val="38540020"/>
    <w:rsid w:val="3A987764"/>
    <w:rsid w:val="68E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table" w:styleId="4">
    <w:name w:val="Table Grid"/>
    <w:basedOn w:val="3"/>
    <w:qFormat/>
    <w:uiPriority w:val="59"/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Supplementary Material"/>
    <w:basedOn w:val="2"/>
    <w:next w:val="2"/>
    <w:qFormat/>
    <w:uiPriority w:val="0"/>
    <w:pPr>
      <w:spacing w:after="120"/>
    </w:pPr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2024-11-17T07:53:00Z</dcterms:created>
  <dc:creator>Mayn</dc:creator>
  <cp:lastModifiedBy>RXLH</cp:lastModifiedBy>
  <dcterms:modified xsi:type="dcterms:W3CDTF">2024-11-19T12:00:04Z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4737DC73707D44D58CDB740A42FBF20F</vt:lpwstr>
  </property>
</Properties>
</file>