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F5E2A" w14:textId="5A6ECA18" w:rsidR="003D3546" w:rsidRPr="00DE2DD9" w:rsidRDefault="00E34A3E" w:rsidP="000B096E">
      <w:pPr>
        <w:spacing w:line="480" w:lineRule="auto"/>
        <w:rPr>
          <w:rFonts w:cs="Times New Roman"/>
          <w:bCs/>
          <w:sz w:val="32"/>
          <w:szCs w:val="24"/>
        </w:rPr>
      </w:pPr>
      <w:bookmarkStart w:id="0" w:name="OLE_LINK52"/>
      <w:bookmarkStart w:id="1" w:name="OLE_LINK53"/>
      <w:r>
        <w:rPr>
          <w:noProof/>
          <w:lang w:val="en-GB" w:eastAsia="en-GB"/>
        </w:rPr>
        <w:drawing>
          <wp:inline distT="0" distB="0" distL="0" distR="0" wp14:anchorId="3B29DEDF" wp14:editId="2EA3BBF7">
            <wp:extent cx="6200775" cy="1119505"/>
            <wp:effectExtent l="0" t="0" r="9525" b="4445"/>
            <wp:docPr id="15810006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0775" cy="1119505"/>
                    </a:xfrm>
                    <a:prstGeom prst="rect">
                      <a:avLst/>
                    </a:prstGeom>
                    <a:noFill/>
                    <a:ln>
                      <a:noFill/>
                    </a:ln>
                  </pic:spPr>
                </pic:pic>
              </a:graphicData>
            </a:graphic>
          </wp:inline>
        </w:drawing>
      </w:r>
      <w:r w:rsidR="003D3546" w:rsidRPr="00E13884">
        <w:rPr>
          <w:rFonts w:cs="Times New Roman"/>
          <w:b/>
          <w:bCs/>
          <w:szCs w:val="24"/>
        </w:rPr>
        <w:t>Supplementary</w:t>
      </w:r>
      <w:bookmarkEnd w:id="0"/>
      <w:bookmarkEnd w:id="1"/>
      <w:r w:rsidR="003D3546" w:rsidRPr="00E13884">
        <w:rPr>
          <w:rFonts w:cs="Times New Roman"/>
          <w:b/>
          <w:bCs/>
          <w:szCs w:val="24"/>
        </w:rPr>
        <w:t xml:space="preserve"> Figure </w:t>
      </w:r>
      <w:r w:rsidR="003D3546" w:rsidRPr="00E13884">
        <w:rPr>
          <w:rFonts w:cs="Times New Roman"/>
          <w:b/>
          <w:bCs/>
          <w:szCs w:val="24"/>
        </w:rPr>
        <w:fldChar w:fldCharType="begin"/>
      </w:r>
      <w:r w:rsidR="003D3546" w:rsidRPr="00E13884">
        <w:rPr>
          <w:rFonts w:cs="Times New Roman"/>
          <w:b/>
          <w:bCs/>
          <w:szCs w:val="24"/>
        </w:rPr>
        <w:instrText xml:space="preserve"> SEQ Figure \* ARABIC </w:instrText>
      </w:r>
      <w:r w:rsidR="003D3546" w:rsidRPr="00E13884">
        <w:rPr>
          <w:rFonts w:cs="Times New Roman"/>
          <w:b/>
          <w:bCs/>
          <w:szCs w:val="24"/>
        </w:rPr>
        <w:fldChar w:fldCharType="separate"/>
      </w:r>
      <w:r w:rsidR="003D3546" w:rsidRPr="00E13884">
        <w:rPr>
          <w:rFonts w:cs="Times New Roman"/>
          <w:b/>
          <w:bCs/>
          <w:noProof/>
          <w:szCs w:val="24"/>
        </w:rPr>
        <w:t>1</w:t>
      </w:r>
      <w:r w:rsidR="003D3546" w:rsidRPr="00E13884">
        <w:rPr>
          <w:rFonts w:cs="Times New Roman"/>
          <w:b/>
          <w:bCs/>
          <w:szCs w:val="24"/>
        </w:rPr>
        <w:fldChar w:fldCharType="end"/>
      </w:r>
      <w:r w:rsidR="003D3546" w:rsidRPr="00DE2DD9">
        <w:rPr>
          <w:rFonts w:cs="Times New Roman"/>
          <w:szCs w:val="24"/>
        </w:rPr>
        <w:t xml:space="preserve"> </w:t>
      </w:r>
      <w:r w:rsidR="003D3546" w:rsidRPr="00DE2DD9">
        <w:rPr>
          <w:rFonts w:cs="Times New Roman"/>
          <w:bCs/>
          <w:szCs w:val="24"/>
        </w:rPr>
        <w:t>The Gating strategy for the flow cytometric analysis of CD38</w:t>
      </w:r>
      <w:r w:rsidR="003D3546" w:rsidRPr="00DE2DD9">
        <w:rPr>
          <w:rFonts w:cs="Times New Roman"/>
          <w:bCs/>
          <w:szCs w:val="24"/>
          <w:vertAlign w:val="superscript"/>
        </w:rPr>
        <w:t>+</w:t>
      </w:r>
      <w:r w:rsidR="003D3546" w:rsidRPr="00DE2DD9">
        <w:rPr>
          <w:rFonts w:cs="Times New Roman"/>
          <w:bCs/>
          <w:szCs w:val="24"/>
        </w:rPr>
        <w:t>HLA-DR</w:t>
      </w:r>
      <w:r w:rsidR="003D3546" w:rsidRPr="00DE2DD9">
        <w:rPr>
          <w:rFonts w:cs="Times New Roman"/>
          <w:bCs/>
          <w:szCs w:val="24"/>
          <w:vertAlign w:val="superscript"/>
        </w:rPr>
        <w:t>+</w:t>
      </w:r>
      <w:r w:rsidR="003D3546" w:rsidRPr="00DE2DD9">
        <w:rPr>
          <w:rFonts w:cs="Times New Roman"/>
          <w:bCs/>
          <w:szCs w:val="24"/>
        </w:rPr>
        <w:t>CD8</w:t>
      </w:r>
      <w:r w:rsidR="003D3546" w:rsidRPr="00DE2DD9">
        <w:rPr>
          <w:rFonts w:cs="Times New Roman"/>
          <w:bCs/>
          <w:szCs w:val="24"/>
          <w:vertAlign w:val="superscript"/>
        </w:rPr>
        <w:t>+</w:t>
      </w:r>
      <w:r w:rsidR="003D3546" w:rsidRPr="00DE2DD9">
        <w:rPr>
          <w:rFonts w:cs="Times New Roman"/>
          <w:bCs/>
          <w:szCs w:val="24"/>
        </w:rPr>
        <w:t xml:space="preserve"> T cells.</w:t>
      </w:r>
    </w:p>
    <w:p w14:paraId="69A72CD2" w14:textId="77777777" w:rsidR="003D3546" w:rsidRDefault="003D3546" w:rsidP="000B096E">
      <w:pPr>
        <w:spacing w:line="480" w:lineRule="auto"/>
        <w:rPr>
          <w:lang w:eastAsia="zh-CN"/>
        </w:rPr>
      </w:pPr>
    </w:p>
    <w:p w14:paraId="603990F9" w14:textId="77777777" w:rsidR="008A5275" w:rsidRDefault="008A5275" w:rsidP="000B096E">
      <w:pPr>
        <w:spacing w:line="480" w:lineRule="auto"/>
        <w:rPr>
          <w:lang w:eastAsia="zh-CN"/>
        </w:rPr>
      </w:pPr>
    </w:p>
    <w:p w14:paraId="6FBE315A" w14:textId="77777777" w:rsidR="008A5275" w:rsidRDefault="008A5275" w:rsidP="000B096E">
      <w:pPr>
        <w:spacing w:line="480" w:lineRule="auto"/>
        <w:rPr>
          <w:lang w:eastAsia="zh-CN"/>
        </w:rPr>
      </w:pPr>
    </w:p>
    <w:p w14:paraId="1314A3CB" w14:textId="556CB2DE" w:rsidR="008A5275" w:rsidRDefault="008A5275" w:rsidP="000B096E">
      <w:pPr>
        <w:spacing w:line="480" w:lineRule="auto"/>
        <w:rPr>
          <w:lang w:eastAsia="zh-CN"/>
        </w:rPr>
      </w:pPr>
    </w:p>
    <w:p w14:paraId="4616C9E9" w14:textId="12D7E62B" w:rsidR="00B16C19" w:rsidRDefault="00B16C19" w:rsidP="000B096E">
      <w:pPr>
        <w:spacing w:line="480" w:lineRule="auto"/>
        <w:rPr>
          <w:lang w:eastAsia="zh-CN"/>
        </w:rPr>
      </w:pPr>
    </w:p>
    <w:p w14:paraId="7FA5ADC6" w14:textId="0B86C6E6" w:rsidR="00DE2DD9" w:rsidRDefault="00DE2DD9" w:rsidP="000B096E">
      <w:pPr>
        <w:spacing w:line="480" w:lineRule="auto"/>
        <w:rPr>
          <w:lang w:eastAsia="zh-CN"/>
        </w:rPr>
      </w:pPr>
    </w:p>
    <w:p w14:paraId="4C8909F8" w14:textId="40505393" w:rsidR="00E13884" w:rsidRDefault="00E13884" w:rsidP="000B096E">
      <w:pPr>
        <w:spacing w:line="480" w:lineRule="auto"/>
        <w:rPr>
          <w:lang w:eastAsia="zh-CN"/>
        </w:rPr>
      </w:pPr>
    </w:p>
    <w:p w14:paraId="19AFF159" w14:textId="2ADDB686" w:rsidR="00F571A0" w:rsidRPr="008A5275" w:rsidRDefault="009F57EA" w:rsidP="000B096E">
      <w:pPr>
        <w:keepNext/>
        <w:spacing w:line="480" w:lineRule="auto"/>
        <w:rPr>
          <w:rFonts w:cs="Times New Roman"/>
          <w:noProof/>
          <w:szCs w:val="24"/>
          <w:lang w:eastAsia="zh-CN"/>
        </w:rPr>
      </w:pPr>
      <w:r>
        <w:rPr>
          <w:rFonts w:cs="Times New Roman" w:hint="eastAsia"/>
          <w:noProof/>
          <w:szCs w:val="24"/>
          <w:lang w:eastAsia="zh-CN"/>
        </w:rPr>
        <w:lastRenderedPageBreak/>
        <w:drawing>
          <wp:anchor distT="0" distB="0" distL="114300" distR="114300" simplePos="0" relativeHeight="251658240" behindDoc="0" locked="0" layoutInCell="1" allowOverlap="1" wp14:anchorId="4D38700F" wp14:editId="2B4A8587">
            <wp:simplePos x="0" y="0"/>
            <wp:positionH relativeFrom="column">
              <wp:posOffset>336550</wp:posOffset>
            </wp:positionH>
            <wp:positionV relativeFrom="paragraph">
              <wp:posOffset>34925</wp:posOffset>
            </wp:positionV>
            <wp:extent cx="5368290" cy="4314825"/>
            <wp:effectExtent l="0" t="0" r="3810" b="9525"/>
            <wp:wrapSquare wrapText="bothSides"/>
            <wp:docPr id="8315635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5368290" cy="431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17CEE6" w14:textId="66533B3F" w:rsidR="00F571A0" w:rsidRDefault="00F571A0" w:rsidP="000B096E">
      <w:pPr>
        <w:spacing w:line="480" w:lineRule="auto"/>
        <w:rPr>
          <w:rFonts w:cs="Times New Roman"/>
          <w:color w:val="000000" w:themeColor="text1"/>
          <w:szCs w:val="24"/>
          <w:lang w:eastAsia="zh-CN"/>
        </w:rPr>
      </w:pPr>
      <w:r w:rsidRPr="00A34ECE">
        <w:rPr>
          <w:rFonts w:cs="Times New Roman"/>
          <w:b/>
          <w:szCs w:val="24"/>
        </w:rPr>
        <w:t xml:space="preserve">Supplementary Figure </w:t>
      </w:r>
      <w:r w:rsidRPr="00A34ECE">
        <w:rPr>
          <w:rFonts w:cs="Times New Roman" w:hint="eastAsia"/>
          <w:b/>
          <w:szCs w:val="24"/>
          <w:lang w:eastAsia="zh-CN"/>
        </w:rPr>
        <w:t>2</w:t>
      </w:r>
      <w:r w:rsidRPr="00A34ECE">
        <w:rPr>
          <w:rFonts w:cs="Times New Roman"/>
          <w:szCs w:val="24"/>
        </w:rPr>
        <w:t xml:space="preserve"> </w:t>
      </w:r>
      <w:r w:rsidRPr="00A34ECE">
        <w:rPr>
          <w:rFonts w:cs="Times New Roman" w:hint="eastAsia"/>
          <w:color w:val="000000" w:themeColor="text1"/>
          <w:szCs w:val="24"/>
        </w:rPr>
        <w:t>The histology of mouse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-induced liver fibrosis model.</w:t>
      </w:r>
      <w:r w:rsidR="00440320" w:rsidRPr="00A34ECE">
        <w:rPr>
          <w:rFonts w:cs="Times New Roman" w:hint="eastAsia"/>
          <w:color w:val="000000" w:themeColor="text1"/>
          <w:szCs w:val="24"/>
          <w:lang w:eastAsia="zh-CN"/>
        </w:rPr>
        <w:t xml:space="preserve"> </w:t>
      </w:r>
      <w:r w:rsidRPr="00E13884">
        <w:rPr>
          <w:rFonts w:cs="Times New Roman"/>
          <w:b/>
          <w:bCs/>
          <w:color w:val="000000" w:themeColor="text1"/>
          <w:szCs w:val="24"/>
        </w:rPr>
        <w:t>(A)</w:t>
      </w:r>
      <w:r w:rsidRPr="00A34ECE">
        <w:rPr>
          <w:rFonts w:cs="Times New Roman"/>
          <w:color w:val="000000" w:themeColor="text1"/>
          <w:szCs w:val="24"/>
        </w:rPr>
        <w:t xml:space="preserve"> H&amp;E staining.</w:t>
      </w:r>
      <w:r w:rsidRPr="00A34ECE">
        <w:rPr>
          <w:rFonts w:hint="eastAsia"/>
          <w:szCs w:val="24"/>
        </w:rPr>
        <w:t xml:space="preserve"> </w:t>
      </w:r>
      <w:r w:rsidRPr="00A34ECE">
        <w:rPr>
          <w:rFonts w:cs="Times New Roman" w:hint="eastAsia"/>
          <w:color w:val="000000" w:themeColor="text1"/>
          <w:szCs w:val="24"/>
        </w:rPr>
        <w:t>The livers of control mice had normal hepatic lobular architecture with central vein and radial hepatic cords, whereas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-treated mice had intracellular lipid droplet deposition, inflammatory cell infiltration, and lipid degeneration.</w:t>
      </w:r>
      <w:r w:rsidRPr="00A34ECE">
        <w:rPr>
          <w:rFonts w:cs="Times New Roman"/>
          <w:color w:val="000000" w:themeColor="text1"/>
          <w:szCs w:val="24"/>
        </w:rPr>
        <w:t xml:space="preserve"> </w:t>
      </w:r>
      <w:r w:rsidRPr="00E13884">
        <w:rPr>
          <w:rFonts w:cs="Times New Roman"/>
          <w:b/>
          <w:bCs/>
          <w:color w:val="000000" w:themeColor="text1"/>
          <w:szCs w:val="24"/>
        </w:rPr>
        <w:t>(B)</w:t>
      </w:r>
      <w:r w:rsidRPr="00A34ECE">
        <w:rPr>
          <w:rFonts w:cs="Times New Roman"/>
          <w:color w:val="000000" w:themeColor="text1"/>
          <w:szCs w:val="24"/>
        </w:rPr>
        <w:t xml:space="preserve"> Masson’s trichrome staining.</w:t>
      </w:r>
      <w:r w:rsidRPr="00A34ECE">
        <w:rPr>
          <w:rFonts w:hint="eastAsia"/>
          <w:szCs w:val="24"/>
        </w:rPr>
        <w:t xml:space="preserve"> </w:t>
      </w:r>
      <w:r w:rsidRPr="00A34ECE">
        <w:rPr>
          <w:rFonts w:cs="Times New Roman" w:hint="eastAsia"/>
          <w:color w:val="000000" w:themeColor="text1"/>
          <w:szCs w:val="24"/>
        </w:rPr>
        <w:t>Compared with the control group, the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 xml:space="preserve"> group caused connective tissue proliferation in the mouse liver, with significant structural distortions and fibrillar collagen deposition between the portal vein and the hepatic lobules, suggesting that liver fibrosis was established.</w:t>
      </w:r>
      <w:r w:rsidRPr="00A34ECE">
        <w:rPr>
          <w:rFonts w:cs="Times New Roman"/>
          <w:color w:val="000000" w:themeColor="text1"/>
          <w:szCs w:val="24"/>
        </w:rPr>
        <w:t xml:space="preserve"> </w:t>
      </w:r>
      <w:r w:rsidRPr="00E13884">
        <w:rPr>
          <w:rFonts w:cs="Times New Roman"/>
          <w:b/>
          <w:bCs/>
          <w:color w:val="000000" w:themeColor="text1"/>
          <w:szCs w:val="24"/>
        </w:rPr>
        <w:t>(</w:t>
      </w:r>
      <w:r w:rsidRPr="00E13884">
        <w:rPr>
          <w:rFonts w:cs="Times New Roman" w:hint="eastAsia"/>
          <w:b/>
          <w:bCs/>
          <w:color w:val="000000" w:themeColor="text1"/>
          <w:szCs w:val="24"/>
        </w:rPr>
        <w:t>C</w:t>
      </w:r>
      <w:r w:rsidRPr="00E13884">
        <w:rPr>
          <w:rFonts w:cs="Times New Roman"/>
          <w:b/>
          <w:bCs/>
          <w:color w:val="000000" w:themeColor="text1"/>
          <w:szCs w:val="24"/>
        </w:rPr>
        <w:t>)</w:t>
      </w:r>
      <w:r w:rsidRPr="00A34ECE">
        <w:rPr>
          <w:rFonts w:hint="eastAsia"/>
          <w:szCs w:val="24"/>
        </w:rPr>
        <w:t xml:space="preserve"> </w:t>
      </w:r>
      <w:r w:rsidRPr="00A34ECE">
        <w:rPr>
          <w:rFonts w:cs="Times New Roman" w:hint="eastAsia"/>
          <w:color w:val="000000" w:themeColor="text1"/>
          <w:szCs w:val="24"/>
        </w:rPr>
        <w:t>The expression of IL-15 in liver tissues of control (n=4) and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 xml:space="preserve"> group (n=4) of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-induced liver fibrosis model was detected by immunoblot analysis.</w:t>
      </w:r>
      <w:r w:rsidRPr="00A34ECE">
        <w:rPr>
          <w:rFonts w:cs="Times New Roman"/>
          <w:color w:val="000000" w:themeColor="text1"/>
          <w:szCs w:val="24"/>
        </w:rPr>
        <w:t xml:space="preserve"> </w:t>
      </w:r>
      <w:r w:rsidRPr="00F46044">
        <w:rPr>
          <w:rFonts w:cs="Times New Roman"/>
          <w:b/>
          <w:bCs/>
          <w:color w:val="000000" w:themeColor="text1"/>
          <w:szCs w:val="24"/>
        </w:rPr>
        <w:t>(</w:t>
      </w:r>
      <w:r w:rsidRPr="00F46044">
        <w:rPr>
          <w:rFonts w:cs="Times New Roman" w:hint="eastAsia"/>
          <w:b/>
          <w:bCs/>
          <w:color w:val="000000" w:themeColor="text1"/>
          <w:szCs w:val="24"/>
        </w:rPr>
        <w:t>D-E</w:t>
      </w:r>
      <w:r w:rsidRPr="00F46044">
        <w:rPr>
          <w:rFonts w:cs="Times New Roman"/>
          <w:b/>
          <w:bCs/>
          <w:color w:val="000000" w:themeColor="text1"/>
          <w:szCs w:val="24"/>
        </w:rPr>
        <w:t>)</w:t>
      </w:r>
      <w:r w:rsidRPr="00F46044">
        <w:rPr>
          <w:rFonts w:hint="eastAsia"/>
          <w:b/>
          <w:bCs/>
          <w:szCs w:val="24"/>
        </w:rPr>
        <w:t xml:space="preserve"> </w:t>
      </w:r>
      <w:r w:rsidRPr="00A34ECE">
        <w:rPr>
          <w:rFonts w:cs="Times New Roman" w:hint="eastAsia"/>
          <w:color w:val="000000" w:themeColor="text1"/>
          <w:szCs w:val="24"/>
        </w:rPr>
        <w:t>In the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-induced liver fibrosis model, serum AST and ALT levels were assayed in the control (n=4) and CCL</w:t>
      </w:r>
      <w:r w:rsidRPr="00A34ECE">
        <w:rPr>
          <w:rFonts w:cs="Times New Roman" w:hint="eastAsia"/>
          <w:color w:val="000000" w:themeColor="text1"/>
          <w:szCs w:val="24"/>
          <w:vertAlign w:val="subscript"/>
        </w:rPr>
        <w:t>4</w:t>
      </w:r>
      <w:r w:rsidRPr="00A34ECE">
        <w:rPr>
          <w:rFonts w:cs="Times New Roman" w:hint="eastAsia"/>
          <w:color w:val="000000" w:themeColor="text1"/>
          <w:szCs w:val="24"/>
        </w:rPr>
        <w:t xml:space="preserve"> groups (n=4). </w:t>
      </w:r>
      <w:r w:rsidRPr="00A34ECE">
        <w:rPr>
          <w:rFonts w:cs="Times New Roman"/>
          <w:color w:val="000000" w:themeColor="text1"/>
          <w:szCs w:val="24"/>
        </w:rPr>
        <w:t xml:space="preserve">The </w:t>
      </w:r>
      <w:r w:rsidRPr="00A34ECE">
        <w:rPr>
          <w:rFonts w:eastAsia="宋体" w:cs="Times New Roman"/>
          <w:szCs w:val="24"/>
        </w:rPr>
        <w:t xml:space="preserve">Unpaired </w:t>
      </w:r>
      <w:r w:rsidRPr="00A34ECE">
        <w:rPr>
          <w:rFonts w:eastAsia="宋体" w:cs="Times New Roman"/>
          <w:i/>
          <w:iCs/>
          <w:szCs w:val="24"/>
        </w:rPr>
        <w:t>t</w:t>
      </w:r>
      <w:r w:rsidRPr="00A34ECE">
        <w:rPr>
          <w:rFonts w:eastAsia="宋体" w:cs="Times New Roman"/>
          <w:szCs w:val="24"/>
        </w:rPr>
        <w:t xml:space="preserve"> test</w:t>
      </w:r>
      <w:r w:rsidRPr="00F46044">
        <w:rPr>
          <w:rFonts w:cs="Times New Roman"/>
          <w:b/>
          <w:bCs/>
          <w:color w:val="000000" w:themeColor="text1"/>
          <w:szCs w:val="24"/>
        </w:rPr>
        <w:t xml:space="preserve"> (C-</w:t>
      </w:r>
      <w:r w:rsidRPr="00F46044">
        <w:rPr>
          <w:rFonts w:cs="Times New Roman" w:hint="eastAsia"/>
          <w:b/>
          <w:bCs/>
          <w:color w:val="000000" w:themeColor="text1"/>
          <w:szCs w:val="24"/>
        </w:rPr>
        <w:t>E</w:t>
      </w:r>
      <w:r w:rsidRPr="00F46044">
        <w:rPr>
          <w:rFonts w:cs="Times New Roman"/>
          <w:b/>
          <w:bCs/>
          <w:color w:val="000000" w:themeColor="text1"/>
          <w:szCs w:val="24"/>
        </w:rPr>
        <w:t>)</w:t>
      </w:r>
      <w:r w:rsidRPr="00A34ECE">
        <w:rPr>
          <w:rFonts w:cs="Times New Roman"/>
          <w:color w:val="000000" w:themeColor="text1"/>
          <w:szCs w:val="24"/>
        </w:rPr>
        <w:t xml:space="preserve"> was used for comparisons between groups.</w:t>
      </w:r>
      <w:r w:rsidRPr="00A34ECE">
        <w:rPr>
          <w:rFonts w:cs="Times New Roman" w:hint="eastAsia"/>
          <w:color w:val="000000" w:themeColor="text1"/>
          <w:szCs w:val="24"/>
        </w:rPr>
        <w:t xml:space="preserve"> </w:t>
      </w:r>
      <w:r w:rsidRPr="00D541B1">
        <w:rPr>
          <w:rFonts w:cs="Times New Roman"/>
          <w:color w:val="000000" w:themeColor="text1"/>
          <w:szCs w:val="24"/>
        </w:rPr>
        <w:t>*</w:t>
      </w:r>
      <w:r w:rsidRPr="00D541B1">
        <w:rPr>
          <w:rFonts w:cs="Times New Roman"/>
          <w:i/>
          <w:iCs/>
          <w:color w:val="000000" w:themeColor="text1"/>
          <w:szCs w:val="24"/>
        </w:rPr>
        <w:t>p</w:t>
      </w:r>
      <w:r w:rsidRPr="00D541B1">
        <w:rPr>
          <w:rFonts w:cs="Times New Roman"/>
          <w:color w:val="000000" w:themeColor="text1"/>
          <w:szCs w:val="24"/>
        </w:rPr>
        <w:t>&lt;0.05</w:t>
      </w:r>
      <w:r w:rsidRPr="00A34ECE">
        <w:rPr>
          <w:rFonts w:cs="Times New Roman" w:hint="eastAsia"/>
          <w:color w:val="000000" w:themeColor="text1"/>
          <w:szCs w:val="24"/>
        </w:rPr>
        <w:t>.</w:t>
      </w:r>
    </w:p>
    <w:p w14:paraId="2214BCE0" w14:textId="6BA006DA" w:rsidR="00ED33B6" w:rsidRDefault="00ED33B6" w:rsidP="000B096E">
      <w:pPr>
        <w:spacing w:line="480" w:lineRule="auto"/>
        <w:rPr>
          <w:rFonts w:cs="Times New Roman"/>
          <w:color w:val="000000" w:themeColor="text1"/>
          <w:szCs w:val="24"/>
          <w:lang w:eastAsia="zh-CN"/>
        </w:rPr>
      </w:pPr>
      <w:r>
        <w:rPr>
          <w:rFonts w:cs="Times New Roman" w:hint="eastAsia"/>
          <w:noProof/>
          <w:color w:val="000000" w:themeColor="text1"/>
          <w:szCs w:val="24"/>
          <w:lang w:eastAsia="zh-CN"/>
        </w:rPr>
        <w:lastRenderedPageBreak/>
        <w:drawing>
          <wp:inline distT="0" distB="0" distL="0" distR="0" wp14:anchorId="5AEE2928" wp14:editId="652245C0">
            <wp:extent cx="5516880" cy="2962440"/>
            <wp:effectExtent l="0" t="0" r="0" b="0"/>
            <wp:docPr id="11718423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42320" name="图片 1171842320"/>
                    <pic:cNvPicPr/>
                  </pic:nvPicPr>
                  <pic:blipFill>
                    <a:blip r:embed="rId14"/>
                    <a:stretch>
                      <a:fillRect/>
                    </a:stretch>
                  </pic:blipFill>
                  <pic:spPr>
                    <a:xfrm>
                      <a:off x="0" y="0"/>
                      <a:ext cx="5516880" cy="2962440"/>
                    </a:xfrm>
                    <a:prstGeom prst="rect">
                      <a:avLst/>
                    </a:prstGeom>
                  </pic:spPr>
                </pic:pic>
              </a:graphicData>
            </a:graphic>
          </wp:inline>
        </w:drawing>
      </w:r>
    </w:p>
    <w:p w14:paraId="7533C803" w14:textId="56AB3058" w:rsidR="00ED33B6" w:rsidRPr="00D541B1" w:rsidRDefault="00ED33B6" w:rsidP="000B096E">
      <w:pPr>
        <w:spacing w:line="480" w:lineRule="auto"/>
        <w:rPr>
          <w:rFonts w:cs="Times New Roman"/>
          <w:color w:val="000000" w:themeColor="text1"/>
          <w:szCs w:val="24"/>
          <w:lang w:eastAsia="zh-CN"/>
        </w:rPr>
      </w:pPr>
      <w:r w:rsidRPr="00A34ECE">
        <w:rPr>
          <w:rFonts w:cs="Times New Roman"/>
          <w:b/>
          <w:szCs w:val="24"/>
        </w:rPr>
        <w:t xml:space="preserve">Supplementary Figure </w:t>
      </w:r>
      <w:r>
        <w:rPr>
          <w:rFonts w:cs="Times New Roman"/>
          <w:b/>
          <w:szCs w:val="24"/>
          <w:lang w:eastAsia="zh-CN"/>
        </w:rPr>
        <w:t>3</w:t>
      </w:r>
      <w:r>
        <w:rPr>
          <w:rFonts w:cs="Times New Roman"/>
          <w:color w:val="000000" w:themeColor="text1"/>
          <w:szCs w:val="24"/>
          <w:lang w:eastAsia="zh-CN"/>
        </w:rPr>
        <w:t xml:space="preserve"> </w:t>
      </w:r>
      <w:r w:rsidRPr="00ED33B6">
        <w:rPr>
          <w:rFonts w:cs="Times New Roman"/>
          <w:color w:val="000000" w:themeColor="text1"/>
          <w:szCs w:val="24"/>
          <w:lang w:eastAsia="zh-CN"/>
        </w:rPr>
        <w:t>The original images of Western blot.</w:t>
      </w:r>
      <w:r>
        <w:rPr>
          <w:rFonts w:cs="Times New Roman"/>
          <w:color w:val="000000" w:themeColor="text1"/>
          <w:szCs w:val="24"/>
          <w:lang w:eastAsia="zh-CN"/>
        </w:rPr>
        <w:t xml:space="preserve"> </w:t>
      </w:r>
      <w:r w:rsidRPr="00ED33B6">
        <w:rPr>
          <w:rFonts w:cs="Times New Roman"/>
          <w:b/>
          <w:bCs/>
          <w:color w:val="000000" w:themeColor="text1"/>
          <w:szCs w:val="24"/>
          <w:lang w:eastAsia="zh-CN"/>
        </w:rPr>
        <w:t>(A)</w:t>
      </w:r>
      <w:r>
        <w:rPr>
          <w:rFonts w:cs="Times New Roman"/>
          <w:color w:val="000000" w:themeColor="text1"/>
          <w:szCs w:val="24"/>
          <w:lang w:eastAsia="zh-CN"/>
        </w:rPr>
        <w:t xml:space="preserve"> IL-15; </w:t>
      </w:r>
      <w:r w:rsidRPr="00ED33B6">
        <w:rPr>
          <w:rFonts w:cs="Times New Roman"/>
          <w:b/>
          <w:bCs/>
          <w:color w:val="000000" w:themeColor="text1"/>
          <w:szCs w:val="24"/>
          <w:lang w:eastAsia="zh-CN"/>
        </w:rPr>
        <w:t>(B)</w:t>
      </w:r>
      <w:r>
        <w:rPr>
          <w:rFonts w:cs="Times New Roman"/>
          <w:color w:val="000000" w:themeColor="text1"/>
          <w:szCs w:val="24"/>
          <w:lang w:eastAsia="zh-CN"/>
        </w:rPr>
        <w:t xml:space="preserve"> GAPDH</w:t>
      </w:r>
    </w:p>
    <w:p w14:paraId="41F7F092" w14:textId="13E7DFD5" w:rsidR="00F571A0" w:rsidRDefault="00762C94" w:rsidP="000B096E">
      <w:pPr>
        <w:spacing w:line="480" w:lineRule="auto"/>
        <w:rPr>
          <w:lang w:eastAsia="zh-CN"/>
        </w:rPr>
      </w:pPr>
      <w:r>
        <w:rPr>
          <w:noProof/>
          <w:lang w:eastAsia="zh-CN"/>
        </w:rPr>
        <w:lastRenderedPageBreak/>
        <w:drawing>
          <wp:inline distT="0" distB="0" distL="0" distR="0" wp14:anchorId="1C689592" wp14:editId="7F77042B">
            <wp:extent cx="4772025" cy="8610600"/>
            <wp:effectExtent l="0" t="0" r="9525" b="0"/>
            <wp:docPr id="4756759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025" cy="8610600"/>
                    </a:xfrm>
                    <a:prstGeom prst="rect">
                      <a:avLst/>
                    </a:prstGeom>
                    <a:noFill/>
                    <a:ln>
                      <a:noFill/>
                    </a:ln>
                  </pic:spPr>
                </pic:pic>
              </a:graphicData>
            </a:graphic>
          </wp:inline>
        </w:drawing>
      </w:r>
    </w:p>
    <w:p w14:paraId="5AD52BB7" w14:textId="55266FB6" w:rsidR="006826A0" w:rsidRDefault="00AC7D34" w:rsidP="000B096E">
      <w:pPr>
        <w:spacing w:line="480" w:lineRule="auto"/>
      </w:pPr>
      <w:r w:rsidRPr="0001436A">
        <w:rPr>
          <w:b/>
        </w:rPr>
        <w:lastRenderedPageBreak/>
        <w:t xml:space="preserve">Supplementary Figure </w:t>
      </w:r>
      <w:r w:rsidR="00ED33B6">
        <w:rPr>
          <w:b/>
          <w:lang w:eastAsia="zh-CN"/>
        </w:rPr>
        <w:t>4</w:t>
      </w:r>
      <w:r w:rsidRPr="001549D3">
        <w:t xml:space="preserve"> </w:t>
      </w:r>
      <w:r w:rsidR="00D95804" w:rsidRPr="00D95804">
        <w:t>Functional alternations of CD38</w:t>
      </w:r>
      <w:r w:rsidR="00D95804" w:rsidRPr="00AC7D34">
        <w:rPr>
          <w:vertAlign w:val="superscript"/>
        </w:rPr>
        <w:t>+</w:t>
      </w:r>
      <w:r w:rsidR="00D95804" w:rsidRPr="00D95804">
        <w:t>HLA-DR</w:t>
      </w:r>
      <w:r w:rsidR="00D95804" w:rsidRPr="00AC7D34">
        <w:rPr>
          <w:vertAlign w:val="superscript"/>
        </w:rPr>
        <w:t>+</w:t>
      </w:r>
      <w:r w:rsidR="00D95804" w:rsidRPr="00D95804">
        <w:t>CD8</w:t>
      </w:r>
      <w:r w:rsidR="00D95804" w:rsidRPr="00AC7D34">
        <w:rPr>
          <w:vertAlign w:val="superscript"/>
        </w:rPr>
        <w:t>+</w:t>
      </w:r>
      <w:r w:rsidR="00D95804" w:rsidRPr="00D95804">
        <w:t xml:space="preserve"> T cells after IL-15 stimulation.CD8</w:t>
      </w:r>
      <w:r w:rsidR="00D95804" w:rsidRPr="00AC7D34">
        <w:rPr>
          <w:vertAlign w:val="superscript"/>
        </w:rPr>
        <w:t>+</w:t>
      </w:r>
      <w:r w:rsidR="00D95804" w:rsidRPr="00D95804">
        <w:t xml:space="preserve"> T cells obtained from healthy donors were incubated for 72 h with or without IL-15 stimulation. </w:t>
      </w:r>
      <w:r w:rsidR="00D95804" w:rsidRPr="00604477">
        <w:rPr>
          <w:b/>
          <w:bCs/>
        </w:rPr>
        <w:t>(A)</w:t>
      </w:r>
      <w:r w:rsidR="00D95804" w:rsidRPr="00D95804">
        <w:t xml:space="preserve"> Flow cytometry analysis was performed for CD38</w:t>
      </w:r>
      <w:r w:rsidR="00D95804" w:rsidRPr="00AC7D34">
        <w:rPr>
          <w:vertAlign w:val="superscript"/>
        </w:rPr>
        <w:t>+</w:t>
      </w:r>
      <w:r w:rsidR="00D95804" w:rsidRPr="00D95804">
        <w:t>HLA-DR</w:t>
      </w:r>
      <w:r w:rsidR="00D95804" w:rsidRPr="00AC7D34">
        <w:rPr>
          <w:vertAlign w:val="superscript"/>
        </w:rPr>
        <w:t>+</w:t>
      </w:r>
      <w:r w:rsidR="00D95804" w:rsidRPr="00D95804">
        <w:t>CD8</w:t>
      </w:r>
      <w:r w:rsidR="00D95804" w:rsidRPr="00AC7D34">
        <w:rPr>
          <w:vertAlign w:val="superscript"/>
        </w:rPr>
        <w:t>+</w:t>
      </w:r>
      <w:r w:rsidR="00D95804">
        <w:rPr>
          <w:rFonts w:hint="eastAsia"/>
          <w:vertAlign w:val="superscript"/>
          <w:lang w:eastAsia="zh-CN"/>
        </w:rPr>
        <w:t xml:space="preserve"> </w:t>
      </w:r>
      <w:r w:rsidR="00D95804" w:rsidRPr="00D95804">
        <w:t xml:space="preserve">T cells. Flow cytometry analysis was performed for the expression of surface marker </w:t>
      </w:r>
      <w:r w:rsidR="00D95804" w:rsidRPr="00604477">
        <w:rPr>
          <w:b/>
          <w:bCs/>
        </w:rPr>
        <w:t>(B)</w:t>
      </w:r>
      <w:r w:rsidR="00D95804" w:rsidRPr="00D95804">
        <w:t xml:space="preserve"> Ki-67, </w:t>
      </w:r>
      <w:r w:rsidR="00D95804" w:rsidRPr="00604477">
        <w:rPr>
          <w:b/>
          <w:bCs/>
        </w:rPr>
        <w:t>(C)</w:t>
      </w:r>
      <w:r w:rsidR="00D97176">
        <w:rPr>
          <w:rFonts w:hint="eastAsia"/>
          <w:lang w:eastAsia="zh-CN"/>
        </w:rPr>
        <w:t xml:space="preserve"> </w:t>
      </w:r>
      <w:proofErr w:type="spellStart"/>
      <w:r w:rsidR="00D95804" w:rsidRPr="00D95804">
        <w:t>Tigit</w:t>
      </w:r>
      <w:proofErr w:type="spellEnd"/>
      <w:r w:rsidR="00D95804" w:rsidRPr="00D95804">
        <w:t xml:space="preserve">, </w:t>
      </w:r>
      <w:r w:rsidR="00D95804" w:rsidRPr="00604477">
        <w:rPr>
          <w:b/>
          <w:bCs/>
        </w:rPr>
        <w:t>(D)</w:t>
      </w:r>
      <w:r w:rsidR="00D97176">
        <w:rPr>
          <w:rFonts w:hint="eastAsia"/>
          <w:lang w:eastAsia="zh-CN"/>
        </w:rPr>
        <w:t xml:space="preserve"> </w:t>
      </w:r>
      <w:r w:rsidR="00D95804" w:rsidRPr="00D95804">
        <w:t xml:space="preserve">PD-1, </w:t>
      </w:r>
      <w:r w:rsidR="00D95804" w:rsidRPr="00604477">
        <w:rPr>
          <w:b/>
          <w:bCs/>
        </w:rPr>
        <w:t>(E)</w:t>
      </w:r>
      <w:r w:rsidR="00D95804" w:rsidRPr="00D95804">
        <w:t xml:space="preserve"> NKG2D</w:t>
      </w:r>
      <w:r w:rsidR="00762C94">
        <w:rPr>
          <w:rFonts w:hint="eastAsia"/>
          <w:lang w:eastAsia="zh-CN"/>
        </w:rPr>
        <w:t xml:space="preserve"> </w:t>
      </w:r>
      <w:r w:rsidR="00D95804" w:rsidRPr="00D95804">
        <w:t xml:space="preserve">and </w:t>
      </w:r>
      <w:r w:rsidR="00D95804" w:rsidRPr="00604477">
        <w:rPr>
          <w:b/>
          <w:bCs/>
        </w:rPr>
        <w:t>(</w:t>
      </w:r>
      <w:r w:rsidR="00762C94">
        <w:rPr>
          <w:rFonts w:hint="eastAsia"/>
          <w:b/>
          <w:bCs/>
          <w:lang w:eastAsia="zh-CN"/>
        </w:rPr>
        <w:t>F</w:t>
      </w:r>
      <w:r w:rsidR="00D95804" w:rsidRPr="00604477">
        <w:rPr>
          <w:b/>
          <w:bCs/>
        </w:rPr>
        <w:t>)</w:t>
      </w:r>
      <w:r w:rsidR="00D95804" w:rsidRPr="00D95804">
        <w:t xml:space="preserve"> </w:t>
      </w:r>
      <w:proofErr w:type="spellStart"/>
      <w:r w:rsidR="00D95804" w:rsidRPr="00D95804">
        <w:t>FasL</w:t>
      </w:r>
      <w:proofErr w:type="spellEnd"/>
      <w:r w:rsidR="00D95804" w:rsidRPr="00D95804">
        <w:t xml:space="preserve"> in the gate of Live</w:t>
      </w:r>
      <w:r w:rsidR="00D95804" w:rsidRPr="00AC7D34">
        <w:rPr>
          <w:vertAlign w:val="superscript"/>
        </w:rPr>
        <w:t>+</w:t>
      </w:r>
      <w:r w:rsidR="00D95804" w:rsidRPr="00D95804">
        <w:t>CD3</w:t>
      </w:r>
      <w:r w:rsidR="00D95804" w:rsidRPr="00AC7D34">
        <w:rPr>
          <w:vertAlign w:val="superscript"/>
        </w:rPr>
        <w:t>+</w:t>
      </w:r>
      <w:r w:rsidR="00D95804" w:rsidRPr="00D95804">
        <w:t>CD38</w:t>
      </w:r>
      <w:r w:rsidR="00D95804" w:rsidRPr="00AC7D34">
        <w:rPr>
          <w:vertAlign w:val="superscript"/>
        </w:rPr>
        <w:t>+</w:t>
      </w:r>
      <w:r w:rsidR="00D95804" w:rsidRPr="00D95804">
        <w:t>HLA-DR</w:t>
      </w:r>
      <w:r w:rsidR="00D95804" w:rsidRPr="00AC7D34">
        <w:rPr>
          <w:vertAlign w:val="superscript"/>
        </w:rPr>
        <w:t>+</w:t>
      </w:r>
      <w:r w:rsidR="00D95804" w:rsidRPr="00D95804">
        <w:t>CD8</w:t>
      </w:r>
      <w:r w:rsidR="00D95804" w:rsidRPr="00AC7D34">
        <w:rPr>
          <w:vertAlign w:val="superscript"/>
        </w:rPr>
        <w:t>+</w:t>
      </w:r>
      <w:r w:rsidR="00D95804" w:rsidRPr="00D95804">
        <w:t xml:space="preserve"> T cells. </w:t>
      </w:r>
      <w:r w:rsidR="00D95804" w:rsidRPr="008C1487">
        <w:rPr>
          <w:b/>
          <w:bCs/>
        </w:rPr>
        <w:t>(</w:t>
      </w:r>
      <w:r w:rsidR="008C1487" w:rsidRPr="008C1487">
        <w:rPr>
          <w:rFonts w:hint="eastAsia"/>
          <w:b/>
          <w:bCs/>
          <w:lang w:eastAsia="zh-CN"/>
        </w:rPr>
        <w:t>G</w:t>
      </w:r>
      <w:r w:rsidR="00D95804" w:rsidRPr="008C1487">
        <w:rPr>
          <w:b/>
          <w:bCs/>
        </w:rPr>
        <w:t>-</w:t>
      </w:r>
      <w:r w:rsidR="008C1487" w:rsidRPr="008C1487">
        <w:rPr>
          <w:rFonts w:hint="eastAsia"/>
          <w:b/>
          <w:bCs/>
          <w:lang w:eastAsia="zh-CN"/>
        </w:rPr>
        <w:t>I</w:t>
      </w:r>
      <w:r w:rsidR="00D95804" w:rsidRPr="008C1487">
        <w:rPr>
          <w:b/>
          <w:bCs/>
        </w:rPr>
        <w:t xml:space="preserve">) </w:t>
      </w:r>
      <w:r w:rsidR="00D95804" w:rsidRPr="00D95804">
        <w:t>Intracellular staining method was used to assess the secretion of perforin and Granzyme B in CD38</w:t>
      </w:r>
      <w:r w:rsidR="00D95804" w:rsidRPr="00AC7D34">
        <w:rPr>
          <w:vertAlign w:val="superscript"/>
        </w:rPr>
        <w:t>+</w:t>
      </w:r>
      <w:r w:rsidR="00D95804" w:rsidRPr="00D95804">
        <w:t>HLA-DR</w:t>
      </w:r>
      <w:r w:rsidR="00D95804" w:rsidRPr="00AC7D34">
        <w:rPr>
          <w:vertAlign w:val="superscript"/>
        </w:rPr>
        <w:t>+</w:t>
      </w:r>
      <w:r w:rsidR="00D95804" w:rsidRPr="00D95804">
        <w:t>CD8</w:t>
      </w:r>
      <w:r w:rsidR="00D95804" w:rsidRPr="00AC7D34">
        <w:rPr>
          <w:vertAlign w:val="superscript"/>
        </w:rPr>
        <w:t>+</w:t>
      </w:r>
      <w:r w:rsidR="00D95804" w:rsidRPr="00D95804">
        <w:t xml:space="preserve"> T cells.</w:t>
      </w:r>
    </w:p>
    <w:p w14:paraId="4635ED02" w14:textId="1DD22E69" w:rsidR="00E13884" w:rsidRDefault="00E13884" w:rsidP="000B096E">
      <w:pPr>
        <w:spacing w:line="480" w:lineRule="auto"/>
      </w:pPr>
    </w:p>
    <w:p w14:paraId="234B2CF7" w14:textId="1608C9C3" w:rsidR="00E13884" w:rsidRDefault="00E13884" w:rsidP="000B096E">
      <w:pPr>
        <w:spacing w:line="480" w:lineRule="auto"/>
      </w:pPr>
    </w:p>
    <w:p w14:paraId="6A3102FF" w14:textId="754CE393" w:rsidR="00E13884" w:rsidRDefault="00E13884" w:rsidP="000B096E">
      <w:pPr>
        <w:spacing w:line="480" w:lineRule="auto"/>
      </w:pPr>
    </w:p>
    <w:p w14:paraId="21C370AC" w14:textId="61C62A1C" w:rsidR="00E13884" w:rsidRDefault="00E13884" w:rsidP="000B096E">
      <w:pPr>
        <w:spacing w:line="480" w:lineRule="auto"/>
      </w:pPr>
    </w:p>
    <w:p w14:paraId="0A4A53C9" w14:textId="607CF0CD" w:rsidR="00E13884" w:rsidRDefault="00E13884" w:rsidP="000B096E">
      <w:pPr>
        <w:spacing w:line="480" w:lineRule="auto"/>
      </w:pPr>
    </w:p>
    <w:p w14:paraId="342EDDD0" w14:textId="05003947" w:rsidR="00E13884" w:rsidRDefault="00E13884" w:rsidP="000B096E">
      <w:pPr>
        <w:spacing w:line="480" w:lineRule="auto"/>
      </w:pPr>
    </w:p>
    <w:p w14:paraId="74A1FB8F" w14:textId="053C8195" w:rsidR="00E13884" w:rsidRDefault="00E13884" w:rsidP="000B096E">
      <w:pPr>
        <w:spacing w:line="480" w:lineRule="auto"/>
      </w:pPr>
    </w:p>
    <w:p w14:paraId="7D43E281" w14:textId="3055639A" w:rsidR="00E13884" w:rsidRDefault="00E13884" w:rsidP="000B096E">
      <w:pPr>
        <w:spacing w:line="480" w:lineRule="auto"/>
      </w:pPr>
    </w:p>
    <w:p w14:paraId="56DAE4C9" w14:textId="2687C4B1" w:rsidR="00E13884" w:rsidRDefault="00E13884" w:rsidP="000B096E">
      <w:pPr>
        <w:spacing w:line="480" w:lineRule="auto"/>
      </w:pPr>
    </w:p>
    <w:p w14:paraId="419193B1" w14:textId="08DBBB88" w:rsidR="00E13884" w:rsidRDefault="00E13884" w:rsidP="000B096E">
      <w:pPr>
        <w:spacing w:line="480" w:lineRule="auto"/>
      </w:pPr>
    </w:p>
    <w:p w14:paraId="70B5F5CB" w14:textId="0FA35F17" w:rsidR="00E13884" w:rsidRDefault="00E13884" w:rsidP="000B096E">
      <w:pPr>
        <w:spacing w:line="480" w:lineRule="auto"/>
      </w:pPr>
    </w:p>
    <w:p w14:paraId="202ED6FA" w14:textId="77777777" w:rsidR="00E13884" w:rsidRDefault="00E13884" w:rsidP="000B096E">
      <w:pPr>
        <w:spacing w:line="480" w:lineRule="auto"/>
        <w:rPr>
          <w:noProof/>
        </w:rPr>
      </w:pPr>
    </w:p>
    <w:p w14:paraId="25B8D76C" w14:textId="30E89F72" w:rsidR="00F571A0" w:rsidRPr="00AC7D34" w:rsidRDefault="001E3E2D" w:rsidP="000B096E">
      <w:pPr>
        <w:spacing w:line="480" w:lineRule="auto"/>
      </w:pPr>
      <w:r>
        <w:rPr>
          <w:noProof/>
        </w:rPr>
        <w:lastRenderedPageBreak/>
        <w:drawing>
          <wp:inline distT="0" distB="0" distL="0" distR="0" wp14:anchorId="191BCE38" wp14:editId="550FDC73">
            <wp:extent cx="6205855" cy="2252980"/>
            <wp:effectExtent l="0" t="0" r="4445" b="0"/>
            <wp:docPr id="10045865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hqprint">
                      <a:extLst>
                        <a:ext uri="{28A0092B-C50C-407E-A947-70E740481C1C}">
                          <a14:useLocalDpi xmlns:a14="http://schemas.microsoft.com/office/drawing/2010/main"/>
                        </a:ext>
                      </a:extLst>
                    </a:blip>
                    <a:srcRect/>
                    <a:stretch>
                      <a:fillRect/>
                    </a:stretch>
                  </pic:blipFill>
                  <pic:spPr bwMode="auto">
                    <a:xfrm>
                      <a:off x="0" y="0"/>
                      <a:ext cx="6205855" cy="2252980"/>
                    </a:xfrm>
                    <a:prstGeom prst="rect">
                      <a:avLst/>
                    </a:prstGeom>
                    <a:noFill/>
                    <a:ln>
                      <a:noFill/>
                    </a:ln>
                  </pic:spPr>
                </pic:pic>
              </a:graphicData>
            </a:graphic>
          </wp:inline>
        </w:drawing>
      </w:r>
    </w:p>
    <w:p w14:paraId="38996628" w14:textId="7A5F2896" w:rsidR="00F571A0" w:rsidRDefault="006826A0" w:rsidP="000B096E">
      <w:pPr>
        <w:spacing w:line="480" w:lineRule="auto"/>
        <w:rPr>
          <w:rFonts w:cs="Times New Roman"/>
          <w:noProof/>
          <w:szCs w:val="21"/>
        </w:rPr>
      </w:pPr>
      <w:r w:rsidRPr="0001436A">
        <w:rPr>
          <w:rFonts w:cs="Times New Roman"/>
          <w:b/>
          <w:szCs w:val="24"/>
        </w:rPr>
        <w:t xml:space="preserve">Supplementary Figure </w:t>
      </w:r>
      <w:r w:rsidR="00ED33B6">
        <w:rPr>
          <w:rFonts w:cs="Times New Roman"/>
          <w:b/>
          <w:szCs w:val="24"/>
          <w:lang w:eastAsia="zh-CN"/>
        </w:rPr>
        <w:t>5</w:t>
      </w:r>
      <w:r w:rsidRPr="001549D3">
        <w:rPr>
          <w:rFonts w:cs="Times New Roman"/>
          <w:szCs w:val="24"/>
        </w:rPr>
        <w:t xml:space="preserve"> </w:t>
      </w:r>
      <w:r w:rsidRPr="006826A0">
        <w:rPr>
          <w:rFonts w:cs="Times New Roman" w:hint="eastAsia"/>
          <w:noProof/>
          <w:szCs w:val="21"/>
        </w:rPr>
        <w:t>The</w:t>
      </w:r>
      <w:r w:rsidRPr="006826A0">
        <w:rPr>
          <w:rFonts w:cs="Times New Roman"/>
          <w:noProof/>
          <w:szCs w:val="21"/>
        </w:rPr>
        <w:t xml:space="preserve"> </w:t>
      </w:r>
      <w:r w:rsidRPr="006826A0">
        <w:rPr>
          <w:rFonts w:cs="Times New Roman" w:hint="eastAsia"/>
          <w:noProof/>
          <w:szCs w:val="21"/>
        </w:rPr>
        <w:t>g</w:t>
      </w:r>
      <w:r w:rsidRPr="00D541B1">
        <w:rPr>
          <w:rFonts w:cs="Times New Roman"/>
          <w:noProof/>
          <w:szCs w:val="21"/>
        </w:rPr>
        <w:t>ating strategy for the flow cytometric analysis of mitochondrial function in CD38</w:t>
      </w:r>
      <w:r w:rsidRPr="00D541B1">
        <w:rPr>
          <w:rFonts w:cs="Times New Roman"/>
          <w:noProof/>
          <w:szCs w:val="21"/>
          <w:vertAlign w:val="superscript"/>
        </w:rPr>
        <w:t>+</w:t>
      </w:r>
      <w:r w:rsidRPr="00D541B1">
        <w:rPr>
          <w:rFonts w:cs="Times New Roman"/>
          <w:noProof/>
          <w:szCs w:val="21"/>
        </w:rPr>
        <w:t>HLA-DR</w:t>
      </w:r>
      <w:r w:rsidRPr="00D541B1">
        <w:rPr>
          <w:rFonts w:cs="Times New Roman"/>
          <w:noProof/>
          <w:szCs w:val="21"/>
          <w:vertAlign w:val="superscript"/>
        </w:rPr>
        <w:t>+</w:t>
      </w:r>
      <w:r w:rsidRPr="00D541B1">
        <w:rPr>
          <w:rFonts w:cs="Times New Roman"/>
          <w:noProof/>
          <w:szCs w:val="21"/>
        </w:rPr>
        <w:t>CD8</w:t>
      </w:r>
      <w:r w:rsidRPr="00D541B1">
        <w:rPr>
          <w:rFonts w:cs="Times New Roman"/>
          <w:noProof/>
          <w:szCs w:val="21"/>
          <w:vertAlign w:val="superscript"/>
        </w:rPr>
        <w:t>+</w:t>
      </w:r>
      <w:r w:rsidRPr="00D541B1">
        <w:rPr>
          <w:rFonts w:cs="Times New Roman"/>
          <w:noProof/>
          <w:szCs w:val="21"/>
        </w:rPr>
        <w:t xml:space="preserve"> T cells.</w:t>
      </w:r>
      <w:r w:rsidRPr="00F46044">
        <w:rPr>
          <w:rFonts w:cs="Times New Roman"/>
          <w:b/>
          <w:bCs/>
          <w:noProof/>
          <w:szCs w:val="21"/>
        </w:rPr>
        <w:t xml:space="preserve">(A) </w:t>
      </w:r>
      <w:r w:rsidRPr="006826A0">
        <w:rPr>
          <w:rFonts w:cs="Times New Roman" w:hint="eastAsia"/>
          <w:noProof/>
          <w:szCs w:val="21"/>
        </w:rPr>
        <w:t>The</w:t>
      </w:r>
      <w:r w:rsidRPr="006826A0">
        <w:rPr>
          <w:rFonts w:cs="Times New Roman"/>
          <w:noProof/>
          <w:szCs w:val="21"/>
        </w:rPr>
        <w:t xml:space="preserve"> </w:t>
      </w:r>
      <w:r w:rsidRPr="006826A0">
        <w:rPr>
          <w:rFonts w:cs="Times New Roman" w:hint="eastAsia"/>
          <w:noProof/>
          <w:szCs w:val="21"/>
        </w:rPr>
        <w:t>g</w:t>
      </w:r>
      <w:r w:rsidRPr="00D541B1">
        <w:rPr>
          <w:rFonts w:cs="Times New Roman"/>
          <w:noProof/>
          <w:szCs w:val="21"/>
        </w:rPr>
        <w:t>ating strategy for the flow cytometric analysis of mitochondrial mass in CD38</w:t>
      </w:r>
      <w:r w:rsidRPr="00D541B1">
        <w:rPr>
          <w:rFonts w:cs="Times New Roman"/>
          <w:noProof/>
          <w:szCs w:val="21"/>
          <w:vertAlign w:val="superscript"/>
        </w:rPr>
        <w:t>+</w:t>
      </w:r>
      <w:r w:rsidRPr="00D541B1">
        <w:rPr>
          <w:rFonts w:cs="Times New Roman"/>
          <w:noProof/>
          <w:szCs w:val="21"/>
        </w:rPr>
        <w:t>HLA-DR</w:t>
      </w:r>
      <w:r w:rsidRPr="00D541B1">
        <w:rPr>
          <w:rFonts w:cs="Times New Roman"/>
          <w:noProof/>
          <w:szCs w:val="21"/>
          <w:vertAlign w:val="superscript"/>
        </w:rPr>
        <w:t>+</w:t>
      </w:r>
      <w:r w:rsidRPr="00D541B1">
        <w:rPr>
          <w:rFonts w:cs="Times New Roman"/>
          <w:noProof/>
          <w:szCs w:val="21"/>
        </w:rPr>
        <w:t>CD8</w:t>
      </w:r>
      <w:r w:rsidRPr="00D541B1">
        <w:rPr>
          <w:rFonts w:cs="Times New Roman"/>
          <w:noProof/>
          <w:szCs w:val="21"/>
          <w:vertAlign w:val="superscript"/>
        </w:rPr>
        <w:t>+</w:t>
      </w:r>
      <w:r w:rsidRPr="00D541B1">
        <w:rPr>
          <w:rFonts w:cs="Times New Roman"/>
          <w:noProof/>
          <w:szCs w:val="21"/>
        </w:rPr>
        <w:t xml:space="preserve"> T cells by MitoTracker</w:t>
      </w:r>
      <w:r w:rsidRPr="006826A0">
        <w:rPr>
          <w:rFonts w:cs="Times New Roman"/>
          <w:noProof/>
          <w:szCs w:val="21"/>
        </w:rPr>
        <w:t xml:space="preserve"> </w:t>
      </w:r>
      <w:r w:rsidRPr="00D541B1">
        <w:rPr>
          <w:rFonts w:cs="Times New Roman"/>
          <w:noProof/>
          <w:szCs w:val="21"/>
        </w:rPr>
        <w:t xml:space="preserve">Green staining was presented. </w:t>
      </w:r>
      <w:r w:rsidRPr="00F46044">
        <w:rPr>
          <w:rFonts w:cs="Times New Roman"/>
          <w:b/>
          <w:bCs/>
          <w:noProof/>
          <w:szCs w:val="21"/>
        </w:rPr>
        <w:t>(B)</w:t>
      </w:r>
      <w:r w:rsidRPr="006826A0">
        <w:rPr>
          <w:rFonts w:cs="Times New Roman"/>
          <w:noProof/>
          <w:szCs w:val="21"/>
        </w:rPr>
        <w:t xml:space="preserve"> </w:t>
      </w:r>
      <w:r w:rsidRPr="006826A0">
        <w:rPr>
          <w:rFonts w:cs="Times New Roman" w:hint="eastAsia"/>
          <w:noProof/>
          <w:szCs w:val="21"/>
        </w:rPr>
        <w:t>The</w:t>
      </w:r>
      <w:r w:rsidRPr="006826A0">
        <w:rPr>
          <w:rFonts w:cs="Times New Roman"/>
          <w:noProof/>
          <w:szCs w:val="21"/>
        </w:rPr>
        <w:t xml:space="preserve"> </w:t>
      </w:r>
      <w:r w:rsidRPr="006826A0">
        <w:rPr>
          <w:rFonts w:cs="Times New Roman" w:hint="eastAsia"/>
          <w:noProof/>
          <w:szCs w:val="21"/>
        </w:rPr>
        <w:t>g</w:t>
      </w:r>
      <w:r w:rsidRPr="00D541B1">
        <w:rPr>
          <w:rFonts w:cs="Times New Roman"/>
          <w:noProof/>
          <w:szCs w:val="21"/>
        </w:rPr>
        <w:t>ating strategy for the flow cytometric analysis of mitochondrial reactive oxygen species in CD38</w:t>
      </w:r>
      <w:r w:rsidRPr="00D541B1">
        <w:rPr>
          <w:rFonts w:cs="Times New Roman"/>
          <w:noProof/>
          <w:szCs w:val="21"/>
          <w:vertAlign w:val="superscript"/>
        </w:rPr>
        <w:t>+</w:t>
      </w:r>
      <w:r w:rsidRPr="00D541B1">
        <w:rPr>
          <w:rFonts w:cs="Times New Roman"/>
          <w:noProof/>
          <w:szCs w:val="21"/>
        </w:rPr>
        <w:t>HLA-DR</w:t>
      </w:r>
      <w:r w:rsidRPr="00D541B1">
        <w:rPr>
          <w:rFonts w:cs="Times New Roman"/>
          <w:noProof/>
          <w:szCs w:val="21"/>
          <w:vertAlign w:val="superscript"/>
        </w:rPr>
        <w:t>+</w:t>
      </w:r>
      <w:r w:rsidRPr="00D541B1">
        <w:rPr>
          <w:rFonts w:cs="Times New Roman"/>
          <w:noProof/>
          <w:szCs w:val="21"/>
        </w:rPr>
        <w:t>CD8</w:t>
      </w:r>
      <w:r w:rsidRPr="00D541B1">
        <w:rPr>
          <w:rFonts w:cs="Times New Roman"/>
          <w:noProof/>
          <w:szCs w:val="21"/>
          <w:vertAlign w:val="superscript"/>
        </w:rPr>
        <w:t>+</w:t>
      </w:r>
      <w:r w:rsidRPr="00D541B1">
        <w:rPr>
          <w:rFonts w:cs="Times New Roman"/>
          <w:noProof/>
          <w:szCs w:val="21"/>
        </w:rPr>
        <w:t xml:space="preserve"> T cells by MitoSOX Red staining  </w:t>
      </w:r>
      <w:r w:rsidRPr="006826A0">
        <w:rPr>
          <w:rFonts w:cs="Times New Roman" w:hint="eastAsia"/>
          <w:noProof/>
          <w:szCs w:val="21"/>
        </w:rPr>
        <w:t>was</w:t>
      </w:r>
      <w:r w:rsidRPr="00D541B1">
        <w:rPr>
          <w:rFonts w:cs="Times New Roman"/>
          <w:noProof/>
          <w:szCs w:val="21"/>
        </w:rPr>
        <w:t xml:space="preserve"> presented.</w:t>
      </w:r>
    </w:p>
    <w:p w14:paraId="0FD951C0" w14:textId="1F21FF8E" w:rsidR="0098728A" w:rsidRDefault="0098728A" w:rsidP="000B096E">
      <w:pPr>
        <w:spacing w:line="480" w:lineRule="auto"/>
        <w:rPr>
          <w:rFonts w:cs="Times New Roman"/>
          <w:noProof/>
          <w:szCs w:val="21"/>
        </w:rPr>
      </w:pPr>
    </w:p>
    <w:p w14:paraId="7655A507" w14:textId="4EA8F175" w:rsidR="0098728A" w:rsidRDefault="0098728A" w:rsidP="000B096E">
      <w:pPr>
        <w:spacing w:line="480" w:lineRule="auto"/>
        <w:rPr>
          <w:rFonts w:cs="Times New Roman"/>
          <w:noProof/>
          <w:szCs w:val="21"/>
        </w:rPr>
      </w:pPr>
    </w:p>
    <w:p w14:paraId="4243EF58" w14:textId="4341D4A4" w:rsidR="0098728A" w:rsidRDefault="0098728A" w:rsidP="000B096E">
      <w:pPr>
        <w:spacing w:line="480" w:lineRule="auto"/>
        <w:rPr>
          <w:rFonts w:cs="Times New Roman"/>
          <w:noProof/>
          <w:szCs w:val="21"/>
        </w:rPr>
      </w:pPr>
    </w:p>
    <w:p w14:paraId="4F8770F8" w14:textId="1A05A852" w:rsidR="0098728A" w:rsidRDefault="0098728A" w:rsidP="000B096E">
      <w:pPr>
        <w:spacing w:line="480" w:lineRule="auto"/>
        <w:rPr>
          <w:rFonts w:cs="Times New Roman"/>
          <w:noProof/>
          <w:szCs w:val="21"/>
        </w:rPr>
      </w:pPr>
    </w:p>
    <w:p w14:paraId="66171D8A" w14:textId="1FD5297A" w:rsidR="0098728A" w:rsidRDefault="0098728A" w:rsidP="000B096E">
      <w:pPr>
        <w:spacing w:line="480" w:lineRule="auto"/>
        <w:rPr>
          <w:rFonts w:cs="Times New Roman"/>
          <w:noProof/>
          <w:szCs w:val="21"/>
        </w:rPr>
      </w:pPr>
    </w:p>
    <w:p w14:paraId="4FA4E7D7" w14:textId="045EF7A1" w:rsidR="0098728A" w:rsidRDefault="0098728A" w:rsidP="000B096E">
      <w:pPr>
        <w:spacing w:line="480" w:lineRule="auto"/>
        <w:rPr>
          <w:rFonts w:cs="Times New Roman"/>
          <w:noProof/>
          <w:szCs w:val="21"/>
        </w:rPr>
      </w:pPr>
    </w:p>
    <w:p w14:paraId="4A4E8AC5" w14:textId="422E72A5" w:rsidR="0098728A" w:rsidRDefault="0098728A" w:rsidP="000B096E">
      <w:pPr>
        <w:spacing w:line="480" w:lineRule="auto"/>
        <w:rPr>
          <w:rFonts w:cs="Times New Roman"/>
          <w:noProof/>
          <w:szCs w:val="21"/>
        </w:rPr>
      </w:pPr>
    </w:p>
    <w:p w14:paraId="0AF0FDEF" w14:textId="5A4A7311" w:rsidR="0098728A" w:rsidRDefault="0098728A" w:rsidP="000B096E">
      <w:pPr>
        <w:spacing w:line="480" w:lineRule="auto"/>
        <w:rPr>
          <w:rFonts w:cs="Times New Roman"/>
          <w:noProof/>
          <w:szCs w:val="21"/>
        </w:rPr>
      </w:pPr>
    </w:p>
    <w:p w14:paraId="3168D5E2" w14:textId="3E0367B8" w:rsidR="0098728A" w:rsidRPr="00A4381B" w:rsidRDefault="0098728A" w:rsidP="00085E8F">
      <w:pPr>
        <w:pStyle w:val="af8"/>
        <w:spacing w:line="360" w:lineRule="auto"/>
        <w:jc w:val="center"/>
        <w:rPr>
          <w:sz w:val="24"/>
          <w:szCs w:val="24"/>
          <w:lang w:eastAsia="zh-CN"/>
        </w:rPr>
      </w:pPr>
      <w:bookmarkStart w:id="2" w:name="_Hlk191332778"/>
      <w:r>
        <w:rPr>
          <w:rFonts w:hint="eastAsia"/>
          <w:b/>
          <w:bCs/>
          <w:sz w:val="24"/>
          <w:szCs w:val="24"/>
          <w:lang w:eastAsia="zh-CN"/>
        </w:rPr>
        <w:lastRenderedPageBreak/>
        <w:t>Table</w:t>
      </w:r>
      <w:r>
        <w:rPr>
          <w:b/>
          <w:bCs/>
          <w:sz w:val="24"/>
          <w:szCs w:val="24"/>
          <w:lang w:eastAsia="zh-CN"/>
        </w:rPr>
        <w:t xml:space="preserve"> </w:t>
      </w:r>
      <w:r>
        <w:rPr>
          <w:rFonts w:hint="eastAsia"/>
          <w:b/>
          <w:bCs/>
          <w:sz w:val="24"/>
          <w:szCs w:val="24"/>
          <w:lang w:eastAsia="zh-CN"/>
        </w:rPr>
        <w:t>S</w:t>
      </w:r>
      <w:r>
        <w:rPr>
          <w:b/>
          <w:bCs/>
          <w:sz w:val="24"/>
          <w:szCs w:val="24"/>
          <w:lang w:eastAsia="zh-CN"/>
        </w:rPr>
        <w:t>1</w:t>
      </w:r>
      <w:r>
        <w:rPr>
          <w:rFonts w:hint="eastAsia"/>
          <w:b/>
          <w:bCs/>
          <w:sz w:val="24"/>
          <w:szCs w:val="24"/>
          <w:lang w:eastAsia="zh-CN"/>
        </w:rPr>
        <w:t xml:space="preserve"> </w:t>
      </w:r>
      <w:r w:rsidRPr="0057437F">
        <w:rPr>
          <w:sz w:val="24"/>
          <w:szCs w:val="24"/>
          <w:lang w:eastAsia="zh-CN"/>
        </w:rPr>
        <w:t>Various etiologies of cirrhosis in populations with and without ascites</w:t>
      </w:r>
    </w:p>
    <w:tbl>
      <w:tblPr>
        <w:tblW w:w="5670" w:type="dxa"/>
        <w:jc w:val="center"/>
        <w:tblBorders>
          <w:top w:val="single" w:sz="4" w:space="0" w:color="auto"/>
          <w:bottom w:val="single" w:sz="4" w:space="0" w:color="auto"/>
        </w:tblBorders>
        <w:tblLook w:val="04A0" w:firstRow="1" w:lastRow="0" w:firstColumn="1" w:lastColumn="0" w:noHBand="0" w:noVBand="1"/>
      </w:tblPr>
      <w:tblGrid>
        <w:gridCol w:w="2680"/>
        <w:gridCol w:w="1573"/>
        <w:gridCol w:w="1417"/>
      </w:tblGrid>
      <w:tr w:rsidR="00236887" w:rsidRPr="003D3C4B" w14:paraId="45F46AE5" w14:textId="77777777" w:rsidTr="00236887">
        <w:trPr>
          <w:trHeight w:val="278"/>
          <w:jc w:val="center"/>
        </w:trPr>
        <w:tc>
          <w:tcPr>
            <w:tcW w:w="2680" w:type="dxa"/>
            <w:tcBorders>
              <w:top w:val="single" w:sz="4" w:space="0" w:color="auto"/>
              <w:bottom w:val="single" w:sz="4" w:space="0" w:color="auto"/>
            </w:tcBorders>
            <w:shd w:val="clear" w:color="auto" w:fill="auto"/>
            <w:noWrap/>
            <w:vAlign w:val="center"/>
            <w:hideMark/>
          </w:tcPr>
          <w:p w14:paraId="1DE21ECA" w14:textId="77777777" w:rsidR="00236887" w:rsidRPr="003D3C4B" w:rsidRDefault="00236887" w:rsidP="006015C7">
            <w:pPr>
              <w:rPr>
                <w:rFonts w:eastAsia="DengXian" w:cs="Times New Roman"/>
                <w:sz w:val="22"/>
              </w:rPr>
            </w:pPr>
            <w:bookmarkStart w:id="3" w:name="_Hlk191558010"/>
            <w:bookmarkStart w:id="4" w:name="OLE_LINK101"/>
            <w:bookmarkStart w:id="5" w:name="OLE_LINK102"/>
            <w:bookmarkEnd w:id="2"/>
            <w:r w:rsidRPr="003D3C4B">
              <w:rPr>
                <w:rFonts w:eastAsia="DengXian" w:cs="Times New Roman"/>
                <w:sz w:val="22"/>
              </w:rPr>
              <w:t>Cause of Liver cirrhosis</w:t>
            </w:r>
          </w:p>
        </w:tc>
        <w:tc>
          <w:tcPr>
            <w:tcW w:w="1573" w:type="dxa"/>
            <w:tcBorders>
              <w:top w:val="single" w:sz="4" w:space="0" w:color="auto"/>
              <w:bottom w:val="single" w:sz="4" w:space="0" w:color="auto"/>
            </w:tcBorders>
            <w:shd w:val="clear" w:color="auto" w:fill="auto"/>
            <w:noWrap/>
            <w:vAlign w:val="center"/>
            <w:hideMark/>
          </w:tcPr>
          <w:p w14:paraId="06C3DD24" w14:textId="77777777" w:rsidR="00236887" w:rsidRPr="003D3C4B" w:rsidRDefault="00236887" w:rsidP="006015C7">
            <w:pPr>
              <w:rPr>
                <w:rFonts w:eastAsia="DengXian" w:cs="Times New Roman"/>
                <w:sz w:val="22"/>
              </w:rPr>
            </w:pPr>
            <w:r w:rsidRPr="003D3C4B">
              <w:rPr>
                <w:rFonts w:eastAsia="DengXian" w:cs="Times New Roman"/>
                <w:sz w:val="22"/>
              </w:rPr>
              <w:t>No-ascites</w:t>
            </w:r>
          </w:p>
        </w:tc>
        <w:tc>
          <w:tcPr>
            <w:tcW w:w="1417" w:type="dxa"/>
            <w:tcBorders>
              <w:top w:val="single" w:sz="4" w:space="0" w:color="auto"/>
              <w:bottom w:val="single" w:sz="4" w:space="0" w:color="auto"/>
            </w:tcBorders>
            <w:shd w:val="clear" w:color="auto" w:fill="auto"/>
            <w:noWrap/>
            <w:vAlign w:val="center"/>
            <w:hideMark/>
          </w:tcPr>
          <w:p w14:paraId="23075292" w14:textId="77777777" w:rsidR="00236887" w:rsidRPr="003D3C4B" w:rsidRDefault="00236887" w:rsidP="006015C7">
            <w:pPr>
              <w:rPr>
                <w:rFonts w:eastAsia="DengXian" w:cs="Times New Roman"/>
                <w:sz w:val="22"/>
              </w:rPr>
            </w:pPr>
            <w:r w:rsidRPr="003D3C4B">
              <w:rPr>
                <w:rFonts w:eastAsia="DengXian" w:cs="Times New Roman"/>
                <w:sz w:val="22"/>
              </w:rPr>
              <w:t>Ascites</w:t>
            </w:r>
          </w:p>
        </w:tc>
      </w:tr>
      <w:tr w:rsidR="00236887" w:rsidRPr="003D3C4B" w14:paraId="78291BDD" w14:textId="77777777" w:rsidTr="00236887">
        <w:trPr>
          <w:trHeight w:val="278"/>
          <w:jc w:val="center"/>
        </w:trPr>
        <w:tc>
          <w:tcPr>
            <w:tcW w:w="2680" w:type="dxa"/>
            <w:tcBorders>
              <w:top w:val="single" w:sz="4" w:space="0" w:color="auto"/>
            </w:tcBorders>
            <w:shd w:val="clear" w:color="auto" w:fill="auto"/>
            <w:noWrap/>
            <w:vAlign w:val="center"/>
            <w:hideMark/>
          </w:tcPr>
          <w:p w14:paraId="4CB5B3B3" w14:textId="77777777" w:rsidR="00236887" w:rsidRPr="003D3C4B" w:rsidRDefault="00236887" w:rsidP="006015C7">
            <w:pPr>
              <w:rPr>
                <w:rFonts w:eastAsia="DengXian" w:cs="Times New Roman"/>
                <w:sz w:val="22"/>
              </w:rPr>
            </w:pPr>
            <w:r w:rsidRPr="003D3C4B">
              <w:rPr>
                <w:rFonts w:eastAsia="DengXian" w:cs="Times New Roman"/>
                <w:sz w:val="22"/>
              </w:rPr>
              <w:t xml:space="preserve">Hepatitis B </w:t>
            </w:r>
          </w:p>
        </w:tc>
        <w:tc>
          <w:tcPr>
            <w:tcW w:w="1573" w:type="dxa"/>
            <w:tcBorders>
              <w:top w:val="single" w:sz="4" w:space="0" w:color="auto"/>
            </w:tcBorders>
            <w:shd w:val="clear" w:color="auto" w:fill="auto"/>
            <w:noWrap/>
            <w:vAlign w:val="center"/>
            <w:hideMark/>
          </w:tcPr>
          <w:p w14:paraId="71BBB211" w14:textId="77777777" w:rsidR="00236887" w:rsidRPr="003D3C4B" w:rsidRDefault="00236887" w:rsidP="006015C7">
            <w:pPr>
              <w:jc w:val="center"/>
              <w:rPr>
                <w:rFonts w:eastAsia="DengXian" w:cs="Times New Roman"/>
                <w:sz w:val="22"/>
              </w:rPr>
            </w:pPr>
            <w:r w:rsidRPr="003D3C4B">
              <w:rPr>
                <w:rFonts w:eastAsia="DengXian" w:cs="Times New Roman"/>
                <w:sz w:val="22"/>
              </w:rPr>
              <w:t>5</w:t>
            </w:r>
          </w:p>
        </w:tc>
        <w:tc>
          <w:tcPr>
            <w:tcW w:w="1417" w:type="dxa"/>
            <w:tcBorders>
              <w:top w:val="single" w:sz="4" w:space="0" w:color="auto"/>
            </w:tcBorders>
            <w:shd w:val="clear" w:color="auto" w:fill="auto"/>
            <w:noWrap/>
            <w:vAlign w:val="center"/>
            <w:hideMark/>
          </w:tcPr>
          <w:p w14:paraId="48AB206D" w14:textId="77777777" w:rsidR="00236887" w:rsidRPr="003D3C4B" w:rsidRDefault="00236887" w:rsidP="006015C7">
            <w:pPr>
              <w:jc w:val="center"/>
              <w:rPr>
                <w:rFonts w:eastAsia="DengXian" w:cs="Times New Roman"/>
                <w:sz w:val="22"/>
              </w:rPr>
            </w:pPr>
            <w:r w:rsidRPr="003D3C4B">
              <w:rPr>
                <w:rFonts w:eastAsia="DengXian" w:cs="Times New Roman"/>
                <w:sz w:val="22"/>
              </w:rPr>
              <w:t>7</w:t>
            </w:r>
          </w:p>
        </w:tc>
      </w:tr>
      <w:tr w:rsidR="00236887" w:rsidRPr="003D3C4B" w14:paraId="30153E57" w14:textId="77777777" w:rsidTr="00236887">
        <w:trPr>
          <w:trHeight w:val="278"/>
          <w:jc w:val="center"/>
        </w:trPr>
        <w:tc>
          <w:tcPr>
            <w:tcW w:w="2680" w:type="dxa"/>
            <w:shd w:val="clear" w:color="auto" w:fill="auto"/>
            <w:noWrap/>
            <w:vAlign w:val="center"/>
            <w:hideMark/>
          </w:tcPr>
          <w:p w14:paraId="5C1EDC2D" w14:textId="77777777" w:rsidR="00236887" w:rsidRPr="003D3C4B" w:rsidRDefault="00236887" w:rsidP="006015C7">
            <w:pPr>
              <w:rPr>
                <w:rFonts w:eastAsia="DengXian" w:cs="Times New Roman"/>
                <w:sz w:val="22"/>
              </w:rPr>
            </w:pPr>
            <w:r w:rsidRPr="003D3C4B">
              <w:rPr>
                <w:rFonts w:eastAsia="DengXian" w:cs="Times New Roman"/>
                <w:sz w:val="22"/>
              </w:rPr>
              <w:t>Autoimmune</w:t>
            </w:r>
            <w:r>
              <w:rPr>
                <w:rFonts w:eastAsia="DengXian" w:cs="Times New Roman" w:hint="eastAsia"/>
                <w:sz w:val="22"/>
              </w:rPr>
              <w:t xml:space="preserve"> </w:t>
            </w:r>
          </w:p>
        </w:tc>
        <w:tc>
          <w:tcPr>
            <w:tcW w:w="1573" w:type="dxa"/>
            <w:shd w:val="clear" w:color="auto" w:fill="auto"/>
            <w:noWrap/>
            <w:vAlign w:val="center"/>
            <w:hideMark/>
          </w:tcPr>
          <w:p w14:paraId="26F1A3F5" w14:textId="77777777" w:rsidR="00236887" w:rsidRPr="003D3C4B" w:rsidRDefault="00236887" w:rsidP="006015C7">
            <w:pPr>
              <w:jc w:val="center"/>
              <w:rPr>
                <w:rFonts w:eastAsia="DengXian" w:cs="Times New Roman"/>
                <w:sz w:val="22"/>
              </w:rPr>
            </w:pPr>
            <w:r w:rsidRPr="003D3C4B">
              <w:rPr>
                <w:rFonts w:eastAsia="DengXian" w:cs="Times New Roman"/>
                <w:sz w:val="22"/>
              </w:rPr>
              <w:t>1</w:t>
            </w:r>
          </w:p>
        </w:tc>
        <w:tc>
          <w:tcPr>
            <w:tcW w:w="1417" w:type="dxa"/>
            <w:shd w:val="clear" w:color="auto" w:fill="auto"/>
            <w:noWrap/>
            <w:vAlign w:val="center"/>
            <w:hideMark/>
          </w:tcPr>
          <w:p w14:paraId="1F2BC047" w14:textId="77777777" w:rsidR="00236887" w:rsidRPr="003D3C4B" w:rsidRDefault="00236887" w:rsidP="006015C7">
            <w:pPr>
              <w:jc w:val="center"/>
              <w:rPr>
                <w:rFonts w:eastAsia="DengXian" w:cs="Times New Roman"/>
                <w:sz w:val="22"/>
              </w:rPr>
            </w:pPr>
            <w:r w:rsidRPr="003D3C4B">
              <w:rPr>
                <w:rFonts w:eastAsia="DengXian" w:cs="Times New Roman"/>
                <w:sz w:val="22"/>
              </w:rPr>
              <w:t>1</w:t>
            </w:r>
          </w:p>
        </w:tc>
      </w:tr>
      <w:tr w:rsidR="00236887" w:rsidRPr="003D3C4B" w14:paraId="066429EE" w14:textId="77777777" w:rsidTr="00236887">
        <w:trPr>
          <w:trHeight w:val="278"/>
          <w:jc w:val="center"/>
        </w:trPr>
        <w:tc>
          <w:tcPr>
            <w:tcW w:w="2680" w:type="dxa"/>
            <w:shd w:val="clear" w:color="auto" w:fill="auto"/>
            <w:noWrap/>
            <w:vAlign w:val="center"/>
            <w:hideMark/>
          </w:tcPr>
          <w:p w14:paraId="3A0565D9" w14:textId="77777777" w:rsidR="00236887" w:rsidRPr="003D3C4B" w:rsidRDefault="00236887" w:rsidP="006015C7">
            <w:pPr>
              <w:rPr>
                <w:rFonts w:eastAsia="DengXian" w:cs="Times New Roman"/>
                <w:sz w:val="22"/>
              </w:rPr>
            </w:pPr>
            <w:r w:rsidRPr="003D3C4B">
              <w:rPr>
                <w:rFonts w:eastAsia="DengXian" w:cs="Times New Roman"/>
                <w:sz w:val="22"/>
              </w:rPr>
              <w:t>Primary Biliary</w:t>
            </w:r>
          </w:p>
        </w:tc>
        <w:tc>
          <w:tcPr>
            <w:tcW w:w="1573" w:type="dxa"/>
            <w:shd w:val="clear" w:color="auto" w:fill="auto"/>
            <w:noWrap/>
            <w:vAlign w:val="center"/>
            <w:hideMark/>
          </w:tcPr>
          <w:p w14:paraId="7C21124A" w14:textId="77777777" w:rsidR="00236887" w:rsidRPr="003D3C4B" w:rsidRDefault="00236887" w:rsidP="006015C7">
            <w:pPr>
              <w:jc w:val="center"/>
              <w:rPr>
                <w:rFonts w:eastAsia="DengXian" w:cs="Times New Roman"/>
                <w:sz w:val="22"/>
              </w:rPr>
            </w:pPr>
            <w:r w:rsidRPr="003D3C4B">
              <w:rPr>
                <w:rFonts w:eastAsia="DengXian" w:cs="Times New Roman"/>
                <w:sz w:val="22"/>
              </w:rPr>
              <w:t>1</w:t>
            </w:r>
          </w:p>
        </w:tc>
        <w:tc>
          <w:tcPr>
            <w:tcW w:w="1417" w:type="dxa"/>
            <w:shd w:val="clear" w:color="auto" w:fill="auto"/>
            <w:noWrap/>
            <w:vAlign w:val="center"/>
            <w:hideMark/>
          </w:tcPr>
          <w:p w14:paraId="1BC7A6A2" w14:textId="77777777" w:rsidR="00236887" w:rsidRPr="003D3C4B" w:rsidRDefault="00236887" w:rsidP="006015C7">
            <w:pPr>
              <w:jc w:val="center"/>
              <w:rPr>
                <w:rFonts w:eastAsia="DengXian" w:cs="Times New Roman"/>
                <w:sz w:val="22"/>
              </w:rPr>
            </w:pPr>
            <w:r w:rsidRPr="003D3C4B">
              <w:rPr>
                <w:rFonts w:eastAsia="DengXian" w:cs="Times New Roman"/>
                <w:sz w:val="22"/>
              </w:rPr>
              <w:t>0</w:t>
            </w:r>
          </w:p>
        </w:tc>
      </w:tr>
      <w:tr w:rsidR="00236887" w:rsidRPr="003D3C4B" w14:paraId="5E950D8B" w14:textId="77777777" w:rsidTr="00236887">
        <w:trPr>
          <w:trHeight w:val="278"/>
          <w:jc w:val="center"/>
        </w:trPr>
        <w:tc>
          <w:tcPr>
            <w:tcW w:w="2680" w:type="dxa"/>
            <w:shd w:val="clear" w:color="auto" w:fill="auto"/>
            <w:noWrap/>
            <w:vAlign w:val="center"/>
            <w:hideMark/>
          </w:tcPr>
          <w:p w14:paraId="4BA93D2B" w14:textId="77777777" w:rsidR="00236887" w:rsidRPr="003D3C4B" w:rsidRDefault="00236887" w:rsidP="006015C7">
            <w:pPr>
              <w:rPr>
                <w:rFonts w:eastAsia="DengXian" w:cs="Times New Roman"/>
                <w:sz w:val="22"/>
              </w:rPr>
            </w:pPr>
            <w:r w:rsidRPr="003D3C4B">
              <w:rPr>
                <w:rFonts w:eastAsia="DengXian" w:cs="Times New Roman"/>
                <w:sz w:val="22"/>
              </w:rPr>
              <w:t>Alcoholic</w:t>
            </w:r>
          </w:p>
        </w:tc>
        <w:tc>
          <w:tcPr>
            <w:tcW w:w="1573" w:type="dxa"/>
            <w:shd w:val="clear" w:color="auto" w:fill="auto"/>
            <w:noWrap/>
            <w:vAlign w:val="center"/>
            <w:hideMark/>
          </w:tcPr>
          <w:p w14:paraId="369C6CD1" w14:textId="77777777" w:rsidR="00236887" w:rsidRPr="003D3C4B" w:rsidRDefault="00236887" w:rsidP="006015C7">
            <w:pPr>
              <w:jc w:val="center"/>
              <w:rPr>
                <w:rFonts w:eastAsia="DengXian" w:cs="Times New Roman"/>
                <w:sz w:val="22"/>
              </w:rPr>
            </w:pPr>
            <w:r w:rsidRPr="003D3C4B">
              <w:rPr>
                <w:rFonts w:eastAsia="DengXian" w:cs="Times New Roman"/>
                <w:sz w:val="22"/>
              </w:rPr>
              <w:t>0</w:t>
            </w:r>
          </w:p>
        </w:tc>
        <w:tc>
          <w:tcPr>
            <w:tcW w:w="1417" w:type="dxa"/>
            <w:shd w:val="clear" w:color="auto" w:fill="auto"/>
            <w:noWrap/>
            <w:vAlign w:val="center"/>
            <w:hideMark/>
          </w:tcPr>
          <w:p w14:paraId="2A0771BB" w14:textId="77777777" w:rsidR="00236887" w:rsidRPr="003D3C4B" w:rsidRDefault="00236887" w:rsidP="006015C7">
            <w:pPr>
              <w:jc w:val="center"/>
              <w:rPr>
                <w:rFonts w:eastAsia="DengXian" w:cs="Times New Roman"/>
                <w:sz w:val="22"/>
              </w:rPr>
            </w:pPr>
            <w:r w:rsidRPr="003D3C4B">
              <w:rPr>
                <w:rFonts w:eastAsia="DengXian" w:cs="Times New Roman"/>
                <w:sz w:val="22"/>
              </w:rPr>
              <w:t>1</w:t>
            </w:r>
          </w:p>
        </w:tc>
      </w:tr>
      <w:tr w:rsidR="00236887" w:rsidRPr="003D3C4B" w14:paraId="1D1F1AEB" w14:textId="77777777" w:rsidTr="00236887">
        <w:trPr>
          <w:trHeight w:val="278"/>
          <w:jc w:val="center"/>
        </w:trPr>
        <w:tc>
          <w:tcPr>
            <w:tcW w:w="2680" w:type="dxa"/>
            <w:shd w:val="clear" w:color="auto" w:fill="auto"/>
            <w:noWrap/>
            <w:vAlign w:val="center"/>
            <w:hideMark/>
          </w:tcPr>
          <w:p w14:paraId="17358589" w14:textId="77777777" w:rsidR="00236887" w:rsidRPr="003D3C4B" w:rsidRDefault="00236887" w:rsidP="006015C7">
            <w:pPr>
              <w:rPr>
                <w:rFonts w:eastAsia="DengXian" w:cs="Times New Roman"/>
                <w:sz w:val="22"/>
              </w:rPr>
            </w:pPr>
            <w:r w:rsidRPr="003D3C4B">
              <w:rPr>
                <w:rFonts w:eastAsia="DengXian" w:cs="Times New Roman"/>
                <w:sz w:val="22"/>
              </w:rPr>
              <w:t>Hepatitis C</w:t>
            </w:r>
            <w:r>
              <w:rPr>
                <w:rFonts w:eastAsia="DengXian" w:cs="Times New Roman" w:hint="eastAsia"/>
                <w:sz w:val="22"/>
              </w:rPr>
              <w:t xml:space="preserve"> </w:t>
            </w:r>
          </w:p>
        </w:tc>
        <w:tc>
          <w:tcPr>
            <w:tcW w:w="1573" w:type="dxa"/>
            <w:shd w:val="clear" w:color="auto" w:fill="auto"/>
            <w:noWrap/>
            <w:vAlign w:val="center"/>
            <w:hideMark/>
          </w:tcPr>
          <w:p w14:paraId="7B508BCB" w14:textId="77777777" w:rsidR="00236887" w:rsidRPr="003D3C4B" w:rsidRDefault="00236887" w:rsidP="006015C7">
            <w:pPr>
              <w:jc w:val="center"/>
              <w:rPr>
                <w:rFonts w:eastAsia="DengXian" w:cs="Times New Roman"/>
                <w:sz w:val="22"/>
              </w:rPr>
            </w:pPr>
            <w:r w:rsidRPr="003D3C4B">
              <w:rPr>
                <w:rFonts w:eastAsia="DengXian" w:cs="Times New Roman"/>
                <w:sz w:val="22"/>
              </w:rPr>
              <w:t>0</w:t>
            </w:r>
          </w:p>
        </w:tc>
        <w:tc>
          <w:tcPr>
            <w:tcW w:w="1417" w:type="dxa"/>
            <w:shd w:val="clear" w:color="auto" w:fill="auto"/>
            <w:noWrap/>
            <w:vAlign w:val="center"/>
            <w:hideMark/>
          </w:tcPr>
          <w:p w14:paraId="5C0FDF55" w14:textId="77777777" w:rsidR="00236887" w:rsidRPr="003D3C4B" w:rsidRDefault="00236887" w:rsidP="006015C7">
            <w:pPr>
              <w:jc w:val="center"/>
              <w:rPr>
                <w:rFonts w:eastAsia="DengXian" w:cs="Times New Roman"/>
                <w:sz w:val="22"/>
              </w:rPr>
            </w:pPr>
            <w:r w:rsidRPr="003D3C4B">
              <w:rPr>
                <w:rFonts w:eastAsia="DengXian" w:cs="Times New Roman"/>
                <w:sz w:val="22"/>
              </w:rPr>
              <w:t>2</w:t>
            </w:r>
          </w:p>
        </w:tc>
      </w:tr>
      <w:tr w:rsidR="00236887" w:rsidRPr="003D3C4B" w14:paraId="490087A4" w14:textId="77777777" w:rsidTr="00236887">
        <w:trPr>
          <w:trHeight w:val="278"/>
          <w:jc w:val="center"/>
        </w:trPr>
        <w:tc>
          <w:tcPr>
            <w:tcW w:w="2680" w:type="dxa"/>
            <w:shd w:val="clear" w:color="auto" w:fill="auto"/>
            <w:noWrap/>
            <w:vAlign w:val="center"/>
            <w:hideMark/>
          </w:tcPr>
          <w:p w14:paraId="4D587DE4" w14:textId="4BB52328" w:rsidR="00236887" w:rsidRPr="003D3C4B" w:rsidRDefault="00236887" w:rsidP="006015C7">
            <w:pPr>
              <w:rPr>
                <w:rFonts w:eastAsia="DengXian" w:cs="Times New Roman"/>
                <w:sz w:val="22"/>
              </w:rPr>
            </w:pPr>
            <w:r w:rsidRPr="003D3C4B">
              <w:rPr>
                <w:rFonts w:eastAsia="DengXian" w:cs="Times New Roman"/>
                <w:sz w:val="22"/>
              </w:rPr>
              <w:t>Non-Alcoholic Fatty</w:t>
            </w:r>
          </w:p>
        </w:tc>
        <w:tc>
          <w:tcPr>
            <w:tcW w:w="1573" w:type="dxa"/>
            <w:shd w:val="clear" w:color="auto" w:fill="auto"/>
            <w:noWrap/>
            <w:vAlign w:val="center"/>
            <w:hideMark/>
          </w:tcPr>
          <w:p w14:paraId="56E26978" w14:textId="614CEC9D" w:rsidR="00236887" w:rsidRPr="003D3C4B" w:rsidRDefault="00236887" w:rsidP="006015C7">
            <w:pPr>
              <w:jc w:val="center"/>
              <w:rPr>
                <w:rFonts w:eastAsia="DengXian" w:cs="Times New Roman"/>
                <w:sz w:val="22"/>
                <w:lang w:eastAsia="zh-CN"/>
              </w:rPr>
            </w:pPr>
            <w:r>
              <w:rPr>
                <w:rFonts w:eastAsia="DengXian" w:cs="Times New Roman" w:hint="eastAsia"/>
                <w:sz w:val="22"/>
                <w:lang w:eastAsia="zh-CN"/>
              </w:rPr>
              <w:t>2</w:t>
            </w:r>
          </w:p>
        </w:tc>
        <w:tc>
          <w:tcPr>
            <w:tcW w:w="1417" w:type="dxa"/>
            <w:shd w:val="clear" w:color="auto" w:fill="auto"/>
            <w:noWrap/>
            <w:vAlign w:val="center"/>
            <w:hideMark/>
          </w:tcPr>
          <w:p w14:paraId="46F51209" w14:textId="7861C312" w:rsidR="00236887" w:rsidRPr="003D3C4B" w:rsidRDefault="00236887" w:rsidP="006015C7">
            <w:pPr>
              <w:jc w:val="center"/>
              <w:rPr>
                <w:rFonts w:eastAsia="DengXian" w:cs="Times New Roman"/>
                <w:sz w:val="22"/>
                <w:lang w:eastAsia="zh-CN"/>
              </w:rPr>
            </w:pPr>
            <w:r>
              <w:rPr>
                <w:rFonts w:eastAsia="DengXian" w:cs="Times New Roman" w:hint="eastAsia"/>
                <w:sz w:val="22"/>
                <w:lang w:eastAsia="zh-CN"/>
              </w:rPr>
              <w:t>0</w:t>
            </w:r>
          </w:p>
        </w:tc>
      </w:tr>
      <w:tr w:rsidR="00236887" w:rsidRPr="003D3C4B" w14:paraId="34E81EA1" w14:textId="77777777" w:rsidTr="00236887">
        <w:trPr>
          <w:trHeight w:val="278"/>
          <w:jc w:val="center"/>
        </w:trPr>
        <w:tc>
          <w:tcPr>
            <w:tcW w:w="2680" w:type="dxa"/>
            <w:shd w:val="clear" w:color="auto" w:fill="auto"/>
            <w:noWrap/>
            <w:vAlign w:val="center"/>
            <w:hideMark/>
          </w:tcPr>
          <w:p w14:paraId="34606D8E" w14:textId="7F128926" w:rsidR="00236887" w:rsidRPr="003D3C4B" w:rsidRDefault="00236887" w:rsidP="006015C7">
            <w:pPr>
              <w:rPr>
                <w:rFonts w:eastAsia="DengXian" w:cs="Times New Roman"/>
                <w:sz w:val="22"/>
              </w:rPr>
            </w:pPr>
            <w:r w:rsidRPr="003D3C4B">
              <w:rPr>
                <w:rFonts w:eastAsia="DengXian" w:cs="Times New Roman"/>
                <w:sz w:val="22"/>
              </w:rPr>
              <w:t>Unknown</w:t>
            </w:r>
          </w:p>
        </w:tc>
        <w:tc>
          <w:tcPr>
            <w:tcW w:w="1573" w:type="dxa"/>
            <w:shd w:val="clear" w:color="auto" w:fill="auto"/>
            <w:noWrap/>
            <w:vAlign w:val="center"/>
            <w:hideMark/>
          </w:tcPr>
          <w:p w14:paraId="7257A54B" w14:textId="21AB2A86" w:rsidR="00236887" w:rsidRPr="003D3C4B" w:rsidRDefault="00236887" w:rsidP="006015C7">
            <w:pPr>
              <w:jc w:val="center"/>
              <w:rPr>
                <w:rFonts w:eastAsia="DengXian" w:cs="Times New Roman"/>
                <w:sz w:val="22"/>
                <w:lang w:eastAsia="zh-CN"/>
              </w:rPr>
            </w:pPr>
            <w:r>
              <w:rPr>
                <w:rFonts w:eastAsia="DengXian" w:cs="Times New Roman" w:hint="eastAsia"/>
                <w:sz w:val="22"/>
                <w:lang w:eastAsia="zh-CN"/>
              </w:rPr>
              <w:t>4</w:t>
            </w:r>
          </w:p>
        </w:tc>
        <w:tc>
          <w:tcPr>
            <w:tcW w:w="1417" w:type="dxa"/>
            <w:shd w:val="clear" w:color="auto" w:fill="auto"/>
            <w:noWrap/>
            <w:vAlign w:val="center"/>
            <w:hideMark/>
          </w:tcPr>
          <w:p w14:paraId="276D1DBE" w14:textId="6FAC5641" w:rsidR="00236887" w:rsidRPr="003D3C4B" w:rsidRDefault="00236887" w:rsidP="006015C7">
            <w:pPr>
              <w:jc w:val="center"/>
              <w:rPr>
                <w:rFonts w:eastAsia="DengXian" w:cs="Times New Roman"/>
                <w:sz w:val="22"/>
                <w:lang w:eastAsia="zh-CN"/>
              </w:rPr>
            </w:pPr>
            <w:r>
              <w:rPr>
                <w:rFonts w:eastAsia="DengXian" w:cs="Times New Roman" w:hint="eastAsia"/>
                <w:sz w:val="22"/>
                <w:lang w:eastAsia="zh-CN"/>
              </w:rPr>
              <w:t>3</w:t>
            </w:r>
          </w:p>
        </w:tc>
      </w:tr>
      <w:bookmarkEnd w:id="3"/>
      <w:tr w:rsidR="00236887" w:rsidRPr="003D3C4B" w14:paraId="75BC2CCF" w14:textId="77777777" w:rsidTr="00236887">
        <w:trPr>
          <w:trHeight w:val="278"/>
          <w:jc w:val="center"/>
        </w:trPr>
        <w:tc>
          <w:tcPr>
            <w:tcW w:w="2680" w:type="dxa"/>
            <w:tcBorders>
              <w:bottom w:val="single" w:sz="4" w:space="0" w:color="auto"/>
            </w:tcBorders>
            <w:shd w:val="clear" w:color="auto" w:fill="auto"/>
            <w:noWrap/>
            <w:vAlign w:val="center"/>
            <w:hideMark/>
          </w:tcPr>
          <w:p w14:paraId="47EBE44C" w14:textId="77777777" w:rsidR="00236887" w:rsidRPr="003D3C4B" w:rsidRDefault="00236887" w:rsidP="006015C7">
            <w:pPr>
              <w:rPr>
                <w:rFonts w:eastAsia="DengXian" w:cs="Times New Roman"/>
                <w:sz w:val="22"/>
              </w:rPr>
            </w:pPr>
            <w:r w:rsidRPr="003D3C4B">
              <w:rPr>
                <w:rFonts w:eastAsia="DengXian" w:cs="Times New Roman"/>
                <w:sz w:val="22"/>
              </w:rPr>
              <w:t>Tota</w:t>
            </w:r>
            <w:r w:rsidRPr="00BB3417">
              <w:rPr>
                <w:rFonts w:eastAsia="DengXian" w:cs="Times New Roman"/>
                <w:sz w:val="22"/>
              </w:rPr>
              <w:t>l(n)</w:t>
            </w:r>
          </w:p>
        </w:tc>
        <w:tc>
          <w:tcPr>
            <w:tcW w:w="1573" w:type="dxa"/>
            <w:tcBorders>
              <w:bottom w:val="single" w:sz="4" w:space="0" w:color="auto"/>
            </w:tcBorders>
            <w:shd w:val="clear" w:color="auto" w:fill="auto"/>
            <w:noWrap/>
            <w:vAlign w:val="center"/>
            <w:hideMark/>
          </w:tcPr>
          <w:p w14:paraId="3FA22155" w14:textId="77777777" w:rsidR="00236887" w:rsidRPr="003D3C4B" w:rsidRDefault="00236887" w:rsidP="006015C7">
            <w:pPr>
              <w:jc w:val="center"/>
              <w:rPr>
                <w:rFonts w:eastAsia="DengXian" w:cs="Times New Roman"/>
                <w:sz w:val="22"/>
              </w:rPr>
            </w:pPr>
            <w:r w:rsidRPr="003D3C4B">
              <w:rPr>
                <w:rFonts w:eastAsia="DengXian" w:cs="Times New Roman"/>
                <w:sz w:val="22"/>
              </w:rPr>
              <w:t>13</w:t>
            </w:r>
          </w:p>
        </w:tc>
        <w:tc>
          <w:tcPr>
            <w:tcW w:w="1417" w:type="dxa"/>
            <w:tcBorders>
              <w:bottom w:val="single" w:sz="4" w:space="0" w:color="auto"/>
            </w:tcBorders>
            <w:shd w:val="clear" w:color="auto" w:fill="auto"/>
            <w:noWrap/>
            <w:vAlign w:val="center"/>
            <w:hideMark/>
          </w:tcPr>
          <w:p w14:paraId="49E59F08" w14:textId="77777777" w:rsidR="00236887" w:rsidRPr="003D3C4B" w:rsidRDefault="00236887" w:rsidP="006015C7">
            <w:pPr>
              <w:jc w:val="center"/>
              <w:rPr>
                <w:rFonts w:eastAsia="DengXian" w:cs="Times New Roman"/>
                <w:sz w:val="22"/>
              </w:rPr>
            </w:pPr>
            <w:r w:rsidRPr="003D3C4B">
              <w:rPr>
                <w:rFonts w:eastAsia="DengXian" w:cs="Times New Roman"/>
                <w:sz w:val="22"/>
              </w:rPr>
              <w:t>14</w:t>
            </w:r>
          </w:p>
        </w:tc>
      </w:tr>
      <w:bookmarkEnd w:id="4"/>
      <w:bookmarkEnd w:id="5"/>
    </w:tbl>
    <w:p w14:paraId="752D4AAF" w14:textId="659710E9" w:rsidR="0098728A" w:rsidRDefault="0098728A" w:rsidP="000B096E">
      <w:pPr>
        <w:spacing w:line="480" w:lineRule="auto"/>
        <w:rPr>
          <w:rFonts w:cs="Times New Roman"/>
          <w:noProof/>
          <w:szCs w:val="21"/>
        </w:rPr>
      </w:pPr>
    </w:p>
    <w:p w14:paraId="6F70A5DD" w14:textId="77777777" w:rsidR="0098728A" w:rsidRPr="000B096E" w:rsidRDefault="0098728A" w:rsidP="000B096E">
      <w:pPr>
        <w:spacing w:line="480" w:lineRule="auto"/>
        <w:rPr>
          <w:rFonts w:cs="Times New Roman"/>
          <w:b/>
          <w:bCs/>
          <w:noProof/>
          <w:szCs w:val="21"/>
        </w:rPr>
      </w:pPr>
    </w:p>
    <w:sectPr w:rsidR="0098728A" w:rsidRPr="000B096E" w:rsidSect="0093429D">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0A74F" w14:textId="77777777" w:rsidR="00950571" w:rsidRDefault="00950571" w:rsidP="00117666">
      <w:pPr>
        <w:spacing w:after="0"/>
      </w:pPr>
      <w:r>
        <w:separator/>
      </w:r>
    </w:p>
  </w:endnote>
  <w:endnote w:type="continuationSeparator" w:id="0">
    <w:p w14:paraId="5C12ED41" w14:textId="77777777" w:rsidR="00950571" w:rsidRDefault="00950571"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6D4AEB"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6D4AE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4D054D26" w14:textId="77777777" w:rsidR="006D4AE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6D4AEB"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6D4AE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085E15EB" w14:textId="77777777" w:rsidR="006D4AE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B3ED" w14:textId="77777777" w:rsidR="00950571" w:rsidRDefault="00950571" w:rsidP="00117666">
      <w:pPr>
        <w:spacing w:after="0"/>
      </w:pPr>
      <w:r>
        <w:separator/>
      </w:r>
    </w:p>
  </w:footnote>
  <w:footnote w:type="continuationSeparator" w:id="0">
    <w:p w14:paraId="35FF2523" w14:textId="77777777" w:rsidR="00950571" w:rsidRDefault="00950571"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14ABEDB0" w:rsidR="006D4AEB"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bordersDoNotSurroundHeader/>
  <w:bordersDoNotSurroundFooter/>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 in Bio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staefwu5v0pvesxd6v2vvb2z22z2sf9ew5&quot;&gt;My EndNote Library xin&lt;record-ids&gt;&lt;item&gt;25&lt;/item&gt;&lt;/record-ids&gt;&lt;/item&gt;&lt;/Libraries&gt;"/>
  </w:docVars>
  <w:rsids>
    <w:rsidRoot w:val="00803D24"/>
    <w:rsid w:val="0000671F"/>
    <w:rsid w:val="0001436A"/>
    <w:rsid w:val="00025E32"/>
    <w:rsid w:val="00034304"/>
    <w:rsid w:val="00035434"/>
    <w:rsid w:val="00052A14"/>
    <w:rsid w:val="00053795"/>
    <w:rsid w:val="00062030"/>
    <w:rsid w:val="00077D53"/>
    <w:rsid w:val="00085E8F"/>
    <w:rsid w:val="000B096E"/>
    <w:rsid w:val="000B1F99"/>
    <w:rsid w:val="00105FD9"/>
    <w:rsid w:val="00117666"/>
    <w:rsid w:val="001549D3"/>
    <w:rsid w:val="00160065"/>
    <w:rsid w:val="00177D84"/>
    <w:rsid w:val="001E3E2D"/>
    <w:rsid w:val="0022171C"/>
    <w:rsid w:val="0022652A"/>
    <w:rsid w:val="00236887"/>
    <w:rsid w:val="0026552C"/>
    <w:rsid w:val="00267D18"/>
    <w:rsid w:val="002868E2"/>
    <w:rsid w:val="002869C3"/>
    <w:rsid w:val="002936E4"/>
    <w:rsid w:val="002B4A57"/>
    <w:rsid w:val="002C74CA"/>
    <w:rsid w:val="003544FB"/>
    <w:rsid w:val="003D2D47"/>
    <w:rsid w:val="003D2F2D"/>
    <w:rsid w:val="003D3546"/>
    <w:rsid w:val="00401590"/>
    <w:rsid w:val="00440320"/>
    <w:rsid w:val="00447801"/>
    <w:rsid w:val="00452E9C"/>
    <w:rsid w:val="004735C8"/>
    <w:rsid w:val="004961FF"/>
    <w:rsid w:val="00517A89"/>
    <w:rsid w:val="005250F2"/>
    <w:rsid w:val="00563EA9"/>
    <w:rsid w:val="00593EEA"/>
    <w:rsid w:val="005A5EEE"/>
    <w:rsid w:val="00604477"/>
    <w:rsid w:val="006375C7"/>
    <w:rsid w:val="00654E8F"/>
    <w:rsid w:val="00660D05"/>
    <w:rsid w:val="00677B9C"/>
    <w:rsid w:val="006820B1"/>
    <w:rsid w:val="006826A0"/>
    <w:rsid w:val="006B7D14"/>
    <w:rsid w:val="006D4AEB"/>
    <w:rsid w:val="00701727"/>
    <w:rsid w:val="0070566C"/>
    <w:rsid w:val="00714C50"/>
    <w:rsid w:val="00725A7D"/>
    <w:rsid w:val="00740A08"/>
    <w:rsid w:val="00742170"/>
    <w:rsid w:val="007501BE"/>
    <w:rsid w:val="00762C94"/>
    <w:rsid w:val="00790BB3"/>
    <w:rsid w:val="007B65FE"/>
    <w:rsid w:val="007C206C"/>
    <w:rsid w:val="007D5707"/>
    <w:rsid w:val="007E6AAA"/>
    <w:rsid w:val="00803D24"/>
    <w:rsid w:val="00817DD6"/>
    <w:rsid w:val="00877E9A"/>
    <w:rsid w:val="00885156"/>
    <w:rsid w:val="008A5275"/>
    <w:rsid w:val="008C1487"/>
    <w:rsid w:val="008C5B0B"/>
    <w:rsid w:val="009151AA"/>
    <w:rsid w:val="0093429D"/>
    <w:rsid w:val="00943573"/>
    <w:rsid w:val="00950571"/>
    <w:rsid w:val="00970F7D"/>
    <w:rsid w:val="0098120F"/>
    <w:rsid w:val="0098728A"/>
    <w:rsid w:val="00994A3D"/>
    <w:rsid w:val="009C2B12"/>
    <w:rsid w:val="009C70F3"/>
    <w:rsid w:val="009F57EA"/>
    <w:rsid w:val="00A0160F"/>
    <w:rsid w:val="00A174D9"/>
    <w:rsid w:val="00A34ECE"/>
    <w:rsid w:val="00A569CD"/>
    <w:rsid w:val="00AA1D09"/>
    <w:rsid w:val="00AB5EE2"/>
    <w:rsid w:val="00AB6715"/>
    <w:rsid w:val="00AC7D34"/>
    <w:rsid w:val="00B1671E"/>
    <w:rsid w:val="00B16C19"/>
    <w:rsid w:val="00B25EB8"/>
    <w:rsid w:val="00B354E1"/>
    <w:rsid w:val="00B37F4D"/>
    <w:rsid w:val="00B522DF"/>
    <w:rsid w:val="00B82DAB"/>
    <w:rsid w:val="00C279AD"/>
    <w:rsid w:val="00C52A7B"/>
    <w:rsid w:val="00C56BAF"/>
    <w:rsid w:val="00C63B91"/>
    <w:rsid w:val="00C679AA"/>
    <w:rsid w:val="00C75972"/>
    <w:rsid w:val="00C77B0B"/>
    <w:rsid w:val="00CA0C92"/>
    <w:rsid w:val="00CC0A3A"/>
    <w:rsid w:val="00CD066B"/>
    <w:rsid w:val="00CE4FEE"/>
    <w:rsid w:val="00D151A6"/>
    <w:rsid w:val="00D541B1"/>
    <w:rsid w:val="00D71874"/>
    <w:rsid w:val="00D95789"/>
    <w:rsid w:val="00D95804"/>
    <w:rsid w:val="00D97176"/>
    <w:rsid w:val="00DB59C3"/>
    <w:rsid w:val="00DC259A"/>
    <w:rsid w:val="00DE23E8"/>
    <w:rsid w:val="00DE2DD9"/>
    <w:rsid w:val="00E13884"/>
    <w:rsid w:val="00E34A3E"/>
    <w:rsid w:val="00E435B9"/>
    <w:rsid w:val="00E52377"/>
    <w:rsid w:val="00E64E17"/>
    <w:rsid w:val="00E866C9"/>
    <w:rsid w:val="00EA3D3C"/>
    <w:rsid w:val="00ED33B6"/>
    <w:rsid w:val="00EF1C94"/>
    <w:rsid w:val="00F073EA"/>
    <w:rsid w:val="00F4510A"/>
    <w:rsid w:val="00F46044"/>
    <w:rsid w:val="00F46900"/>
    <w:rsid w:val="00F534AB"/>
    <w:rsid w:val="00F571A0"/>
    <w:rsid w:val="00F61D89"/>
    <w:rsid w:val="00FD034B"/>
    <w:rsid w:val="00FF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487BD"/>
  <w14:defaultImageDpi w14:val="330"/>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unhideWhenUsed/>
    <w:rsid w:val="00AB6715"/>
    <w:pPr>
      <w:spacing w:after="0"/>
    </w:pPr>
    <w:rPr>
      <w:sz w:val="20"/>
      <w:szCs w:val="20"/>
    </w:rPr>
  </w:style>
  <w:style w:type="character" w:customStyle="1" w:styleId="af9">
    <w:name w:val="脚注文本 字符"/>
    <w:basedOn w:val="a1"/>
    <w:link w:val="af8"/>
    <w:uiPriority w:val="99"/>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paragraph" w:customStyle="1" w:styleId="EndNoteBibliographyTitle">
    <w:name w:val="EndNote Bibliography Title"/>
    <w:basedOn w:val="a0"/>
    <w:link w:val="EndNoteBibliographyTitle0"/>
    <w:rsid w:val="00563EA9"/>
    <w:pPr>
      <w:spacing w:after="0"/>
      <w:jc w:val="center"/>
    </w:pPr>
    <w:rPr>
      <w:rFonts w:cs="Times New Roman"/>
      <w:noProof/>
    </w:rPr>
  </w:style>
  <w:style w:type="character" w:customStyle="1" w:styleId="EndNoteBibliographyTitle0">
    <w:name w:val="EndNote Bibliography Title 字符"/>
    <w:basedOn w:val="a1"/>
    <w:link w:val="EndNoteBibliographyTitle"/>
    <w:rsid w:val="00563EA9"/>
    <w:rPr>
      <w:rFonts w:ascii="Times New Roman" w:hAnsi="Times New Roman" w:cs="Times New Roman"/>
      <w:noProof/>
      <w:sz w:val="24"/>
    </w:rPr>
  </w:style>
  <w:style w:type="paragraph" w:customStyle="1" w:styleId="EndNoteBibliography">
    <w:name w:val="EndNote Bibliography"/>
    <w:basedOn w:val="a0"/>
    <w:link w:val="EndNoteBibliography0"/>
    <w:rsid w:val="00563EA9"/>
    <w:rPr>
      <w:rFonts w:cs="Times New Roman"/>
      <w:noProof/>
    </w:rPr>
  </w:style>
  <w:style w:type="character" w:customStyle="1" w:styleId="EndNoteBibliography0">
    <w:name w:val="EndNote Bibliography 字符"/>
    <w:basedOn w:val="a1"/>
    <w:link w:val="EndNoteBibliography"/>
    <w:rsid w:val="00563EA9"/>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tiff"/><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32</TotalTime>
  <Pages>7</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璟 范</cp:lastModifiedBy>
  <cp:revision>13</cp:revision>
  <cp:lastPrinted>2013-10-03T12:51:00Z</cp:lastPrinted>
  <dcterms:created xsi:type="dcterms:W3CDTF">2024-09-24T02:46:00Z</dcterms:created>
  <dcterms:modified xsi:type="dcterms:W3CDTF">2025-03-14T05:57:00Z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