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21483" w14:textId="77777777"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b/>
          <w:bCs/>
          <w:sz w:val="20"/>
          <w:szCs w:val="20"/>
          <w:lang w:val="en-GB"/>
        </w:rPr>
        <w:t xml:space="preserve">Appendix S1. </w:t>
      </w:r>
      <w:r w:rsidRPr="00D0522C">
        <w:rPr>
          <w:rFonts w:ascii="Arial" w:hAnsi="Arial" w:cs="Arial"/>
          <w:sz w:val="20"/>
          <w:szCs w:val="20"/>
          <w:lang w:val="en-GB"/>
        </w:rPr>
        <w:t>Detailed laboratory and bioinformatic protocols, and sequencing results</w:t>
      </w:r>
    </w:p>
    <w:p w14:paraId="291679A4" w14:textId="3F50B145" w:rsidR="00FC6F16" w:rsidRPr="00D0522C" w:rsidRDefault="00FC6F16" w:rsidP="002179A2">
      <w:pPr>
        <w:spacing w:line="360" w:lineRule="auto"/>
        <w:jc w:val="both"/>
        <w:rPr>
          <w:rFonts w:ascii="Arial" w:hAnsi="Arial" w:cs="Arial"/>
          <w:i/>
          <w:iCs/>
          <w:sz w:val="20"/>
          <w:szCs w:val="20"/>
          <w:lang w:val="en-GB"/>
        </w:rPr>
      </w:pPr>
      <w:r w:rsidRPr="00D0522C">
        <w:rPr>
          <w:rFonts w:ascii="Arial" w:hAnsi="Arial" w:cs="Arial"/>
          <w:i/>
          <w:iCs/>
          <w:sz w:val="20"/>
          <w:szCs w:val="20"/>
          <w:lang w:val="en-GB"/>
        </w:rPr>
        <w:t>Laboratory conditions</w:t>
      </w:r>
    </w:p>
    <w:p w14:paraId="61063051" w14:textId="5C5944B5" w:rsidR="00FC6F16" w:rsidRPr="00D0522C" w:rsidRDefault="00FC6F16" w:rsidP="00FC6F16">
      <w:pPr>
        <w:spacing w:line="360" w:lineRule="auto"/>
        <w:jc w:val="both"/>
        <w:rPr>
          <w:rFonts w:ascii="Arial" w:hAnsi="Arial" w:cs="Arial"/>
          <w:sz w:val="20"/>
          <w:szCs w:val="20"/>
          <w:lang w:val="en-GB"/>
        </w:rPr>
      </w:pPr>
      <w:r w:rsidRPr="00D0522C">
        <w:rPr>
          <w:rFonts w:ascii="Arial" w:hAnsi="Arial" w:cs="Arial"/>
          <w:sz w:val="20"/>
          <w:szCs w:val="20"/>
          <w:lang w:val="en-GB"/>
        </w:rPr>
        <w:t xml:space="preserve">DNA extraction and PCR preparation were conducted in a dedicated pre-PCR laboratory, with separate rooms assigned to each processing step. Personnel working in the pre-PCR lab wore coveralls, masks, hairnets, and disposable </w:t>
      </w:r>
      <w:r w:rsidR="00A6182E" w:rsidRPr="00D0522C">
        <w:rPr>
          <w:rFonts w:ascii="Arial" w:hAnsi="Arial" w:cs="Arial"/>
          <w:sz w:val="20"/>
          <w:szCs w:val="20"/>
          <w:lang w:val="en-GB"/>
        </w:rPr>
        <w:t xml:space="preserve">nitrile </w:t>
      </w:r>
      <w:r w:rsidRPr="00D0522C">
        <w:rPr>
          <w:rFonts w:ascii="Arial" w:hAnsi="Arial" w:cs="Arial"/>
          <w:sz w:val="20"/>
          <w:szCs w:val="20"/>
          <w:lang w:val="en-GB"/>
        </w:rPr>
        <w:t>gloves to minimize contamination. PCR amplification took place in a designated PCR/post-PCR laboratory.</w:t>
      </w:r>
    </w:p>
    <w:p w14:paraId="38FDFEE6" w14:textId="58374F58" w:rsidR="00FC6F16" w:rsidRPr="00D0522C" w:rsidRDefault="00FC6F16" w:rsidP="002179A2">
      <w:pPr>
        <w:spacing w:line="360" w:lineRule="auto"/>
        <w:jc w:val="both"/>
        <w:rPr>
          <w:rFonts w:ascii="Arial" w:hAnsi="Arial" w:cs="Arial"/>
          <w:sz w:val="20"/>
          <w:szCs w:val="20"/>
          <w:lang w:val="en-GB"/>
        </w:rPr>
      </w:pPr>
      <w:r w:rsidRPr="00D0522C">
        <w:rPr>
          <w:rFonts w:ascii="Arial" w:hAnsi="Arial" w:cs="Arial"/>
          <w:sz w:val="20"/>
          <w:szCs w:val="20"/>
          <w:lang w:val="en-GB"/>
        </w:rPr>
        <w:t>To prevent contamination, all bench spaces and laboratory equipment were thoroughly cleaned with a 20% bleach solution, followed by rinsing with distilled water. Aerosol barrier filter tips were consistently used to prevent cross-contamination between samples.</w:t>
      </w:r>
    </w:p>
    <w:p w14:paraId="2569DA41" w14:textId="0F64CCEE"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i/>
          <w:iCs/>
          <w:sz w:val="20"/>
          <w:szCs w:val="20"/>
          <w:lang w:val="en-GB"/>
        </w:rPr>
        <w:t>Modifications of the DNA extraction protocol</w:t>
      </w:r>
    </w:p>
    <w:p w14:paraId="77BA2518" w14:textId="2DDC59E7"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sz w:val="20"/>
          <w:szCs w:val="20"/>
          <w:lang w:val="en-GB"/>
        </w:rPr>
        <w:t>We followed the Qiagen Blood and Tissue kit manufacturer’s protocol for tissue with the following modifications: 1) we added 540 µL of ATL buffer and 60 µL of proteinase K to the tubes and shook them at 160 rpm during overnight incubation at 56°C, 2) we used 600 µL of buffer AL and 600 µL of ethanol, and 3) we added 60 µL of AE buffer directly onto the pad, centrifuged after a 5-minutes incubation, and pipetted the 60 µL eluate onto the pad again for another 5 minutes incubation before final centrifugation. </w:t>
      </w:r>
    </w:p>
    <w:p w14:paraId="3B2E1157" w14:textId="77777777"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i/>
          <w:iCs/>
          <w:sz w:val="20"/>
          <w:szCs w:val="20"/>
          <w:lang w:val="en-GB"/>
        </w:rPr>
        <w:t>Detailed library preparation</w:t>
      </w:r>
    </w:p>
    <w:p w14:paraId="715C07C0" w14:textId="164150BA"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sz w:val="20"/>
          <w:szCs w:val="20"/>
          <w:lang w:val="en-GB"/>
        </w:rPr>
        <w:t xml:space="preserve">PCR1 were performed in 15 µL reaction volumes using 7.5 µL of Qiagen Master Mix (2X), 0.25µL (10µM) of each primer, 4 µL of </w:t>
      </w:r>
      <w:proofErr w:type="spellStart"/>
      <w:r w:rsidRPr="00D0522C">
        <w:rPr>
          <w:rFonts w:ascii="Arial" w:hAnsi="Arial" w:cs="Arial"/>
          <w:sz w:val="20"/>
          <w:szCs w:val="20"/>
          <w:lang w:val="en-GB"/>
        </w:rPr>
        <w:t>UltraPure</w:t>
      </w:r>
      <w:proofErr w:type="spellEnd"/>
      <w:r w:rsidRPr="00D0522C">
        <w:rPr>
          <w:rFonts w:ascii="Arial" w:hAnsi="Arial" w:cs="Arial"/>
          <w:sz w:val="20"/>
          <w:szCs w:val="20"/>
          <w:lang w:val="en-GB"/>
        </w:rPr>
        <w:t xml:space="preserve"> DNase/RNase-Free Distilled Water (</w:t>
      </w:r>
      <w:proofErr w:type="spellStart"/>
      <w:r w:rsidRPr="00D0522C">
        <w:rPr>
          <w:rFonts w:ascii="Arial" w:hAnsi="Arial" w:cs="Arial"/>
          <w:sz w:val="20"/>
          <w:szCs w:val="20"/>
          <w:lang w:val="en-GB"/>
        </w:rPr>
        <w:t>ThermoFisherScientific</w:t>
      </w:r>
      <w:proofErr w:type="spellEnd"/>
      <w:r w:rsidRPr="00D0522C">
        <w:rPr>
          <w:rFonts w:ascii="Arial" w:hAnsi="Arial" w:cs="Arial"/>
          <w:sz w:val="20"/>
          <w:szCs w:val="20"/>
          <w:lang w:val="en-GB"/>
        </w:rPr>
        <w:t xml:space="preserve">) and 3 µL of DNA. We amplified five regions targeting vertebrates, mammals, birds, arthropods, and plants and fungi. For vertebrates, we used the </w:t>
      </w:r>
      <w:bookmarkStart w:id="0" w:name="_Hlk192577928"/>
      <w:r w:rsidRPr="00D0522C">
        <w:rPr>
          <w:rFonts w:ascii="Arial" w:hAnsi="Arial" w:cs="Arial"/>
          <w:sz w:val="20"/>
          <w:szCs w:val="20"/>
          <w:lang w:val="en-GB"/>
        </w:rPr>
        <w:t>mam1/2 primers</w:t>
      </w:r>
      <w:bookmarkEnd w:id="0"/>
      <w:r w:rsidR="002179A2" w:rsidRPr="00D0522C">
        <w:rPr>
          <w:rFonts w:ascii="Arial" w:hAnsi="Arial" w:cs="Arial"/>
          <w:kern w:val="0"/>
          <w:sz w:val="20"/>
          <w:szCs w:val="24"/>
          <w:vertAlign w:val="superscript"/>
          <w:lang w:val="en-GB"/>
        </w:rPr>
        <w:t>1,2</w:t>
      </w:r>
      <w:r w:rsidR="002179A2" w:rsidRPr="00D0522C">
        <w:rPr>
          <w:rFonts w:ascii="Arial" w:hAnsi="Arial" w:cs="Arial"/>
          <w:sz w:val="20"/>
          <w:szCs w:val="20"/>
          <w:vertAlign w:val="superscript"/>
          <w:lang w:val="en-GB"/>
        </w:rPr>
        <w:t xml:space="preserve"> </w:t>
      </w:r>
      <w:r w:rsidR="001C4410" w:rsidRPr="00D0522C">
        <w:rPr>
          <w:rFonts w:ascii="Arial" w:hAnsi="Arial" w:cs="Arial"/>
          <w:sz w:val="20"/>
          <w:szCs w:val="20"/>
          <w:lang w:val="en-GB"/>
        </w:rPr>
        <w:t xml:space="preserve">(mam1: 5’-CGGTTGGGGTGACCTCGGA-3’; mam2: 5’-GCTGTTATCCCTAGGGTAACT-3’) </w:t>
      </w:r>
      <w:r w:rsidRPr="00D0522C">
        <w:rPr>
          <w:rFonts w:ascii="Arial" w:hAnsi="Arial" w:cs="Arial"/>
          <w:sz w:val="20"/>
          <w:szCs w:val="20"/>
          <w:lang w:val="en-GB"/>
        </w:rPr>
        <w:t xml:space="preserve">to amplify a ~90bp region of the 16S gene. The thermocycling conditions were: 95°C for 15min, followed by 40 cycles of 94°C for 30secs, 55°C for 90secs, 72°C for 90secs, and a final extension of 72°C for 10 mins. To target mammals, we used the </w:t>
      </w:r>
      <w:bookmarkStart w:id="1" w:name="_Hlk192577906"/>
      <w:proofErr w:type="spellStart"/>
      <w:r w:rsidRPr="00D0522C">
        <w:rPr>
          <w:rFonts w:ascii="Arial" w:hAnsi="Arial" w:cs="Arial"/>
          <w:sz w:val="20"/>
          <w:szCs w:val="20"/>
          <w:lang w:val="en-GB"/>
        </w:rPr>
        <w:t>MiMammal</w:t>
      </w:r>
      <w:proofErr w:type="spellEnd"/>
      <w:r w:rsidRPr="00D0522C">
        <w:rPr>
          <w:rFonts w:ascii="Arial" w:hAnsi="Arial" w:cs="Arial"/>
          <w:sz w:val="20"/>
          <w:szCs w:val="20"/>
          <w:lang w:val="en-GB"/>
        </w:rPr>
        <w:t xml:space="preserve">-U-F/R </w:t>
      </w:r>
      <w:bookmarkEnd w:id="1"/>
      <w:r w:rsidRPr="00D0522C">
        <w:rPr>
          <w:rFonts w:ascii="Arial" w:hAnsi="Arial" w:cs="Arial"/>
          <w:sz w:val="20"/>
          <w:szCs w:val="20"/>
          <w:lang w:val="en-GB"/>
        </w:rPr>
        <w:t>primers</w:t>
      </w:r>
      <w:r w:rsidR="002179A2" w:rsidRPr="00D0522C">
        <w:rPr>
          <w:rFonts w:ascii="Arial" w:hAnsi="Arial" w:cs="Arial"/>
          <w:kern w:val="0"/>
          <w:sz w:val="20"/>
          <w:szCs w:val="24"/>
          <w:vertAlign w:val="superscript"/>
          <w:lang w:val="en-GB"/>
        </w:rPr>
        <w:t>3</w:t>
      </w:r>
      <w:r w:rsidRPr="00D0522C">
        <w:rPr>
          <w:rFonts w:ascii="Arial" w:hAnsi="Arial" w:cs="Arial"/>
          <w:sz w:val="20"/>
          <w:szCs w:val="20"/>
          <w:lang w:val="en-GB"/>
        </w:rPr>
        <w:t xml:space="preserve"> </w:t>
      </w:r>
      <w:r w:rsidR="001C4410" w:rsidRPr="00D0522C">
        <w:rPr>
          <w:rFonts w:ascii="Arial" w:hAnsi="Arial" w:cs="Arial"/>
          <w:sz w:val="20"/>
          <w:szCs w:val="20"/>
          <w:lang w:val="en-GB"/>
        </w:rPr>
        <w:t>(</w:t>
      </w:r>
      <w:proofErr w:type="spellStart"/>
      <w:r w:rsidR="001C4410" w:rsidRPr="00D0522C">
        <w:rPr>
          <w:rFonts w:ascii="Arial" w:hAnsi="Arial" w:cs="Arial"/>
          <w:sz w:val="20"/>
          <w:szCs w:val="20"/>
          <w:lang w:val="en-GB"/>
        </w:rPr>
        <w:t>MiMammal</w:t>
      </w:r>
      <w:proofErr w:type="spellEnd"/>
      <w:r w:rsidR="001C4410" w:rsidRPr="00D0522C">
        <w:rPr>
          <w:rFonts w:ascii="Arial" w:hAnsi="Arial" w:cs="Arial"/>
          <w:sz w:val="20"/>
          <w:szCs w:val="20"/>
          <w:lang w:val="en-GB"/>
        </w:rPr>
        <w:t>-U-F: 5’-</w:t>
      </w:r>
      <w:r w:rsidR="001C4410" w:rsidRPr="00D0522C">
        <w:rPr>
          <w:rFonts w:ascii="Open Sans" w:hAnsi="Open Sans" w:cs="Open Sans"/>
          <w:color w:val="000000"/>
          <w:sz w:val="21"/>
          <w:szCs w:val="21"/>
          <w:shd w:val="clear" w:color="auto" w:fill="FFFFFF"/>
          <w:lang w:val="en-GB"/>
        </w:rPr>
        <w:t xml:space="preserve"> </w:t>
      </w:r>
      <w:r w:rsidR="001C4410" w:rsidRPr="00D0522C">
        <w:rPr>
          <w:rFonts w:ascii="Arial" w:hAnsi="Arial" w:cs="Arial"/>
          <w:sz w:val="20"/>
          <w:szCs w:val="20"/>
          <w:lang w:val="en-GB"/>
        </w:rPr>
        <w:t xml:space="preserve">GGGTTGGTAAATTTCGTGCCAGC-3’; </w:t>
      </w:r>
      <w:proofErr w:type="spellStart"/>
      <w:r w:rsidR="001C4410" w:rsidRPr="00D0522C">
        <w:rPr>
          <w:rFonts w:ascii="Arial" w:hAnsi="Arial" w:cs="Arial"/>
          <w:sz w:val="20"/>
          <w:szCs w:val="20"/>
          <w:lang w:val="en-GB"/>
        </w:rPr>
        <w:t>MiMammal</w:t>
      </w:r>
      <w:proofErr w:type="spellEnd"/>
      <w:r w:rsidR="001C4410" w:rsidRPr="00D0522C">
        <w:rPr>
          <w:rFonts w:ascii="Arial" w:hAnsi="Arial" w:cs="Arial"/>
          <w:sz w:val="20"/>
          <w:szCs w:val="20"/>
          <w:lang w:val="en-GB"/>
        </w:rPr>
        <w:t xml:space="preserve">-U-R: 5’-CATAGTGGGGTATCTAATCCCAGTTTG-3’) </w:t>
      </w:r>
      <w:r w:rsidRPr="00D0522C">
        <w:rPr>
          <w:rFonts w:ascii="Arial" w:hAnsi="Arial" w:cs="Arial"/>
          <w:sz w:val="20"/>
          <w:szCs w:val="20"/>
          <w:lang w:val="en-GB"/>
        </w:rPr>
        <w:t xml:space="preserve">amplifying a 171bp region of the 12S gene. The thermocycling conditions were: 94°C for 5 min, five cycles of 94°C for 1 min, 45°C for 1 min 50 sec, 72°C for 1 min, followed by 35 cycles of 94°C for 1 min, 60°C for 1 min 50 sec, 72°C for 1 min and a final extension at 72°C for 10min. For birds, we amplified a ~277bp region of the COI gene with the </w:t>
      </w:r>
      <w:proofErr w:type="spellStart"/>
      <w:r w:rsidRPr="00D0522C">
        <w:rPr>
          <w:rFonts w:ascii="Arial" w:hAnsi="Arial" w:cs="Arial"/>
          <w:sz w:val="20"/>
          <w:szCs w:val="20"/>
          <w:lang w:val="en-GB"/>
        </w:rPr>
        <w:t>birT</w:t>
      </w:r>
      <w:proofErr w:type="spellEnd"/>
      <w:r w:rsidRPr="00D0522C">
        <w:rPr>
          <w:rFonts w:ascii="Arial" w:hAnsi="Arial" w:cs="Arial"/>
          <w:sz w:val="20"/>
          <w:szCs w:val="20"/>
          <w:lang w:val="en-GB"/>
        </w:rPr>
        <w:t>-F/R primers</w:t>
      </w:r>
      <w:r w:rsidR="002179A2" w:rsidRPr="00D0522C">
        <w:rPr>
          <w:rFonts w:ascii="Arial" w:hAnsi="Arial" w:cs="Arial"/>
          <w:kern w:val="0"/>
          <w:sz w:val="20"/>
          <w:szCs w:val="24"/>
          <w:vertAlign w:val="superscript"/>
          <w:lang w:val="en-GB"/>
        </w:rPr>
        <w:t>4</w:t>
      </w:r>
      <w:r w:rsidR="001C4410" w:rsidRPr="00D0522C">
        <w:rPr>
          <w:rFonts w:ascii="Arial" w:hAnsi="Arial" w:cs="Arial"/>
          <w:kern w:val="0"/>
          <w:sz w:val="20"/>
          <w:szCs w:val="24"/>
          <w:vertAlign w:val="superscript"/>
          <w:lang w:val="en-GB"/>
        </w:rPr>
        <w:t xml:space="preserve"> </w:t>
      </w:r>
      <w:r w:rsidR="001C4410" w:rsidRPr="00D0522C">
        <w:rPr>
          <w:rFonts w:ascii="Arial" w:hAnsi="Arial" w:cs="Arial"/>
          <w:sz w:val="20"/>
          <w:szCs w:val="20"/>
          <w:lang w:val="en-GB"/>
        </w:rPr>
        <w:t>(</w:t>
      </w:r>
      <w:proofErr w:type="spellStart"/>
      <w:r w:rsidR="001C4410" w:rsidRPr="00D0522C">
        <w:rPr>
          <w:rFonts w:ascii="Arial" w:hAnsi="Arial" w:cs="Arial"/>
          <w:sz w:val="20"/>
          <w:szCs w:val="20"/>
          <w:lang w:val="en-GB"/>
        </w:rPr>
        <w:t>birT</w:t>
      </w:r>
      <w:proofErr w:type="spellEnd"/>
      <w:r w:rsidR="001C4410" w:rsidRPr="00D0522C">
        <w:rPr>
          <w:rFonts w:ascii="Arial" w:hAnsi="Arial" w:cs="Arial"/>
          <w:sz w:val="20"/>
          <w:szCs w:val="20"/>
          <w:lang w:val="en-GB"/>
        </w:rPr>
        <w:t xml:space="preserve">-F: 5’-YGGTAAATCYTGTGCCAGC-3’; </w:t>
      </w:r>
      <w:proofErr w:type="spellStart"/>
      <w:r w:rsidR="001C4410" w:rsidRPr="00D0522C">
        <w:rPr>
          <w:rFonts w:ascii="Arial" w:hAnsi="Arial" w:cs="Arial"/>
          <w:sz w:val="20"/>
          <w:szCs w:val="20"/>
          <w:lang w:val="en-GB"/>
        </w:rPr>
        <w:t>birT</w:t>
      </w:r>
      <w:proofErr w:type="spellEnd"/>
      <w:r w:rsidR="001C4410" w:rsidRPr="00D0522C">
        <w:rPr>
          <w:rFonts w:ascii="Arial" w:hAnsi="Arial" w:cs="Arial"/>
          <w:sz w:val="20"/>
          <w:szCs w:val="20"/>
          <w:lang w:val="en-GB"/>
        </w:rPr>
        <w:t>-R: 5’-AAGTCCTTAGAGTTTYAAGCGTT-3’)</w:t>
      </w:r>
      <w:r w:rsidRPr="00D0522C">
        <w:rPr>
          <w:rFonts w:ascii="Arial" w:hAnsi="Arial" w:cs="Arial"/>
          <w:sz w:val="20"/>
          <w:szCs w:val="20"/>
          <w:lang w:val="en-GB"/>
        </w:rPr>
        <w:t xml:space="preserve">. The thermocycling conditions were: 95°C for 10min, followed by 35 cycles of 95°C for 30secs, 60°C for 30s, 72°C for 90secs, and a final extension of 72°C for 10 mins. For arthropods, we amplified a 157bp region of the COI gene using the </w:t>
      </w:r>
      <w:bookmarkStart w:id="2" w:name="_Hlk192577894"/>
      <w:r w:rsidRPr="00D0522C">
        <w:rPr>
          <w:rFonts w:ascii="Arial" w:hAnsi="Arial" w:cs="Arial"/>
          <w:sz w:val="20"/>
          <w:szCs w:val="20"/>
          <w:lang w:val="en-GB"/>
        </w:rPr>
        <w:t xml:space="preserve">ZBJ-ArtF1c/R2c </w:t>
      </w:r>
      <w:bookmarkEnd w:id="2"/>
      <w:r w:rsidRPr="00D0522C">
        <w:rPr>
          <w:rFonts w:ascii="Arial" w:hAnsi="Arial" w:cs="Arial"/>
          <w:sz w:val="20"/>
          <w:szCs w:val="20"/>
          <w:lang w:val="en-GB"/>
        </w:rPr>
        <w:t>primers</w:t>
      </w:r>
      <w:r w:rsidR="002179A2" w:rsidRPr="00D0522C">
        <w:rPr>
          <w:rFonts w:ascii="Arial" w:hAnsi="Arial" w:cs="Arial"/>
          <w:kern w:val="0"/>
          <w:sz w:val="20"/>
          <w:szCs w:val="24"/>
          <w:vertAlign w:val="superscript"/>
          <w:lang w:val="en-GB"/>
        </w:rPr>
        <w:t>5</w:t>
      </w:r>
      <w:r w:rsidR="001C4410" w:rsidRPr="00D0522C">
        <w:rPr>
          <w:rFonts w:ascii="Arial" w:hAnsi="Arial" w:cs="Arial"/>
          <w:kern w:val="0"/>
          <w:sz w:val="20"/>
          <w:szCs w:val="24"/>
          <w:vertAlign w:val="superscript"/>
          <w:lang w:val="en-GB"/>
        </w:rPr>
        <w:t xml:space="preserve"> </w:t>
      </w:r>
      <w:r w:rsidR="001C4410" w:rsidRPr="00D0522C">
        <w:rPr>
          <w:rFonts w:ascii="Arial" w:hAnsi="Arial" w:cs="Arial"/>
          <w:sz w:val="20"/>
          <w:szCs w:val="20"/>
          <w:lang w:val="en-GB"/>
        </w:rPr>
        <w:t>(ZBJ-ArtF1c: 5’-AGATATTGGAACWTTATATTTTATTTTTGG-3’; ZBJ-ArtR2c: 5’-</w:t>
      </w:r>
      <w:r w:rsidR="001C4410" w:rsidRPr="00D0522C">
        <w:rPr>
          <w:lang w:val="en-GB"/>
        </w:rPr>
        <w:t xml:space="preserve"> </w:t>
      </w:r>
      <w:r w:rsidR="001C4410" w:rsidRPr="00D0522C">
        <w:rPr>
          <w:rFonts w:ascii="Arial" w:hAnsi="Arial" w:cs="Arial"/>
          <w:sz w:val="20"/>
          <w:szCs w:val="20"/>
          <w:lang w:val="en-GB"/>
        </w:rPr>
        <w:t>WACTAATCAATTWCCAAATCCTCC-3’)</w:t>
      </w:r>
      <w:r w:rsidRPr="00D0522C">
        <w:rPr>
          <w:rFonts w:ascii="Arial" w:hAnsi="Arial" w:cs="Arial"/>
          <w:sz w:val="20"/>
          <w:szCs w:val="20"/>
          <w:lang w:val="en-GB"/>
        </w:rPr>
        <w:t xml:space="preserve">, and the following thermocycling conditions: 95°C for 15min, followed by 35 cycles of 94°C for 40secs, 40°C for 1min, 72°C for 30secs, and a final extension of 72°C for 10 mins. Finally, for plants and fungi we amplified a 580bp region of the ITS2 region with the </w:t>
      </w:r>
      <w:bookmarkStart w:id="3" w:name="_Hlk192577878"/>
      <w:r w:rsidRPr="00D0522C">
        <w:rPr>
          <w:rFonts w:ascii="Arial" w:hAnsi="Arial" w:cs="Arial"/>
          <w:sz w:val="20"/>
          <w:szCs w:val="20"/>
          <w:lang w:val="en-GB"/>
        </w:rPr>
        <w:t xml:space="preserve">S2F/ITS4 </w:t>
      </w:r>
      <w:bookmarkEnd w:id="3"/>
      <w:r w:rsidRPr="00D0522C">
        <w:rPr>
          <w:rFonts w:ascii="Arial" w:hAnsi="Arial" w:cs="Arial"/>
          <w:sz w:val="20"/>
          <w:szCs w:val="20"/>
          <w:lang w:val="en-GB"/>
        </w:rPr>
        <w:t>primers</w:t>
      </w:r>
      <w:r w:rsidR="002179A2" w:rsidRPr="00D0522C">
        <w:rPr>
          <w:rFonts w:ascii="Arial" w:hAnsi="Arial" w:cs="Arial"/>
          <w:kern w:val="0"/>
          <w:sz w:val="20"/>
          <w:szCs w:val="24"/>
          <w:vertAlign w:val="superscript"/>
          <w:lang w:val="en-GB"/>
        </w:rPr>
        <w:t>6</w:t>
      </w:r>
      <w:r w:rsidR="001C4410" w:rsidRPr="00D0522C">
        <w:rPr>
          <w:rFonts w:ascii="Arial" w:hAnsi="Arial" w:cs="Arial"/>
          <w:kern w:val="0"/>
          <w:sz w:val="20"/>
          <w:szCs w:val="24"/>
          <w:vertAlign w:val="superscript"/>
          <w:lang w:val="en-GB"/>
        </w:rPr>
        <w:t xml:space="preserve"> </w:t>
      </w:r>
      <w:r w:rsidR="001C4410" w:rsidRPr="00D0522C">
        <w:rPr>
          <w:rFonts w:ascii="Arial" w:hAnsi="Arial" w:cs="Arial"/>
          <w:sz w:val="20"/>
          <w:szCs w:val="20"/>
          <w:lang w:val="en-GB"/>
        </w:rPr>
        <w:t>(S2F: 5’-</w:t>
      </w:r>
      <w:r w:rsidR="002F23EF" w:rsidRPr="00D0522C">
        <w:rPr>
          <w:rFonts w:ascii="Arial" w:hAnsi="Arial" w:cs="Arial"/>
          <w:sz w:val="20"/>
          <w:szCs w:val="20"/>
          <w:lang w:val="en-GB"/>
        </w:rPr>
        <w:t>ATGCGATACTTGGTGTGAAT</w:t>
      </w:r>
      <w:r w:rsidR="001C4410" w:rsidRPr="00D0522C">
        <w:rPr>
          <w:rFonts w:ascii="Arial" w:hAnsi="Arial" w:cs="Arial"/>
          <w:sz w:val="20"/>
          <w:szCs w:val="20"/>
          <w:lang w:val="en-GB"/>
        </w:rPr>
        <w:t>-3’; ITS4: 5’-</w:t>
      </w:r>
      <w:r w:rsidR="002F23EF" w:rsidRPr="00D0522C">
        <w:rPr>
          <w:rFonts w:ascii="Arial" w:hAnsi="Arial" w:cs="Arial"/>
          <w:sz w:val="20"/>
          <w:szCs w:val="20"/>
          <w:lang w:val="en-GB"/>
        </w:rPr>
        <w:t>TCCTCCGCTTATTGATATGC</w:t>
      </w:r>
      <w:r w:rsidR="001C4410" w:rsidRPr="00D0522C">
        <w:rPr>
          <w:rFonts w:ascii="Arial" w:hAnsi="Arial" w:cs="Arial"/>
          <w:sz w:val="20"/>
          <w:szCs w:val="20"/>
          <w:lang w:val="en-GB"/>
        </w:rPr>
        <w:t>-3’)</w:t>
      </w:r>
      <w:r w:rsidRPr="00D0522C">
        <w:rPr>
          <w:rFonts w:ascii="Arial" w:hAnsi="Arial" w:cs="Arial"/>
          <w:sz w:val="20"/>
          <w:szCs w:val="20"/>
          <w:lang w:val="en-GB"/>
        </w:rPr>
        <w:t>.</w:t>
      </w:r>
      <w:r w:rsidR="00817637" w:rsidRPr="00D0522C">
        <w:rPr>
          <w:rFonts w:ascii="Arial" w:hAnsi="Arial" w:cs="Arial"/>
          <w:sz w:val="20"/>
          <w:szCs w:val="20"/>
          <w:lang w:val="en-GB"/>
        </w:rPr>
        <w:t xml:space="preserve"> </w:t>
      </w:r>
      <w:r w:rsidRPr="00D0522C">
        <w:rPr>
          <w:rFonts w:ascii="Arial" w:hAnsi="Arial" w:cs="Arial"/>
          <w:sz w:val="20"/>
          <w:szCs w:val="20"/>
          <w:lang w:val="en-GB"/>
        </w:rPr>
        <w:t xml:space="preserve">The thermocycling </w:t>
      </w:r>
      <w:r w:rsidRPr="00D0522C">
        <w:rPr>
          <w:rFonts w:ascii="Arial" w:hAnsi="Arial" w:cs="Arial"/>
          <w:sz w:val="20"/>
          <w:szCs w:val="20"/>
          <w:lang w:val="en-GB"/>
        </w:rPr>
        <w:lastRenderedPageBreak/>
        <w:t>conditions were: 95°C for 10min, followed by 40 cycles of 94°C for 40secs, 49°C for 40secs, 72°C for 40secs, and a final extension of 72°C for 10 mins. All the primers were modified with the CS1/CS2 adaptors. We included six PCR negative controls and the PCR1 reactions were performed in triplicates, except for 12S birds (</w:t>
      </w:r>
      <w:bookmarkStart w:id="4" w:name="_Hlk192577945"/>
      <w:proofErr w:type="spellStart"/>
      <w:r w:rsidRPr="00D0522C">
        <w:rPr>
          <w:rFonts w:ascii="Arial" w:hAnsi="Arial" w:cs="Arial"/>
          <w:sz w:val="20"/>
          <w:szCs w:val="20"/>
          <w:lang w:val="en-GB"/>
        </w:rPr>
        <w:t>birT</w:t>
      </w:r>
      <w:proofErr w:type="spellEnd"/>
      <w:r w:rsidRPr="00D0522C">
        <w:rPr>
          <w:rFonts w:ascii="Arial" w:hAnsi="Arial" w:cs="Arial"/>
          <w:sz w:val="20"/>
          <w:szCs w:val="20"/>
          <w:lang w:val="en-GB"/>
        </w:rPr>
        <w:t>-F/R</w:t>
      </w:r>
      <w:bookmarkEnd w:id="4"/>
      <w:r w:rsidRPr="00D0522C">
        <w:rPr>
          <w:rFonts w:ascii="Arial" w:hAnsi="Arial" w:cs="Arial"/>
          <w:sz w:val="20"/>
          <w:szCs w:val="20"/>
          <w:lang w:val="en-GB"/>
        </w:rPr>
        <w:t xml:space="preserve">) which was run only on a subset of samples from the following sites: </w:t>
      </w:r>
      <w:proofErr w:type="spellStart"/>
      <w:r w:rsidRPr="00D0522C">
        <w:rPr>
          <w:rFonts w:ascii="Arial" w:hAnsi="Arial" w:cs="Arial"/>
          <w:sz w:val="20"/>
          <w:szCs w:val="20"/>
          <w:lang w:val="en-GB"/>
        </w:rPr>
        <w:t>Coedgwilym</w:t>
      </w:r>
      <w:proofErr w:type="spellEnd"/>
      <w:r w:rsidRPr="00D0522C">
        <w:rPr>
          <w:rFonts w:ascii="Arial" w:hAnsi="Arial" w:cs="Arial"/>
          <w:sz w:val="20"/>
          <w:szCs w:val="20"/>
          <w:lang w:val="en-GB"/>
        </w:rPr>
        <w:t xml:space="preserve"> Cemetery, Belfast </w:t>
      </w:r>
      <w:proofErr w:type="spellStart"/>
      <w:r w:rsidRPr="00D0522C">
        <w:rPr>
          <w:rFonts w:ascii="Arial" w:hAnsi="Arial" w:cs="Arial"/>
          <w:sz w:val="20"/>
          <w:szCs w:val="20"/>
          <w:lang w:val="en-GB"/>
        </w:rPr>
        <w:t>Center</w:t>
      </w:r>
      <w:proofErr w:type="spellEnd"/>
      <w:r w:rsidRPr="00D0522C">
        <w:rPr>
          <w:rFonts w:ascii="Arial" w:hAnsi="Arial" w:cs="Arial"/>
          <w:sz w:val="20"/>
          <w:szCs w:val="20"/>
          <w:lang w:val="en-GB"/>
        </w:rPr>
        <w:t xml:space="preserve">, Port Talbot Margam, Scunthorpe Low Santon, Chadwell St Mary, London Marylebone Road, Sheffield Devonshire Green and </w:t>
      </w:r>
      <w:proofErr w:type="spellStart"/>
      <w:r w:rsidRPr="00D0522C">
        <w:rPr>
          <w:rFonts w:ascii="Arial" w:hAnsi="Arial" w:cs="Arial"/>
          <w:sz w:val="20"/>
          <w:szCs w:val="20"/>
          <w:lang w:val="en-GB"/>
        </w:rPr>
        <w:t>Auchencorth</w:t>
      </w:r>
      <w:proofErr w:type="spellEnd"/>
      <w:r w:rsidRPr="00D0522C">
        <w:rPr>
          <w:rFonts w:ascii="Arial" w:hAnsi="Arial" w:cs="Arial"/>
          <w:sz w:val="20"/>
          <w:szCs w:val="20"/>
          <w:lang w:val="en-GB"/>
        </w:rPr>
        <w:t xml:space="preserve"> Moss. We also included a positive control for each region: brown anole (</w:t>
      </w:r>
      <w:r w:rsidRPr="00D0522C">
        <w:rPr>
          <w:rFonts w:ascii="Arial" w:hAnsi="Arial" w:cs="Arial"/>
          <w:i/>
          <w:iCs/>
          <w:sz w:val="20"/>
          <w:szCs w:val="20"/>
          <w:lang w:val="en-GB"/>
        </w:rPr>
        <w:t xml:space="preserve">Anolis </w:t>
      </w:r>
      <w:proofErr w:type="spellStart"/>
      <w:r w:rsidRPr="00D0522C">
        <w:rPr>
          <w:rFonts w:ascii="Arial" w:hAnsi="Arial" w:cs="Arial"/>
          <w:i/>
          <w:iCs/>
          <w:sz w:val="20"/>
          <w:szCs w:val="20"/>
          <w:lang w:val="en-GB"/>
        </w:rPr>
        <w:t>sagrei</w:t>
      </w:r>
      <w:proofErr w:type="spellEnd"/>
      <w:r w:rsidRPr="00D0522C">
        <w:rPr>
          <w:rFonts w:ascii="Arial" w:hAnsi="Arial" w:cs="Arial"/>
          <w:sz w:val="20"/>
          <w:szCs w:val="20"/>
          <w:lang w:val="en-GB"/>
        </w:rPr>
        <w:t>) for 16S vertebrates and 12S mammals, black guillemot (</w:t>
      </w:r>
      <w:proofErr w:type="spellStart"/>
      <w:r w:rsidRPr="00D0522C">
        <w:rPr>
          <w:rFonts w:ascii="Arial" w:hAnsi="Arial" w:cs="Arial"/>
          <w:i/>
          <w:iCs/>
          <w:sz w:val="20"/>
          <w:szCs w:val="20"/>
          <w:lang w:val="en-GB"/>
        </w:rPr>
        <w:t>Cepphus</w:t>
      </w:r>
      <w:proofErr w:type="spellEnd"/>
      <w:r w:rsidRPr="00D0522C">
        <w:rPr>
          <w:rFonts w:ascii="Arial" w:hAnsi="Arial" w:cs="Arial"/>
          <w:i/>
          <w:iCs/>
          <w:sz w:val="20"/>
          <w:szCs w:val="20"/>
          <w:lang w:val="en-GB"/>
        </w:rPr>
        <w:t xml:space="preserve"> </w:t>
      </w:r>
      <w:proofErr w:type="spellStart"/>
      <w:r w:rsidRPr="00D0522C">
        <w:rPr>
          <w:rFonts w:ascii="Arial" w:hAnsi="Arial" w:cs="Arial"/>
          <w:i/>
          <w:iCs/>
          <w:sz w:val="20"/>
          <w:szCs w:val="20"/>
          <w:lang w:val="en-GB"/>
        </w:rPr>
        <w:t>grylle</w:t>
      </w:r>
      <w:proofErr w:type="spellEnd"/>
      <w:r w:rsidRPr="00D0522C">
        <w:rPr>
          <w:rFonts w:ascii="Arial" w:hAnsi="Arial" w:cs="Arial"/>
          <w:sz w:val="20"/>
          <w:szCs w:val="20"/>
          <w:lang w:val="en-GB"/>
        </w:rPr>
        <w:t xml:space="preserve">) for 12S birds, </w:t>
      </w:r>
      <w:r w:rsidRPr="00D0522C">
        <w:rPr>
          <w:rFonts w:ascii="Arial" w:hAnsi="Arial" w:cs="Arial"/>
          <w:i/>
          <w:iCs/>
          <w:sz w:val="20"/>
          <w:szCs w:val="20"/>
          <w:lang w:val="en-GB"/>
        </w:rPr>
        <w:t xml:space="preserve">Daphnia </w:t>
      </w:r>
      <w:proofErr w:type="spellStart"/>
      <w:r w:rsidRPr="00D0522C">
        <w:rPr>
          <w:rFonts w:ascii="Arial" w:hAnsi="Arial" w:cs="Arial"/>
          <w:i/>
          <w:iCs/>
          <w:sz w:val="20"/>
          <w:szCs w:val="20"/>
          <w:lang w:val="en-GB"/>
        </w:rPr>
        <w:t>pulex</w:t>
      </w:r>
      <w:proofErr w:type="spellEnd"/>
      <w:r w:rsidRPr="00D0522C">
        <w:rPr>
          <w:rFonts w:ascii="Arial" w:hAnsi="Arial" w:cs="Arial"/>
          <w:sz w:val="20"/>
          <w:szCs w:val="20"/>
          <w:lang w:val="en-GB"/>
        </w:rPr>
        <w:t xml:space="preserve"> for COI and banana (</w:t>
      </w:r>
      <w:r w:rsidRPr="00D0522C">
        <w:rPr>
          <w:rFonts w:ascii="Arial" w:hAnsi="Arial" w:cs="Arial"/>
          <w:i/>
          <w:iCs/>
          <w:sz w:val="20"/>
          <w:szCs w:val="20"/>
          <w:lang w:val="en-GB"/>
        </w:rPr>
        <w:t>Musa</w:t>
      </w:r>
      <w:r w:rsidRPr="00D0522C">
        <w:rPr>
          <w:rFonts w:ascii="Arial" w:hAnsi="Arial" w:cs="Arial"/>
          <w:sz w:val="20"/>
          <w:szCs w:val="20"/>
          <w:lang w:val="en-GB"/>
        </w:rPr>
        <w:t>) for ITS2. The technical replicates were pooled and transported on ice to the Canadian Centre for DNA Barcoding (CCDB, Guelph, Ontario) for PCR2 (indexing including the M13 tails), cleaning, quantification, normalization, pooling and sequencing on Illumina NextSeq2000 sequencer (2x300 PE cycle run, P1 reagent kit).</w:t>
      </w:r>
    </w:p>
    <w:p w14:paraId="121D88A4" w14:textId="39CFDB6A" w:rsidR="00817637" w:rsidRPr="00D0522C" w:rsidRDefault="00817637" w:rsidP="002179A2">
      <w:pPr>
        <w:spacing w:line="360" w:lineRule="auto"/>
        <w:jc w:val="both"/>
        <w:rPr>
          <w:rFonts w:ascii="Arial" w:hAnsi="Arial" w:cs="Arial"/>
          <w:color w:val="0000FF"/>
          <w:lang w:val="en-GB"/>
        </w:rPr>
      </w:pPr>
      <w:r w:rsidRPr="00D0522C">
        <w:rPr>
          <w:rFonts w:ascii="Arial" w:hAnsi="Arial" w:cs="Arial"/>
          <w:sz w:val="20"/>
          <w:szCs w:val="20"/>
          <w:lang w:val="en-GB"/>
        </w:rPr>
        <w:t xml:space="preserve">Note that we selected the </w:t>
      </w:r>
      <w:proofErr w:type="spellStart"/>
      <w:r w:rsidRPr="00D0522C">
        <w:rPr>
          <w:rFonts w:ascii="Arial" w:hAnsi="Arial" w:cs="Arial"/>
          <w:sz w:val="20"/>
          <w:szCs w:val="20"/>
          <w:lang w:val="en-GB"/>
        </w:rPr>
        <w:t>MiMammal</w:t>
      </w:r>
      <w:proofErr w:type="spellEnd"/>
      <w:r w:rsidRPr="00D0522C">
        <w:rPr>
          <w:rFonts w:ascii="Arial" w:hAnsi="Arial" w:cs="Arial"/>
          <w:sz w:val="20"/>
          <w:szCs w:val="20"/>
          <w:lang w:val="en-GB"/>
        </w:rPr>
        <w:t xml:space="preserve">-U-F/R (mammals), mam1/2 (vertebrates), ZBJ-ArtF1c/R2c (arthropods), and S2F/ITS4 (plants) primers </w:t>
      </w:r>
      <w:r w:rsidR="001E716C" w:rsidRPr="00D0522C">
        <w:rPr>
          <w:rFonts w:ascii="Arial" w:hAnsi="Arial" w:cs="Arial"/>
          <w:sz w:val="20"/>
          <w:szCs w:val="20"/>
          <w:lang w:val="en-GB"/>
        </w:rPr>
        <w:t>to capture a broad taxonomic diversity across trophic levels. These primers have previously demonstrated success in amplifying airborne eDNA in previous studies, including air quality monitoring netwo</w:t>
      </w:r>
      <w:r w:rsidRPr="00D0522C">
        <w:rPr>
          <w:rFonts w:ascii="Arial" w:hAnsi="Arial" w:cs="Arial"/>
          <w:sz w:val="20"/>
          <w:szCs w:val="20"/>
          <w:lang w:val="en-GB"/>
        </w:rPr>
        <w:t>rks</w:t>
      </w:r>
      <w:r w:rsidRPr="00D0522C">
        <w:rPr>
          <w:rFonts w:ascii="Arial" w:hAnsi="Arial" w:cs="Arial"/>
          <w:sz w:val="20"/>
          <w:szCs w:val="20"/>
          <w:vertAlign w:val="superscript"/>
          <w:lang w:val="en-GB"/>
        </w:rPr>
        <w:t>12</w:t>
      </w:r>
      <w:r w:rsidRPr="00D0522C">
        <w:rPr>
          <w:rFonts w:ascii="Arial" w:hAnsi="Arial" w:cs="Arial"/>
          <w:sz w:val="20"/>
          <w:szCs w:val="20"/>
          <w:lang w:val="en-GB"/>
        </w:rPr>
        <w:t xml:space="preserve">. To our knowledge, the </w:t>
      </w:r>
      <w:proofErr w:type="spellStart"/>
      <w:r w:rsidRPr="00D0522C">
        <w:rPr>
          <w:rFonts w:ascii="Arial" w:hAnsi="Arial" w:cs="Arial"/>
          <w:sz w:val="20"/>
          <w:szCs w:val="20"/>
          <w:lang w:val="en-GB"/>
        </w:rPr>
        <w:t>birT</w:t>
      </w:r>
      <w:proofErr w:type="spellEnd"/>
      <w:r w:rsidRPr="00D0522C">
        <w:rPr>
          <w:rFonts w:ascii="Arial" w:hAnsi="Arial" w:cs="Arial"/>
          <w:sz w:val="20"/>
          <w:szCs w:val="20"/>
          <w:lang w:val="en-GB"/>
        </w:rPr>
        <w:t>-F/R (birds) primers had not been previously tested on airborne eDNA samples. However, they were specifically designed for avian environmental DNA metabarcoding, making them a suitable candidate for evaluation in this study</w:t>
      </w:r>
      <w:r w:rsidRPr="00D0522C">
        <w:rPr>
          <w:rFonts w:ascii="Arial" w:hAnsi="Arial" w:cs="Arial"/>
          <w:color w:val="0000FF"/>
          <w:lang w:val="en-GB"/>
        </w:rPr>
        <w:t>.</w:t>
      </w:r>
    </w:p>
    <w:p w14:paraId="6C5849B9" w14:textId="2CCEBC60" w:rsidR="00D1086E" w:rsidRPr="00D0522C" w:rsidRDefault="00795211" w:rsidP="002179A2">
      <w:pPr>
        <w:spacing w:line="360" w:lineRule="auto"/>
        <w:jc w:val="both"/>
        <w:rPr>
          <w:rFonts w:ascii="Arial" w:hAnsi="Arial" w:cs="Arial"/>
          <w:i/>
          <w:iCs/>
          <w:sz w:val="20"/>
          <w:szCs w:val="20"/>
          <w:lang w:val="en-GB"/>
        </w:rPr>
      </w:pPr>
      <w:r w:rsidRPr="00D0522C">
        <w:rPr>
          <w:rFonts w:ascii="Arial" w:hAnsi="Arial" w:cs="Arial"/>
          <w:i/>
          <w:iCs/>
          <w:sz w:val="20"/>
          <w:szCs w:val="20"/>
          <w:lang w:val="en-GB"/>
        </w:rPr>
        <w:t>Bioinformatic steps and parameters</w:t>
      </w:r>
    </w:p>
    <w:p w14:paraId="72A24616" w14:textId="078613A3"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sz w:val="20"/>
          <w:szCs w:val="20"/>
          <w:lang w:val="en-GB"/>
        </w:rPr>
        <w:t>Raw reads were first processed by the CCDB. R1 and R2 reads were assembled using the PEAR v0.9.11 program</w:t>
      </w:r>
      <w:r w:rsidR="002179A2" w:rsidRPr="00D0522C">
        <w:rPr>
          <w:rFonts w:ascii="Arial" w:hAnsi="Arial" w:cs="Arial"/>
          <w:kern w:val="0"/>
          <w:sz w:val="20"/>
          <w:szCs w:val="24"/>
          <w:vertAlign w:val="superscript"/>
          <w:lang w:val="en-GB"/>
        </w:rPr>
        <w:t>7</w:t>
      </w:r>
      <w:r w:rsidRPr="00D0522C">
        <w:rPr>
          <w:rFonts w:ascii="Arial" w:hAnsi="Arial" w:cs="Arial"/>
          <w:sz w:val="20"/>
          <w:szCs w:val="20"/>
          <w:lang w:val="en-GB"/>
        </w:rPr>
        <w:t xml:space="preserve"> with the following parameters: statistical method = OES, p-value = 0.01, quality score threshold trimming = 0, maximum assembly length = 999999, minimum assembly length = 50, minimum read size after trimming = 1, maximal ratio of uncalled bases = 1, minimum overlap = 10 bp, and scoring method = scaled score. </w:t>
      </w:r>
      <w:proofErr w:type="spellStart"/>
      <w:r w:rsidRPr="00D0522C">
        <w:rPr>
          <w:rFonts w:ascii="Arial" w:hAnsi="Arial" w:cs="Arial"/>
          <w:sz w:val="20"/>
          <w:szCs w:val="20"/>
          <w:lang w:val="en-GB"/>
        </w:rPr>
        <w:t>Cutadapt</w:t>
      </w:r>
      <w:proofErr w:type="spellEnd"/>
      <w:r w:rsidRPr="00D0522C">
        <w:rPr>
          <w:rFonts w:ascii="Arial" w:hAnsi="Arial" w:cs="Arial"/>
          <w:sz w:val="20"/>
          <w:szCs w:val="20"/>
          <w:lang w:val="en-GB"/>
        </w:rPr>
        <w:t xml:space="preserve"> v3.7</w:t>
      </w:r>
      <w:r w:rsidR="002179A2" w:rsidRPr="00D0522C">
        <w:rPr>
          <w:rFonts w:ascii="Arial" w:hAnsi="Arial" w:cs="Arial"/>
          <w:kern w:val="0"/>
          <w:sz w:val="20"/>
          <w:szCs w:val="24"/>
          <w:vertAlign w:val="superscript"/>
          <w:lang w:val="en-GB"/>
        </w:rPr>
        <w:t>8</w:t>
      </w:r>
      <w:r w:rsidRPr="00D0522C">
        <w:rPr>
          <w:rFonts w:ascii="Arial" w:hAnsi="Arial" w:cs="Arial"/>
          <w:sz w:val="20"/>
          <w:szCs w:val="20"/>
          <w:lang w:val="en-GB"/>
        </w:rPr>
        <w:t xml:space="preserve"> was used to demultiplex assembled reads by sample, remove M13 adapters (-e 0.2 -m 100 -u -17/18), and filter reads (-m 100 -e 0.125 --action=none -g sequence --discard-untrimmed). The full index combinations were searched during the demultiplexing step even if they were not used in our project (“ghost plates”) to estimate assignment errors. </w:t>
      </w:r>
    </w:p>
    <w:p w14:paraId="5667A537" w14:textId="7958A283"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sz w:val="20"/>
          <w:szCs w:val="20"/>
          <w:lang w:val="en-GB"/>
        </w:rPr>
        <w:t xml:space="preserve">Using </w:t>
      </w:r>
      <w:proofErr w:type="spellStart"/>
      <w:r w:rsidRPr="00D0522C">
        <w:rPr>
          <w:rFonts w:ascii="Arial" w:hAnsi="Arial" w:cs="Arial"/>
          <w:sz w:val="20"/>
          <w:szCs w:val="20"/>
          <w:lang w:val="en-GB"/>
        </w:rPr>
        <w:t>cutadapt</w:t>
      </w:r>
      <w:proofErr w:type="spellEnd"/>
      <w:r w:rsidRPr="00D0522C">
        <w:rPr>
          <w:rFonts w:ascii="Arial" w:hAnsi="Arial" w:cs="Arial"/>
          <w:sz w:val="20"/>
          <w:szCs w:val="20"/>
          <w:lang w:val="en-GB"/>
        </w:rPr>
        <w:t xml:space="preserve"> 4.5, the reads were split by primer pair and the adapters CS1/2 were trimmed using the linked adapters option (-g "</w:t>
      </w:r>
      <w:proofErr w:type="spellStart"/>
      <w:proofErr w:type="gramStart"/>
      <w:r w:rsidRPr="00D0522C">
        <w:rPr>
          <w:rFonts w:ascii="Arial" w:hAnsi="Arial" w:cs="Arial"/>
          <w:sz w:val="20"/>
          <w:szCs w:val="20"/>
          <w:lang w:val="en-GB"/>
        </w:rPr>
        <w:t>CGGTTGGGGTGACCTCGGA;e</w:t>
      </w:r>
      <w:proofErr w:type="spellEnd"/>
      <w:proofErr w:type="gramEnd"/>
      <w:r w:rsidRPr="00D0522C">
        <w:rPr>
          <w:rFonts w:ascii="Arial" w:hAnsi="Arial" w:cs="Arial"/>
          <w:sz w:val="20"/>
          <w:szCs w:val="20"/>
          <w:lang w:val="en-GB"/>
        </w:rPr>
        <w:t>=0.2...</w:t>
      </w:r>
      <w:proofErr w:type="spellStart"/>
      <w:r w:rsidRPr="00D0522C">
        <w:rPr>
          <w:rFonts w:ascii="Arial" w:hAnsi="Arial" w:cs="Arial"/>
          <w:sz w:val="20"/>
          <w:szCs w:val="20"/>
          <w:lang w:val="en-GB"/>
        </w:rPr>
        <w:t>AGTTACCCTAGGGATAACAGC;e</w:t>
      </w:r>
      <w:proofErr w:type="spellEnd"/>
      <w:r w:rsidRPr="00D0522C">
        <w:rPr>
          <w:rFonts w:ascii="Arial" w:hAnsi="Arial" w:cs="Arial"/>
          <w:sz w:val="20"/>
          <w:szCs w:val="20"/>
          <w:lang w:val="en-GB"/>
        </w:rPr>
        <w:t>=0.2" -m 10).</w:t>
      </w:r>
      <w:r w:rsidR="00D1086E" w:rsidRPr="00D0522C">
        <w:rPr>
          <w:rFonts w:ascii="Arial" w:hAnsi="Arial" w:cs="Arial"/>
          <w:sz w:val="20"/>
          <w:szCs w:val="20"/>
          <w:lang w:val="en-GB"/>
        </w:rPr>
        <w:t xml:space="preserve"> </w:t>
      </w:r>
      <w:r w:rsidRPr="00D0522C">
        <w:rPr>
          <w:rFonts w:ascii="Arial" w:hAnsi="Arial" w:cs="Arial"/>
          <w:sz w:val="20"/>
          <w:szCs w:val="20"/>
          <w:lang w:val="en-GB"/>
        </w:rPr>
        <w:t>Then, the reads were processed using the DADA2 pipeline v1.26.0</w:t>
      </w:r>
      <w:r w:rsidR="002179A2" w:rsidRPr="00D0522C">
        <w:rPr>
          <w:rFonts w:ascii="Arial" w:hAnsi="Arial" w:cs="Arial"/>
          <w:kern w:val="0"/>
          <w:sz w:val="20"/>
          <w:szCs w:val="24"/>
          <w:vertAlign w:val="superscript"/>
          <w:lang w:val="en-GB"/>
        </w:rPr>
        <w:t>9</w:t>
      </w:r>
      <w:r w:rsidRPr="00D0522C">
        <w:rPr>
          <w:rFonts w:ascii="Arial" w:hAnsi="Arial" w:cs="Arial"/>
          <w:sz w:val="20"/>
          <w:szCs w:val="20"/>
          <w:lang w:val="en-GB"/>
        </w:rPr>
        <w:t xml:space="preserve"> in R 4.4.0</w:t>
      </w:r>
      <w:r w:rsidR="002179A2" w:rsidRPr="00D0522C">
        <w:rPr>
          <w:rFonts w:ascii="Arial" w:hAnsi="Arial" w:cs="Arial"/>
          <w:kern w:val="0"/>
          <w:sz w:val="20"/>
          <w:szCs w:val="24"/>
          <w:vertAlign w:val="superscript"/>
          <w:lang w:val="en-GB"/>
        </w:rPr>
        <w:t>10</w:t>
      </w:r>
      <w:r w:rsidRPr="00D0522C">
        <w:rPr>
          <w:rFonts w:ascii="Arial" w:hAnsi="Arial" w:cs="Arial"/>
          <w:sz w:val="20"/>
          <w:szCs w:val="20"/>
          <w:lang w:val="en-GB"/>
        </w:rPr>
        <w:t xml:space="preserve"> and RStudio</w:t>
      </w:r>
      <w:r w:rsidR="002179A2" w:rsidRPr="00D0522C">
        <w:rPr>
          <w:rFonts w:ascii="Arial" w:hAnsi="Arial" w:cs="Arial"/>
          <w:kern w:val="0"/>
          <w:sz w:val="20"/>
          <w:szCs w:val="24"/>
          <w:vertAlign w:val="superscript"/>
          <w:lang w:val="en-GB"/>
        </w:rPr>
        <w:t>11</w:t>
      </w:r>
      <w:r w:rsidRPr="00D0522C">
        <w:rPr>
          <w:rFonts w:ascii="Arial" w:hAnsi="Arial" w:cs="Arial"/>
          <w:sz w:val="20"/>
          <w:szCs w:val="20"/>
          <w:lang w:val="en-GB"/>
        </w:rPr>
        <w:t xml:space="preserve">. Using the </w:t>
      </w:r>
      <w:proofErr w:type="spellStart"/>
      <w:r w:rsidRPr="00D0522C">
        <w:rPr>
          <w:rFonts w:ascii="Arial" w:hAnsi="Arial" w:cs="Arial"/>
          <w:sz w:val="20"/>
          <w:szCs w:val="20"/>
          <w:lang w:val="en-GB"/>
        </w:rPr>
        <w:t>filterAndTrim</w:t>
      </w:r>
      <w:proofErr w:type="spellEnd"/>
      <w:r w:rsidRPr="00D0522C">
        <w:rPr>
          <w:rFonts w:ascii="Arial" w:hAnsi="Arial" w:cs="Arial"/>
          <w:sz w:val="20"/>
          <w:szCs w:val="20"/>
          <w:lang w:val="en-GB"/>
        </w:rPr>
        <w:t xml:space="preserve"> function, reads were truncated after 157 bp (COI ZBJ-ArtF1c/R2c), 171 bp (12S </w:t>
      </w:r>
      <w:proofErr w:type="spellStart"/>
      <w:r w:rsidRPr="00D0522C">
        <w:rPr>
          <w:rFonts w:ascii="Arial" w:hAnsi="Arial" w:cs="Arial"/>
          <w:sz w:val="20"/>
          <w:szCs w:val="20"/>
          <w:lang w:val="en-GB"/>
        </w:rPr>
        <w:t>MiMammal</w:t>
      </w:r>
      <w:proofErr w:type="spellEnd"/>
      <w:r w:rsidRPr="00D0522C">
        <w:rPr>
          <w:rFonts w:ascii="Arial" w:hAnsi="Arial" w:cs="Arial"/>
          <w:sz w:val="20"/>
          <w:szCs w:val="20"/>
          <w:lang w:val="en-GB"/>
        </w:rPr>
        <w:t xml:space="preserve">-U-F/R), 90 bp (16S mam1/2), 265 bp (12S </w:t>
      </w:r>
      <w:proofErr w:type="spellStart"/>
      <w:r w:rsidRPr="00D0522C">
        <w:rPr>
          <w:rFonts w:ascii="Arial" w:hAnsi="Arial" w:cs="Arial"/>
          <w:sz w:val="20"/>
          <w:szCs w:val="20"/>
          <w:lang w:val="en-GB"/>
        </w:rPr>
        <w:t>birT</w:t>
      </w:r>
      <w:proofErr w:type="spellEnd"/>
      <w:r w:rsidRPr="00D0522C">
        <w:rPr>
          <w:rFonts w:ascii="Arial" w:hAnsi="Arial" w:cs="Arial"/>
          <w:sz w:val="20"/>
          <w:szCs w:val="20"/>
          <w:lang w:val="en-GB"/>
        </w:rPr>
        <w:t xml:space="preserve">-F/R) or 230 bp (ITS2 S2F/ITS4), and reads matching against the </w:t>
      </w:r>
      <w:proofErr w:type="spellStart"/>
      <w:r w:rsidRPr="00D0522C">
        <w:rPr>
          <w:rFonts w:ascii="Arial" w:hAnsi="Arial" w:cs="Arial"/>
          <w:sz w:val="20"/>
          <w:szCs w:val="20"/>
          <w:lang w:val="en-GB"/>
        </w:rPr>
        <w:t>phiX</w:t>
      </w:r>
      <w:proofErr w:type="spellEnd"/>
      <w:r w:rsidRPr="00D0522C">
        <w:rPr>
          <w:rFonts w:ascii="Arial" w:hAnsi="Arial" w:cs="Arial"/>
          <w:sz w:val="20"/>
          <w:szCs w:val="20"/>
          <w:lang w:val="en-GB"/>
        </w:rPr>
        <w:t xml:space="preserve"> genome (</w:t>
      </w:r>
      <w:proofErr w:type="spellStart"/>
      <w:proofErr w:type="gramStart"/>
      <w:r w:rsidRPr="00D0522C">
        <w:rPr>
          <w:rFonts w:ascii="Arial" w:hAnsi="Arial" w:cs="Arial"/>
          <w:sz w:val="20"/>
          <w:szCs w:val="20"/>
          <w:lang w:val="en-GB"/>
        </w:rPr>
        <w:t>rm.phix</w:t>
      </w:r>
      <w:proofErr w:type="spellEnd"/>
      <w:proofErr w:type="gramEnd"/>
      <w:r w:rsidRPr="00D0522C">
        <w:rPr>
          <w:rFonts w:ascii="Arial" w:hAnsi="Arial" w:cs="Arial"/>
          <w:sz w:val="20"/>
          <w:szCs w:val="20"/>
          <w:lang w:val="en-GB"/>
        </w:rPr>
        <w:t xml:space="preserve"> = T), with ambiguous bases (</w:t>
      </w:r>
      <w:proofErr w:type="spellStart"/>
      <w:r w:rsidRPr="00D0522C">
        <w:rPr>
          <w:rFonts w:ascii="Arial" w:hAnsi="Arial" w:cs="Arial"/>
          <w:sz w:val="20"/>
          <w:szCs w:val="20"/>
          <w:lang w:val="en-GB"/>
        </w:rPr>
        <w:t>maxN</w:t>
      </w:r>
      <w:proofErr w:type="spellEnd"/>
      <w:r w:rsidRPr="00D0522C">
        <w:rPr>
          <w:rFonts w:ascii="Arial" w:hAnsi="Arial" w:cs="Arial"/>
          <w:sz w:val="20"/>
          <w:szCs w:val="20"/>
          <w:lang w:val="en-GB"/>
        </w:rPr>
        <w:t xml:space="preserve"> = 0), or with more than 2 expected errors (</w:t>
      </w:r>
      <w:proofErr w:type="spellStart"/>
      <w:r w:rsidRPr="00D0522C">
        <w:rPr>
          <w:rFonts w:ascii="Arial" w:hAnsi="Arial" w:cs="Arial"/>
          <w:sz w:val="20"/>
          <w:szCs w:val="20"/>
          <w:lang w:val="en-GB"/>
        </w:rPr>
        <w:t>maxEE</w:t>
      </w:r>
      <w:proofErr w:type="spellEnd"/>
      <w:r w:rsidRPr="00D0522C">
        <w:rPr>
          <w:rFonts w:ascii="Arial" w:hAnsi="Arial" w:cs="Arial"/>
          <w:sz w:val="20"/>
          <w:szCs w:val="20"/>
          <w:lang w:val="en-GB"/>
        </w:rPr>
        <w:t xml:space="preserve"> = 2) were discarded. All identical sequencing reads were then combined into unique sequences (dereplication) using </w:t>
      </w:r>
      <w:proofErr w:type="spellStart"/>
      <w:r w:rsidRPr="00D0522C">
        <w:rPr>
          <w:rFonts w:ascii="Arial" w:hAnsi="Arial" w:cs="Arial"/>
          <w:sz w:val="20"/>
          <w:szCs w:val="20"/>
          <w:lang w:val="en-GB"/>
        </w:rPr>
        <w:t>derepFastq</w:t>
      </w:r>
      <w:proofErr w:type="spellEnd"/>
      <w:r w:rsidRPr="00D0522C">
        <w:rPr>
          <w:rFonts w:ascii="Arial" w:hAnsi="Arial" w:cs="Arial"/>
          <w:sz w:val="20"/>
          <w:szCs w:val="20"/>
          <w:lang w:val="en-GB"/>
        </w:rPr>
        <w:t xml:space="preserve"> with default parameters. The error rate (</w:t>
      </w:r>
      <w:proofErr w:type="spellStart"/>
      <w:r w:rsidRPr="00D0522C">
        <w:rPr>
          <w:rFonts w:ascii="Arial" w:hAnsi="Arial" w:cs="Arial"/>
          <w:sz w:val="20"/>
          <w:szCs w:val="20"/>
          <w:lang w:val="en-GB"/>
        </w:rPr>
        <w:t>learnErrors</w:t>
      </w:r>
      <w:proofErr w:type="spellEnd"/>
      <w:r w:rsidRPr="00D0522C">
        <w:rPr>
          <w:rFonts w:ascii="Arial" w:hAnsi="Arial" w:cs="Arial"/>
          <w:sz w:val="20"/>
          <w:szCs w:val="20"/>
          <w:lang w:val="en-GB"/>
        </w:rPr>
        <w:t xml:space="preserve"> function) was used to make ASVs with the </w:t>
      </w:r>
      <w:proofErr w:type="gramStart"/>
      <w:r w:rsidRPr="00D0522C">
        <w:rPr>
          <w:rFonts w:ascii="Arial" w:hAnsi="Arial" w:cs="Arial"/>
          <w:sz w:val="20"/>
          <w:szCs w:val="20"/>
          <w:lang w:val="en-GB"/>
        </w:rPr>
        <w:t>dada(</w:t>
      </w:r>
      <w:proofErr w:type="gramEnd"/>
      <w:r w:rsidRPr="00D0522C">
        <w:rPr>
          <w:rFonts w:ascii="Arial" w:hAnsi="Arial" w:cs="Arial"/>
          <w:sz w:val="20"/>
          <w:szCs w:val="20"/>
          <w:lang w:val="en-GB"/>
        </w:rPr>
        <w:t xml:space="preserve">) function. Finally, chimeras were removed using the </w:t>
      </w:r>
      <w:proofErr w:type="spellStart"/>
      <w:r w:rsidRPr="00D0522C">
        <w:rPr>
          <w:rFonts w:ascii="Arial" w:hAnsi="Arial" w:cs="Arial"/>
          <w:sz w:val="20"/>
          <w:szCs w:val="20"/>
          <w:lang w:val="en-GB"/>
        </w:rPr>
        <w:t>removeBimeraDenovo</w:t>
      </w:r>
      <w:proofErr w:type="spellEnd"/>
      <w:r w:rsidRPr="00D0522C">
        <w:rPr>
          <w:rFonts w:ascii="Arial" w:hAnsi="Arial" w:cs="Arial"/>
          <w:sz w:val="20"/>
          <w:szCs w:val="20"/>
          <w:lang w:val="en-GB"/>
        </w:rPr>
        <w:t xml:space="preserve"> function (consensus method). </w:t>
      </w:r>
    </w:p>
    <w:p w14:paraId="613A061F" w14:textId="38663B01"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sz w:val="20"/>
          <w:szCs w:val="20"/>
          <w:lang w:val="en-GB"/>
        </w:rPr>
        <w:lastRenderedPageBreak/>
        <w:t>Taxonomic assignment was kept at the species level only with query cover &gt; 60% and percentage of identity ≥ 97%</w:t>
      </w:r>
      <w:r w:rsidR="005D796B" w:rsidRPr="00D0522C">
        <w:rPr>
          <w:rFonts w:ascii="Arial" w:hAnsi="Arial" w:cs="Arial"/>
          <w:sz w:val="20"/>
          <w:szCs w:val="20"/>
          <w:lang w:val="en-GB"/>
        </w:rPr>
        <w:t>, and at the order level with percentage of identity &lt; 97% (Appendix S1)</w:t>
      </w:r>
      <w:r w:rsidRPr="00D0522C">
        <w:rPr>
          <w:rFonts w:ascii="Arial" w:hAnsi="Arial" w:cs="Arial"/>
          <w:sz w:val="20"/>
          <w:szCs w:val="20"/>
          <w:lang w:val="en-GB"/>
        </w:rPr>
        <w:t>.</w:t>
      </w:r>
      <w:r w:rsidR="005D796B" w:rsidRPr="00D0522C">
        <w:rPr>
          <w:rFonts w:ascii="Arial" w:hAnsi="Arial" w:cs="Arial"/>
          <w:sz w:val="20"/>
          <w:szCs w:val="20"/>
          <w:lang w:val="en-GB"/>
        </w:rPr>
        <w:t xml:space="preserve"> In cases where multiple species matched with the same percentage of identity, the closest common ancestor (e.g., genus) was retained. </w:t>
      </w:r>
      <w:r w:rsidRPr="00D0522C">
        <w:rPr>
          <w:rFonts w:ascii="Arial" w:hAnsi="Arial" w:cs="Arial"/>
          <w:sz w:val="20"/>
          <w:szCs w:val="20"/>
          <w:lang w:val="en-GB"/>
        </w:rPr>
        <w:t>To avoid overinflation of taxonomic assignments at the species level for ITS2 and COI, genus-level identifications were retained for these two regions</w:t>
      </w:r>
      <w:r w:rsidR="002179A2" w:rsidRPr="00D0522C">
        <w:rPr>
          <w:rFonts w:ascii="Arial" w:hAnsi="Arial" w:cs="Arial"/>
          <w:kern w:val="0"/>
          <w:sz w:val="20"/>
          <w:szCs w:val="24"/>
          <w:vertAlign w:val="superscript"/>
          <w:lang w:val="en-GB"/>
        </w:rPr>
        <w:t>12</w:t>
      </w:r>
      <w:r w:rsidRPr="00D0522C">
        <w:rPr>
          <w:rFonts w:ascii="Arial" w:hAnsi="Arial" w:cs="Arial"/>
          <w:sz w:val="20"/>
          <w:szCs w:val="20"/>
          <w:lang w:val="en-GB"/>
        </w:rPr>
        <w:t xml:space="preserve">. For the 16S and two 12S markers we used the online BLAST tool (NCBI full nucleotide collection) to manually assign taxonomy to the ASVs. For the primers with large numbers of ASV (4,389 and 7,550 ASVs for ITS2 and COI, respectively) we combined automated (non-Bayesian taxonomy classifier, </w:t>
      </w:r>
      <w:proofErr w:type="spellStart"/>
      <w:r w:rsidRPr="00D0522C">
        <w:rPr>
          <w:rFonts w:ascii="Arial" w:hAnsi="Arial" w:cs="Arial"/>
          <w:sz w:val="20"/>
          <w:szCs w:val="20"/>
          <w:lang w:val="en-GB"/>
        </w:rPr>
        <w:t>sintax</w:t>
      </w:r>
      <w:proofErr w:type="spellEnd"/>
      <w:r w:rsidRPr="00D0522C">
        <w:rPr>
          <w:rFonts w:ascii="Arial" w:hAnsi="Arial" w:cs="Arial"/>
          <w:sz w:val="20"/>
          <w:szCs w:val="20"/>
          <w:lang w:val="en-GB"/>
        </w:rPr>
        <w:t xml:space="preserve"> command of the </w:t>
      </w:r>
      <w:proofErr w:type="spellStart"/>
      <w:r w:rsidRPr="00D0522C">
        <w:rPr>
          <w:rFonts w:ascii="Arial" w:hAnsi="Arial" w:cs="Arial"/>
          <w:sz w:val="20"/>
          <w:szCs w:val="20"/>
          <w:lang w:val="en-GB"/>
        </w:rPr>
        <w:t>usearch</w:t>
      </w:r>
      <w:proofErr w:type="spellEnd"/>
      <w:r w:rsidRPr="00D0522C">
        <w:rPr>
          <w:rFonts w:ascii="Arial" w:hAnsi="Arial" w:cs="Arial"/>
          <w:sz w:val="20"/>
          <w:szCs w:val="20"/>
          <w:lang w:val="en-GB"/>
        </w:rPr>
        <w:t xml:space="preserve"> v11.0.667 pipeline</w:t>
      </w:r>
      <w:r w:rsidR="002179A2" w:rsidRPr="00D0522C">
        <w:rPr>
          <w:rFonts w:ascii="Arial" w:hAnsi="Arial" w:cs="Arial"/>
          <w:kern w:val="0"/>
          <w:sz w:val="20"/>
          <w:szCs w:val="24"/>
          <w:vertAlign w:val="superscript"/>
          <w:lang w:val="en-GB"/>
        </w:rPr>
        <w:t>13</w:t>
      </w:r>
      <w:r w:rsidRPr="00D0522C">
        <w:rPr>
          <w:rFonts w:ascii="Arial" w:hAnsi="Arial" w:cs="Arial"/>
          <w:sz w:val="20"/>
          <w:szCs w:val="20"/>
          <w:lang w:val="en-GB"/>
        </w:rPr>
        <w:t xml:space="preserve"> and manual (online BLAST tool, NCBI full nucleotide collection) approaches. For COI, we used syntax against the BOLD database. ASVs with a </w:t>
      </w:r>
      <w:proofErr w:type="spellStart"/>
      <w:r w:rsidRPr="00D0522C">
        <w:rPr>
          <w:rFonts w:ascii="Arial" w:hAnsi="Arial" w:cs="Arial"/>
          <w:sz w:val="20"/>
          <w:szCs w:val="20"/>
          <w:lang w:val="en-GB"/>
        </w:rPr>
        <w:t>sintax</w:t>
      </w:r>
      <w:proofErr w:type="spellEnd"/>
      <w:r w:rsidRPr="00D0522C">
        <w:rPr>
          <w:rFonts w:ascii="Arial" w:hAnsi="Arial" w:cs="Arial"/>
          <w:sz w:val="20"/>
          <w:szCs w:val="20"/>
          <w:lang w:val="en-GB"/>
        </w:rPr>
        <w:t xml:space="preserve"> probability at the genus level ≥ 0.60 were checked manually in GenBank (May 2024). For those with a probability at the genus level &lt; 0.60 and family level ≥ 0.60, the ASV was assigned at the family level. If the probability was &lt; 0.60 at the family level, we checked the order level: if the probability was ≥ 0.60, then the ASV was assigned at the order level. This was repeated up to the phylum level: if the phylum level probability was &lt; 0.60, then the ASV was identified as "no match". The same backward strategy was applied to ITS2, with two databases PLANiTS_29_03_2023</w:t>
      </w:r>
      <w:r w:rsidR="002179A2" w:rsidRPr="00D0522C">
        <w:rPr>
          <w:rFonts w:ascii="Arial" w:hAnsi="Arial" w:cs="Arial"/>
          <w:kern w:val="0"/>
          <w:sz w:val="20"/>
          <w:szCs w:val="24"/>
          <w:vertAlign w:val="superscript"/>
          <w:lang w:val="en-GB"/>
        </w:rPr>
        <w:t>14</w:t>
      </w:r>
      <w:r w:rsidRPr="00D0522C">
        <w:rPr>
          <w:rFonts w:ascii="Arial" w:hAnsi="Arial" w:cs="Arial"/>
          <w:sz w:val="20"/>
          <w:szCs w:val="20"/>
          <w:lang w:val="en-GB"/>
        </w:rPr>
        <w:t xml:space="preserve"> and </w:t>
      </w:r>
      <w:proofErr w:type="gramStart"/>
      <w:r w:rsidRPr="00D0522C">
        <w:rPr>
          <w:rFonts w:ascii="Arial" w:hAnsi="Arial" w:cs="Arial"/>
          <w:sz w:val="20"/>
          <w:szCs w:val="20"/>
          <w:lang w:val="en-GB"/>
        </w:rPr>
        <w:t>Unite</w:t>
      </w:r>
      <w:proofErr w:type="gramEnd"/>
      <w:r w:rsidRPr="00D0522C">
        <w:rPr>
          <w:rFonts w:ascii="Arial" w:hAnsi="Arial" w:cs="Arial"/>
          <w:sz w:val="20"/>
          <w:szCs w:val="20"/>
          <w:lang w:val="en-GB"/>
        </w:rPr>
        <w:t xml:space="preserve"> all eukaryotes v10.0</w:t>
      </w:r>
      <w:r w:rsidR="002179A2" w:rsidRPr="00D0522C">
        <w:rPr>
          <w:rFonts w:ascii="Arial" w:hAnsi="Arial" w:cs="Arial"/>
          <w:kern w:val="0"/>
          <w:sz w:val="20"/>
          <w:szCs w:val="24"/>
          <w:vertAlign w:val="superscript"/>
          <w:lang w:val="en-GB"/>
        </w:rPr>
        <w:t>15</w:t>
      </w:r>
      <w:r w:rsidRPr="00D0522C">
        <w:rPr>
          <w:rFonts w:ascii="Arial" w:hAnsi="Arial" w:cs="Arial"/>
          <w:sz w:val="20"/>
          <w:szCs w:val="20"/>
          <w:lang w:val="en-GB"/>
        </w:rPr>
        <w:t>. </w:t>
      </w:r>
    </w:p>
    <w:p w14:paraId="46DE57E1" w14:textId="77777777" w:rsidR="00D1086E" w:rsidRPr="00D0522C" w:rsidRDefault="00795211" w:rsidP="002179A2">
      <w:pPr>
        <w:spacing w:line="360" w:lineRule="auto"/>
        <w:jc w:val="both"/>
        <w:rPr>
          <w:rFonts w:ascii="Arial" w:hAnsi="Arial" w:cs="Arial"/>
          <w:i/>
          <w:iCs/>
          <w:sz w:val="20"/>
          <w:szCs w:val="20"/>
          <w:lang w:val="en-GB"/>
        </w:rPr>
      </w:pPr>
      <w:r w:rsidRPr="00D0522C">
        <w:rPr>
          <w:rFonts w:ascii="Arial" w:hAnsi="Arial" w:cs="Arial"/>
          <w:i/>
          <w:iCs/>
          <w:sz w:val="20"/>
          <w:szCs w:val="20"/>
          <w:lang w:val="en-GB"/>
        </w:rPr>
        <w:t>Sequencing results</w:t>
      </w:r>
    </w:p>
    <w:p w14:paraId="0A09B69F" w14:textId="00B55083" w:rsidR="00795211" w:rsidRPr="00D0522C" w:rsidRDefault="00795211" w:rsidP="002179A2">
      <w:pPr>
        <w:spacing w:line="360" w:lineRule="auto"/>
        <w:jc w:val="both"/>
        <w:rPr>
          <w:rFonts w:ascii="Arial" w:hAnsi="Arial" w:cs="Arial"/>
          <w:sz w:val="20"/>
          <w:szCs w:val="20"/>
          <w:lang w:val="en-GB"/>
        </w:rPr>
      </w:pPr>
      <w:r w:rsidRPr="00D0522C">
        <w:rPr>
          <w:rFonts w:ascii="Arial" w:hAnsi="Arial" w:cs="Arial"/>
          <w:sz w:val="20"/>
          <w:szCs w:val="20"/>
          <w:lang w:val="en-GB"/>
        </w:rPr>
        <w:t xml:space="preserve">A total of 118,240,346 raw reads were generated, 117,051,477 were assembled and 97,963,931 were trimmed, filtered and demultiplexed by sample. Following demultiplexing by primer pair in </w:t>
      </w:r>
      <w:proofErr w:type="spellStart"/>
      <w:r w:rsidRPr="00D0522C">
        <w:rPr>
          <w:rFonts w:ascii="Arial" w:hAnsi="Arial" w:cs="Arial"/>
          <w:sz w:val="20"/>
          <w:szCs w:val="20"/>
          <w:lang w:val="en-GB"/>
        </w:rPr>
        <w:t>cutadapt</w:t>
      </w:r>
      <w:proofErr w:type="spellEnd"/>
      <w:r w:rsidRPr="00D0522C">
        <w:rPr>
          <w:rFonts w:ascii="Arial" w:hAnsi="Arial" w:cs="Arial"/>
          <w:sz w:val="20"/>
          <w:szCs w:val="20"/>
          <w:lang w:val="en-GB"/>
        </w:rPr>
        <w:t xml:space="preserve"> and filtering, denoising and chimera removal in DADA2, we obtained 14,381,711 reads and 2,422 ASVs for 12S </w:t>
      </w:r>
      <w:proofErr w:type="spellStart"/>
      <w:r w:rsidRPr="00D0522C">
        <w:rPr>
          <w:rFonts w:ascii="Arial" w:hAnsi="Arial" w:cs="Arial"/>
          <w:sz w:val="20"/>
          <w:szCs w:val="20"/>
          <w:lang w:val="en-GB"/>
        </w:rPr>
        <w:t>MiMammal</w:t>
      </w:r>
      <w:proofErr w:type="spellEnd"/>
      <w:r w:rsidRPr="00D0522C">
        <w:rPr>
          <w:rFonts w:ascii="Arial" w:hAnsi="Arial" w:cs="Arial"/>
          <w:sz w:val="20"/>
          <w:szCs w:val="20"/>
          <w:lang w:val="en-GB"/>
        </w:rPr>
        <w:t xml:space="preserve">-U-F/R, 24,074,614 reads and 1,496 ASVs for 16S mam1/2, 7,576,673 reads and 1,180 ASVs for 12S </w:t>
      </w:r>
      <w:proofErr w:type="spellStart"/>
      <w:r w:rsidRPr="00D0522C">
        <w:rPr>
          <w:rFonts w:ascii="Arial" w:hAnsi="Arial" w:cs="Arial"/>
          <w:sz w:val="20"/>
          <w:szCs w:val="20"/>
          <w:lang w:val="en-GB"/>
        </w:rPr>
        <w:t>birT</w:t>
      </w:r>
      <w:proofErr w:type="spellEnd"/>
      <w:r w:rsidRPr="00D0522C">
        <w:rPr>
          <w:rFonts w:ascii="Arial" w:hAnsi="Arial" w:cs="Arial"/>
          <w:sz w:val="20"/>
          <w:szCs w:val="20"/>
          <w:lang w:val="en-GB"/>
        </w:rPr>
        <w:t>-F/R, 16,222,647 reads and 7,550 ASVs for ZBJ-ArtF1c/R2c, and 11,813,754 reads and 4,389 ASVs for ITS2 S2F/ITS4 (Table S1). The final dataset, following removal of no match and suspected contaminants, filtering with control “ghost” plates and negative controls, removal of positive control samples and merging of ASVs with identical identifications, had a total of 18,373,005 reads and 1,556 ASVs (details in Table S1) with an average of 1,224,867 ± 486,829 reads and 334 ± 93 ASVs per sampling site (min: 201 at Heigham Holmes, max: 568 at Low Santon).</w:t>
      </w:r>
    </w:p>
    <w:p w14:paraId="31AF9FB2" w14:textId="77777777" w:rsidR="00795211" w:rsidRPr="00D0522C" w:rsidRDefault="00795211" w:rsidP="00E77DE4">
      <w:pPr>
        <w:spacing w:after="0" w:line="240" w:lineRule="auto"/>
        <w:jc w:val="both"/>
        <w:rPr>
          <w:rFonts w:ascii="Arial" w:hAnsi="Arial" w:cs="Arial"/>
          <w:i/>
          <w:iCs/>
          <w:sz w:val="20"/>
          <w:szCs w:val="20"/>
          <w:lang w:val="en-GB"/>
        </w:rPr>
      </w:pPr>
      <w:r w:rsidRPr="00D0522C">
        <w:rPr>
          <w:rFonts w:ascii="Arial" w:hAnsi="Arial" w:cs="Arial"/>
          <w:i/>
          <w:iCs/>
          <w:sz w:val="20"/>
          <w:szCs w:val="20"/>
          <w:lang w:val="en-GB"/>
        </w:rPr>
        <w:t>References</w:t>
      </w:r>
    </w:p>
    <w:p w14:paraId="311FC3E9" w14:textId="5802715F"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1.</w:t>
      </w:r>
      <w:r w:rsidRPr="00D0522C">
        <w:rPr>
          <w:rFonts w:ascii="Arial" w:hAnsi="Arial" w:cs="Arial"/>
          <w:sz w:val="20"/>
          <w:lang w:val="en-GB"/>
        </w:rPr>
        <w:tab/>
        <w:t xml:space="preserve">Taylor, P. Reproducibility of ancient DNA sequences from extinct Pleistocene fauna. </w:t>
      </w:r>
      <w:r w:rsidRPr="00D0522C">
        <w:rPr>
          <w:rFonts w:ascii="Arial" w:hAnsi="Arial" w:cs="Arial"/>
          <w:i/>
          <w:iCs/>
          <w:sz w:val="20"/>
          <w:lang w:val="en-GB"/>
        </w:rPr>
        <w:t>Molecular biology and evolution</w:t>
      </w:r>
      <w:r w:rsidRPr="00D0522C">
        <w:rPr>
          <w:rFonts w:ascii="Arial" w:hAnsi="Arial" w:cs="Arial"/>
          <w:sz w:val="20"/>
          <w:lang w:val="en-GB"/>
        </w:rPr>
        <w:t xml:space="preserve"> </w:t>
      </w:r>
      <w:r w:rsidRPr="00D0522C">
        <w:rPr>
          <w:rFonts w:ascii="Arial" w:hAnsi="Arial" w:cs="Arial"/>
          <w:b/>
          <w:bCs/>
          <w:sz w:val="20"/>
          <w:lang w:val="en-GB"/>
        </w:rPr>
        <w:t>13</w:t>
      </w:r>
      <w:r w:rsidRPr="00D0522C">
        <w:rPr>
          <w:rFonts w:ascii="Arial" w:hAnsi="Arial" w:cs="Arial"/>
          <w:sz w:val="20"/>
          <w:lang w:val="en-GB"/>
        </w:rPr>
        <w:t>, 283–5 (1996).</w:t>
      </w:r>
    </w:p>
    <w:p w14:paraId="2AAB9F62"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2.</w:t>
      </w:r>
      <w:r w:rsidRPr="00D0522C">
        <w:rPr>
          <w:rFonts w:ascii="Arial" w:hAnsi="Arial" w:cs="Arial"/>
          <w:sz w:val="20"/>
          <w:lang w:val="en-GB"/>
        </w:rPr>
        <w:tab/>
      </w:r>
      <w:proofErr w:type="spellStart"/>
      <w:r w:rsidRPr="00D0522C">
        <w:rPr>
          <w:rFonts w:ascii="Arial" w:hAnsi="Arial" w:cs="Arial"/>
          <w:sz w:val="20"/>
          <w:lang w:val="en-GB"/>
        </w:rPr>
        <w:t>Calvignac</w:t>
      </w:r>
      <w:proofErr w:type="spellEnd"/>
      <w:r w:rsidRPr="00D0522C">
        <w:rPr>
          <w:rFonts w:ascii="Arial" w:hAnsi="Arial" w:cs="Arial"/>
          <w:sz w:val="20"/>
          <w:lang w:val="en-GB"/>
        </w:rPr>
        <w:t xml:space="preserve">-Spencer, S. </w:t>
      </w:r>
      <w:r w:rsidRPr="00D0522C">
        <w:rPr>
          <w:rFonts w:ascii="Arial" w:hAnsi="Arial" w:cs="Arial"/>
          <w:i/>
          <w:iCs/>
          <w:sz w:val="20"/>
          <w:lang w:val="en-GB"/>
        </w:rPr>
        <w:t>et al.</w:t>
      </w:r>
      <w:r w:rsidRPr="00D0522C">
        <w:rPr>
          <w:rFonts w:ascii="Arial" w:hAnsi="Arial" w:cs="Arial"/>
          <w:sz w:val="20"/>
          <w:lang w:val="en-GB"/>
        </w:rPr>
        <w:t xml:space="preserve"> Carrion fly-derived DNA as a tool for comprehensive and cost-effective assessment of mammalian biodiversity. </w:t>
      </w:r>
      <w:r w:rsidRPr="00D0522C">
        <w:rPr>
          <w:rFonts w:ascii="Arial" w:hAnsi="Arial" w:cs="Arial"/>
          <w:i/>
          <w:iCs/>
          <w:sz w:val="20"/>
          <w:lang w:val="en-GB"/>
        </w:rPr>
        <w:t>Molecular Ecology</w:t>
      </w:r>
      <w:r w:rsidRPr="00D0522C">
        <w:rPr>
          <w:rFonts w:ascii="Arial" w:hAnsi="Arial" w:cs="Arial"/>
          <w:sz w:val="20"/>
          <w:lang w:val="en-GB"/>
        </w:rPr>
        <w:t xml:space="preserve"> </w:t>
      </w:r>
      <w:r w:rsidRPr="00D0522C">
        <w:rPr>
          <w:rFonts w:ascii="Arial" w:hAnsi="Arial" w:cs="Arial"/>
          <w:b/>
          <w:bCs/>
          <w:sz w:val="20"/>
          <w:lang w:val="en-GB"/>
        </w:rPr>
        <w:t>22</w:t>
      </w:r>
      <w:r w:rsidRPr="00D0522C">
        <w:rPr>
          <w:rFonts w:ascii="Arial" w:hAnsi="Arial" w:cs="Arial"/>
          <w:sz w:val="20"/>
          <w:lang w:val="en-GB"/>
        </w:rPr>
        <w:t>, 915–924 (2013).</w:t>
      </w:r>
    </w:p>
    <w:p w14:paraId="150E2EFF"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3.</w:t>
      </w:r>
      <w:r w:rsidRPr="00D0522C">
        <w:rPr>
          <w:rFonts w:ascii="Arial" w:hAnsi="Arial" w:cs="Arial"/>
          <w:sz w:val="20"/>
          <w:lang w:val="en-GB"/>
        </w:rPr>
        <w:tab/>
        <w:t xml:space="preserve">Ushio, M. </w:t>
      </w:r>
      <w:r w:rsidRPr="00D0522C">
        <w:rPr>
          <w:rFonts w:ascii="Arial" w:hAnsi="Arial" w:cs="Arial"/>
          <w:i/>
          <w:iCs/>
          <w:sz w:val="20"/>
          <w:lang w:val="en-GB"/>
        </w:rPr>
        <w:t>et al.</w:t>
      </w:r>
      <w:r w:rsidRPr="00D0522C">
        <w:rPr>
          <w:rFonts w:ascii="Arial" w:hAnsi="Arial" w:cs="Arial"/>
          <w:sz w:val="20"/>
          <w:lang w:val="en-GB"/>
        </w:rPr>
        <w:t xml:space="preserve"> Environmental DNA enables detection of terrestrial mammals from forest pond water. </w:t>
      </w:r>
      <w:r w:rsidRPr="00D0522C">
        <w:rPr>
          <w:rFonts w:ascii="Arial" w:hAnsi="Arial" w:cs="Arial"/>
          <w:i/>
          <w:iCs/>
          <w:sz w:val="20"/>
          <w:lang w:val="en-GB"/>
        </w:rPr>
        <w:t>Molecular Ecology Resources</w:t>
      </w:r>
      <w:r w:rsidRPr="00D0522C">
        <w:rPr>
          <w:rFonts w:ascii="Arial" w:hAnsi="Arial" w:cs="Arial"/>
          <w:sz w:val="20"/>
          <w:lang w:val="en-GB"/>
        </w:rPr>
        <w:t xml:space="preserve"> </w:t>
      </w:r>
      <w:r w:rsidRPr="00D0522C">
        <w:rPr>
          <w:rFonts w:ascii="Arial" w:hAnsi="Arial" w:cs="Arial"/>
          <w:b/>
          <w:bCs/>
          <w:sz w:val="20"/>
          <w:lang w:val="en-GB"/>
        </w:rPr>
        <w:t>17</w:t>
      </w:r>
      <w:r w:rsidRPr="00D0522C">
        <w:rPr>
          <w:rFonts w:ascii="Arial" w:hAnsi="Arial" w:cs="Arial"/>
          <w:sz w:val="20"/>
          <w:lang w:val="en-GB"/>
        </w:rPr>
        <w:t>, e63–e75 (2017).</w:t>
      </w:r>
    </w:p>
    <w:p w14:paraId="5C2DAF8C"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4.</w:t>
      </w:r>
      <w:r w:rsidRPr="00D0522C">
        <w:rPr>
          <w:rFonts w:ascii="Arial" w:hAnsi="Arial" w:cs="Arial"/>
          <w:sz w:val="20"/>
          <w:lang w:val="en-GB"/>
        </w:rPr>
        <w:tab/>
      </w:r>
      <w:proofErr w:type="spellStart"/>
      <w:r w:rsidRPr="00D0522C">
        <w:rPr>
          <w:rFonts w:ascii="Arial" w:hAnsi="Arial" w:cs="Arial"/>
          <w:sz w:val="20"/>
          <w:lang w:val="en-GB"/>
        </w:rPr>
        <w:t>Thalinger</w:t>
      </w:r>
      <w:proofErr w:type="spellEnd"/>
      <w:r w:rsidRPr="00D0522C">
        <w:rPr>
          <w:rFonts w:ascii="Arial" w:hAnsi="Arial" w:cs="Arial"/>
          <w:sz w:val="20"/>
          <w:lang w:val="en-GB"/>
        </w:rPr>
        <w:t xml:space="preserve">, B., Empey, R., Cowperthwaite, M., Coveny, K. &amp; Steinke, D. BirT: a novel primer pair for avian environmental DNA metabarcoding. </w:t>
      </w:r>
      <w:proofErr w:type="spellStart"/>
      <w:r w:rsidRPr="00D0522C">
        <w:rPr>
          <w:rFonts w:ascii="Arial" w:hAnsi="Arial" w:cs="Arial"/>
          <w:i/>
          <w:iCs/>
          <w:sz w:val="20"/>
          <w:lang w:val="en-GB"/>
        </w:rPr>
        <w:t>bioRxiv</w:t>
      </w:r>
      <w:proofErr w:type="spellEnd"/>
      <w:r w:rsidRPr="00D0522C">
        <w:rPr>
          <w:rFonts w:ascii="Arial" w:hAnsi="Arial" w:cs="Arial"/>
          <w:sz w:val="20"/>
          <w:lang w:val="en-GB"/>
        </w:rPr>
        <w:t xml:space="preserve"> 2023–08 (2023).</w:t>
      </w:r>
    </w:p>
    <w:p w14:paraId="5FB46F90"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5.</w:t>
      </w:r>
      <w:r w:rsidRPr="00D0522C">
        <w:rPr>
          <w:rFonts w:ascii="Arial" w:hAnsi="Arial" w:cs="Arial"/>
          <w:sz w:val="20"/>
          <w:lang w:val="en-GB"/>
        </w:rPr>
        <w:tab/>
      </w:r>
      <w:proofErr w:type="spellStart"/>
      <w:r w:rsidRPr="00D0522C">
        <w:rPr>
          <w:rFonts w:ascii="Arial" w:hAnsi="Arial" w:cs="Arial"/>
          <w:sz w:val="20"/>
          <w:lang w:val="en-GB"/>
        </w:rPr>
        <w:t>Zeale</w:t>
      </w:r>
      <w:proofErr w:type="spellEnd"/>
      <w:r w:rsidRPr="00D0522C">
        <w:rPr>
          <w:rFonts w:ascii="Arial" w:hAnsi="Arial" w:cs="Arial"/>
          <w:sz w:val="20"/>
          <w:lang w:val="en-GB"/>
        </w:rPr>
        <w:t xml:space="preserve">, M. R. K., Butlin, R. K., Barker, G. L. A., Lees, D. C. &amp; Jones, G. Taxon-specific PCR for DNA barcoding arthropod prey in bat faeces. </w:t>
      </w:r>
      <w:r w:rsidRPr="00D0522C">
        <w:rPr>
          <w:rFonts w:ascii="Arial" w:hAnsi="Arial" w:cs="Arial"/>
          <w:i/>
          <w:iCs/>
          <w:sz w:val="20"/>
          <w:lang w:val="en-GB"/>
        </w:rPr>
        <w:t>Molecular Ecology Resources</w:t>
      </w:r>
      <w:r w:rsidRPr="00D0522C">
        <w:rPr>
          <w:rFonts w:ascii="Arial" w:hAnsi="Arial" w:cs="Arial"/>
          <w:sz w:val="20"/>
          <w:lang w:val="en-GB"/>
        </w:rPr>
        <w:t xml:space="preserve"> </w:t>
      </w:r>
      <w:r w:rsidRPr="00D0522C">
        <w:rPr>
          <w:rFonts w:ascii="Arial" w:hAnsi="Arial" w:cs="Arial"/>
          <w:b/>
          <w:bCs/>
          <w:sz w:val="20"/>
          <w:lang w:val="en-GB"/>
        </w:rPr>
        <w:t>11</w:t>
      </w:r>
      <w:r w:rsidRPr="00D0522C">
        <w:rPr>
          <w:rFonts w:ascii="Arial" w:hAnsi="Arial" w:cs="Arial"/>
          <w:sz w:val="20"/>
          <w:lang w:val="en-GB"/>
        </w:rPr>
        <w:t>, 236–244 (2011).</w:t>
      </w:r>
    </w:p>
    <w:p w14:paraId="2828E21F"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6.</w:t>
      </w:r>
      <w:r w:rsidRPr="00D0522C">
        <w:rPr>
          <w:rFonts w:ascii="Arial" w:hAnsi="Arial" w:cs="Arial"/>
          <w:sz w:val="20"/>
          <w:lang w:val="en-GB"/>
        </w:rPr>
        <w:tab/>
        <w:t xml:space="preserve">Cheng, T. </w:t>
      </w:r>
      <w:r w:rsidRPr="00D0522C">
        <w:rPr>
          <w:rFonts w:ascii="Arial" w:hAnsi="Arial" w:cs="Arial"/>
          <w:i/>
          <w:iCs/>
          <w:sz w:val="20"/>
          <w:lang w:val="en-GB"/>
        </w:rPr>
        <w:t>et al.</w:t>
      </w:r>
      <w:r w:rsidRPr="00D0522C">
        <w:rPr>
          <w:rFonts w:ascii="Arial" w:hAnsi="Arial" w:cs="Arial"/>
          <w:sz w:val="20"/>
          <w:lang w:val="en-GB"/>
        </w:rPr>
        <w:t xml:space="preserve"> Barcoding the kingdom Plantae: new PCR primers for regions of plants with improved universality and specificity. </w:t>
      </w:r>
      <w:r w:rsidRPr="00D0522C">
        <w:rPr>
          <w:rFonts w:ascii="Arial" w:hAnsi="Arial" w:cs="Arial"/>
          <w:i/>
          <w:iCs/>
          <w:sz w:val="20"/>
          <w:lang w:val="en-GB"/>
        </w:rPr>
        <w:t>Molecular Ecology Resources</w:t>
      </w:r>
      <w:r w:rsidRPr="00D0522C">
        <w:rPr>
          <w:rFonts w:ascii="Arial" w:hAnsi="Arial" w:cs="Arial"/>
          <w:sz w:val="20"/>
          <w:lang w:val="en-GB"/>
        </w:rPr>
        <w:t xml:space="preserve"> </w:t>
      </w:r>
      <w:r w:rsidRPr="00D0522C">
        <w:rPr>
          <w:rFonts w:ascii="Arial" w:hAnsi="Arial" w:cs="Arial"/>
          <w:b/>
          <w:bCs/>
          <w:sz w:val="20"/>
          <w:lang w:val="en-GB"/>
        </w:rPr>
        <w:t>16</w:t>
      </w:r>
      <w:r w:rsidRPr="00D0522C">
        <w:rPr>
          <w:rFonts w:ascii="Arial" w:hAnsi="Arial" w:cs="Arial"/>
          <w:sz w:val="20"/>
          <w:lang w:val="en-GB"/>
        </w:rPr>
        <w:t>, 138–149 (2016).</w:t>
      </w:r>
    </w:p>
    <w:p w14:paraId="43778DF0"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7.</w:t>
      </w:r>
      <w:r w:rsidRPr="00D0522C">
        <w:rPr>
          <w:rFonts w:ascii="Arial" w:hAnsi="Arial" w:cs="Arial"/>
          <w:sz w:val="20"/>
          <w:lang w:val="en-GB"/>
        </w:rPr>
        <w:tab/>
        <w:t xml:space="preserve">Zhang, J., Kobert, K., </w:t>
      </w:r>
      <w:proofErr w:type="spellStart"/>
      <w:r w:rsidRPr="00D0522C">
        <w:rPr>
          <w:rFonts w:ascii="Arial" w:hAnsi="Arial" w:cs="Arial"/>
          <w:sz w:val="20"/>
          <w:lang w:val="en-GB"/>
        </w:rPr>
        <w:t>Flouri</w:t>
      </w:r>
      <w:proofErr w:type="spellEnd"/>
      <w:r w:rsidRPr="00D0522C">
        <w:rPr>
          <w:rFonts w:ascii="Arial" w:hAnsi="Arial" w:cs="Arial"/>
          <w:sz w:val="20"/>
          <w:lang w:val="en-GB"/>
        </w:rPr>
        <w:t xml:space="preserve">, T. &amp; Stamatakis, A. PEAR: a fast and accurate Illumina Paired-End </w:t>
      </w:r>
      <w:proofErr w:type="spellStart"/>
      <w:r w:rsidRPr="00D0522C">
        <w:rPr>
          <w:rFonts w:ascii="Arial" w:hAnsi="Arial" w:cs="Arial"/>
          <w:sz w:val="20"/>
          <w:lang w:val="en-GB"/>
        </w:rPr>
        <w:t>reAd</w:t>
      </w:r>
      <w:proofErr w:type="spellEnd"/>
      <w:r w:rsidRPr="00D0522C">
        <w:rPr>
          <w:rFonts w:ascii="Arial" w:hAnsi="Arial" w:cs="Arial"/>
          <w:sz w:val="20"/>
          <w:lang w:val="en-GB"/>
        </w:rPr>
        <w:t xml:space="preserve"> </w:t>
      </w:r>
      <w:proofErr w:type="spellStart"/>
      <w:r w:rsidRPr="00D0522C">
        <w:rPr>
          <w:rFonts w:ascii="Arial" w:hAnsi="Arial" w:cs="Arial"/>
          <w:sz w:val="20"/>
          <w:lang w:val="en-GB"/>
        </w:rPr>
        <w:t>mergeR</w:t>
      </w:r>
      <w:proofErr w:type="spellEnd"/>
      <w:r w:rsidRPr="00D0522C">
        <w:rPr>
          <w:rFonts w:ascii="Arial" w:hAnsi="Arial" w:cs="Arial"/>
          <w:sz w:val="20"/>
          <w:lang w:val="en-GB"/>
        </w:rPr>
        <w:t xml:space="preserve">. </w:t>
      </w:r>
      <w:r w:rsidRPr="00D0522C">
        <w:rPr>
          <w:rFonts w:ascii="Arial" w:hAnsi="Arial" w:cs="Arial"/>
          <w:i/>
          <w:iCs/>
          <w:sz w:val="20"/>
          <w:lang w:val="en-GB"/>
        </w:rPr>
        <w:t>Bioinformatics</w:t>
      </w:r>
      <w:r w:rsidRPr="00D0522C">
        <w:rPr>
          <w:rFonts w:ascii="Arial" w:hAnsi="Arial" w:cs="Arial"/>
          <w:sz w:val="20"/>
          <w:lang w:val="en-GB"/>
        </w:rPr>
        <w:t xml:space="preserve"> </w:t>
      </w:r>
      <w:r w:rsidRPr="00D0522C">
        <w:rPr>
          <w:rFonts w:ascii="Arial" w:hAnsi="Arial" w:cs="Arial"/>
          <w:b/>
          <w:bCs/>
          <w:sz w:val="20"/>
          <w:lang w:val="en-GB"/>
        </w:rPr>
        <w:t>30</w:t>
      </w:r>
      <w:r w:rsidRPr="00D0522C">
        <w:rPr>
          <w:rFonts w:ascii="Arial" w:hAnsi="Arial" w:cs="Arial"/>
          <w:sz w:val="20"/>
          <w:lang w:val="en-GB"/>
        </w:rPr>
        <w:t>, 614–620 (2014).</w:t>
      </w:r>
    </w:p>
    <w:p w14:paraId="5C8CFF63"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8.</w:t>
      </w:r>
      <w:r w:rsidRPr="00D0522C">
        <w:rPr>
          <w:rFonts w:ascii="Arial" w:hAnsi="Arial" w:cs="Arial"/>
          <w:sz w:val="20"/>
          <w:lang w:val="en-GB"/>
        </w:rPr>
        <w:tab/>
        <w:t xml:space="preserve">Martin, M. </w:t>
      </w:r>
      <w:proofErr w:type="spellStart"/>
      <w:r w:rsidRPr="00D0522C">
        <w:rPr>
          <w:rFonts w:ascii="Arial" w:hAnsi="Arial" w:cs="Arial"/>
          <w:sz w:val="20"/>
          <w:lang w:val="en-GB"/>
        </w:rPr>
        <w:t>Cutadapt</w:t>
      </w:r>
      <w:proofErr w:type="spellEnd"/>
      <w:r w:rsidRPr="00D0522C">
        <w:rPr>
          <w:rFonts w:ascii="Arial" w:hAnsi="Arial" w:cs="Arial"/>
          <w:sz w:val="20"/>
          <w:lang w:val="en-GB"/>
        </w:rPr>
        <w:t xml:space="preserve"> removes adapter sequences from high-throughput sequencing reads. </w:t>
      </w:r>
      <w:proofErr w:type="spellStart"/>
      <w:r w:rsidRPr="00D0522C">
        <w:rPr>
          <w:rFonts w:ascii="Arial" w:hAnsi="Arial" w:cs="Arial"/>
          <w:i/>
          <w:iCs/>
          <w:sz w:val="20"/>
          <w:lang w:val="en-GB"/>
        </w:rPr>
        <w:t>EMBnet.journal</w:t>
      </w:r>
      <w:proofErr w:type="spellEnd"/>
      <w:r w:rsidRPr="00D0522C">
        <w:rPr>
          <w:rFonts w:ascii="Arial" w:hAnsi="Arial" w:cs="Arial"/>
          <w:sz w:val="20"/>
          <w:lang w:val="en-GB"/>
        </w:rPr>
        <w:t xml:space="preserve"> </w:t>
      </w:r>
      <w:r w:rsidRPr="00D0522C">
        <w:rPr>
          <w:rFonts w:ascii="Arial" w:hAnsi="Arial" w:cs="Arial"/>
          <w:b/>
          <w:bCs/>
          <w:sz w:val="20"/>
          <w:lang w:val="en-GB"/>
        </w:rPr>
        <w:t>17</w:t>
      </w:r>
      <w:r w:rsidRPr="00D0522C">
        <w:rPr>
          <w:rFonts w:ascii="Arial" w:hAnsi="Arial" w:cs="Arial"/>
          <w:sz w:val="20"/>
          <w:lang w:val="en-GB"/>
        </w:rPr>
        <w:t>, 10–12 (2011).</w:t>
      </w:r>
    </w:p>
    <w:p w14:paraId="282E5295"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lastRenderedPageBreak/>
        <w:t>9.</w:t>
      </w:r>
      <w:r w:rsidRPr="00D0522C">
        <w:rPr>
          <w:rFonts w:ascii="Arial" w:hAnsi="Arial" w:cs="Arial"/>
          <w:sz w:val="20"/>
          <w:lang w:val="en-GB"/>
        </w:rPr>
        <w:tab/>
        <w:t xml:space="preserve">Callahan, B. J. </w:t>
      </w:r>
      <w:r w:rsidRPr="00D0522C">
        <w:rPr>
          <w:rFonts w:ascii="Arial" w:hAnsi="Arial" w:cs="Arial"/>
          <w:i/>
          <w:iCs/>
          <w:sz w:val="20"/>
          <w:lang w:val="en-GB"/>
        </w:rPr>
        <w:t>et al.</w:t>
      </w:r>
      <w:r w:rsidRPr="00D0522C">
        <w:rPr>
          <w:rFonts w:ascii="Arial" w:hAnsi="Arial" w:cs="Arial"/>
          <w:sz w:val="20"/>
          <w:lang w:val="en-GB"/>
        </w:rPr>
        <w:t xml:space="preserve"> DADA2: High-resolution sample inference from Illumina amplicon data. </w:t>
      </w:r>
      <w:r w:rsidRPr="00D0522C">
        <w:rPr>
          <w:rFonts w:ascii="Arial" w:hAnsi="Arial" w:cs="Arial"/>
          <w:i/>
          <w:iCs/>
          <w:sz w:val="20"/>
          <w:lang w:val="en-GB"/>
        </w:rPr>
        <w:t>Nat Methods</w:t>
      </w:r>
      <w:r w:rsidRPr="00D0522C">
        <w:rPr>
          <w:rFonts w:ascii="Arial" w:hAnsi="Arial" w:cs="Arial"/>
          <w:sz w:val="20"/>
          <w:lang w:val="en-GB"/>
        </w:rPr>
        <w:t xml:space="preserve"> </w:t>
      </w:r>
      <w:r w:rsidRPr="00D0522C">
        <w:rPr>
          <w:rFonts w:ascii="Arial" w:hAnsi="Arial" w:cs="Arial"/>
          <w:b/>
          <w:bCs/>
          <w:sz w:val="20"/>
          <w:lang w:val="en-GB"/>
        </w:rPr>
        <w:t>13</w:t>
      </w:r>
      <w:r w:rsidRPr="00D0522C">
        <w:rPr>
          <w:rFonts w:ascii="Arial" w:hAnsi="Arial" w:cs="Arial"/>
          <w:sz w:val="20"/>
          <w:lang w:val="en-GB"/>
        </w:rPr>
        <w:t>, 581–583 (2016).</w:t>
      </w:r>
    </w:p>
    <w:p w14:paraId="1422DAE6"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10.</w:t>
      </w:r>
      <w:r w:rsidRPr="00D0522C">
        <w:rPr>
          <w:rFonts w:ascii="Arial" w:hAnsi="Arial" w:cs="Arial"/>
          <w:sz w:val="20"/>
          <w:lang w:val="en-GB"/>
        </w:rPr>
        <w:tab/>
        <w:t>R Core Team. R: A language and environment for statistical computing. R Foundation for Statistical Computing (2024).</w:t>
      </w:r>
    </w:p>
    <w:p w14:paraId="183468F2"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11.</w:t>
      </w:r>
      <w:r w:rsidRPr="00D0522C">
        <w:rPr>
          <w:rFonts w:ascii="Arial" w:hAnsi="Arial" w:cs="Arial"/>
          <w:sz w:val="20"/>
          <w:lang w:val="en-GB"/>
        </w:rPr>
        <w:tab/>
        <w:t>Posit team. RStudio: Integrated Development Environment for R. Posit Software (2024).</w:t>
      </w:r>
    </w:p>
    <w:p w14:paraId="2DAAD904"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rPr>
        <w:t>12.</w:t>
      </w:r>
      <w:r w:rsidRPr="00D0522C">
        <w:rPr>
          <w:rFonts w:ascii="Arial" w:hAnsi="Arial" w:cs="Arial"/>
          <w:sz w:val="20"/>
        </w:rPr>
        <w:tab/>
      </w:r>
      <w:proofErr w:type="spellStart"/>
      <w:r w:rsidRPr="00D0522C">
        <w:rPr>
          <w:rFonts w:ascii="Arial" w:hAnsi="Arial" w:cs="Arial"/>
          <w:sz w:val="20"/>
        </w:rPr>
        <w:t>Littlefair</w:t>
      </w:r>
      <w:proofErr w:type="spellEnd"/>
      <w:r w:rsidRPr="00D0522C">
        <w:rPr>
          <w:rFonts w:ascii="Arial" w:hAnsi="Arial" w:cs="Arial"/>
          <w:sz w:val="20"/>
        </w:rPr>
        <w:t xml:space="preserve">, J. E. </w:t>
      </w:r>
      <w:r w:rsidRPr="00D0522C">
        <w:rPr>
          <w:rFonts w:ascii="Arial" w:hAnsi="Arial" w:cs="Arial"/>
          <w:i/>
          <w:iCs/>
          <w:sz w:val="20"/>
        </w:rPr>
        <w:t>et al.</w:t>
      </w:r>
      <w:r w:rsidRPr="00D0522C">
        <w:rPr>
          <w:rFonts w:ascii="Arial" w:hAnsi="Arial" w:cs="Arial"/>
          <w:sz w:val="20"/>
        </w:rPr>
        <w:t xml:space="preserve"> </w:t>
      </w:r>
      <w:r w:rsidRPr="00D0522C">
        <w:rPr>
          <w:rFonts w:ascii="Arial" w:hAnsi="Arial" w:cs="Arial"/>
          <w:sz w:val="20"/>
          <w:lang w:val="en-GB"/>
        </w:rPr>
        <w:t xml:space="preserve">Air-quality networks collect environmental DNA with the potential to measure biodiversity at continental scales. </w:t>
      </w:r>
      <w:r w:rsidRPr="00D0522C">
        <w:rPr>
          <w:rFonts w:ascii="Arial" w:hAnsi="Arial" w:cs="Arial"/>
          <w:i/>
          <w:iCs/>
          <w:sz w:val="20"/>
          <w:lang w:val="en-GB"/>
        </w:rPr>
        <w:t>Current Biology</w:t>
      </w:r>
      <w:r w:rsidRPr="00D0522C">
        <w:rPr>
          <w:rFonts w:ascii="Arial" w:hAnsi="Arial" w:cs="Arial"/>
          <w:sz w:val="20"/>
          <w:lang w:val="en-GB"/>
        </w:rPr>
        <w:t xml:space="preserve"> </w:t>
      </w:r>
      <w:r w:rsidRPr="00D0522C">
        <w:rPr>
          <w:rFonts w:ascii="Arial" w:hAnsi="Arial" w:cs="Arial"/>
          <w:b/>
          <w:bCs/>
          <w:sz w:val="20"/>
          <w:lang w:val="en-GB"/>
        </w:rPr>
        <w:t>33</w:t>
      </w:r>
      <w:r w:rsidRPr="00D0522C">
        <w:rPr>
          <w:rFonts w:ascii="Arial" w:hAnsi="Arial" w:cs="Arial"/>
          <w:sz w:val="20"/>
          <w:lang w:val="en-GB"/>
        </w:rPr>
        <w:t>, R426–R428 (2023).</w:t>
      </w:r>
    </w:p>
    <w:p w14:paraId="0E5444C6"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13.</w:t>
      </w:r>
      <w:r w:rsidRPr="00D0522C">
        <w:rPr>
          <w:rFonts w:ascii="Arial" w:hAnsi="Arial" w:cs="Arial"/>
          <w:sz w:val="20"/>
          <w:lang w:val="en-GB"/>
        </w:rPr>
        <w:tab/>
        <w:t xml:space="preserve">Edgar, R. SINTAX: a simple non-Bayesian taxonomy classifier for 16S and ITS sequences. </w:t>
      </w:r>
      <w:proofErr w:type="spellStart"/>
      <w:r w:rsidRPr="00D0522C">
        <w:rPr>
          <w:rFonts w:ascii="Arial" w:hAnsi="Arial" w:cs="Arial"/>
          <w:i/>
          <w:iCs/>
          <w:sz w:val="20"/>
          <w:lang w:val="en-GB"/>
        </w:rPr>
        <w:t>biorxiv</w:t>
      </w:r>
      <w:proofErr w:type="spellEnd"/>
      <w:r w:rsidRPr="00D0522C">
        <w:rPr>
          <w:rFonts w:ascii="Arial" w:hAnsi="Arial" w:cs="Arial"/>
          <w:sz w:val="20"/>
          <w:lang w:val="en-GB"/>
        </w:rPr>
        <w:t xml:space="preserve"> 074161 (2016).</w:t>
      </w:r>
    </w:p>
    <w:p w14:paraId="51DF1CFF"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14.</w:t>
      </w:r>
      <w:r w:rsidRPr="00D0522C">
        <w:rPr>
          <w:rFonts w:ascii="Arial" w:hAnsi="Arial" w:cs="Arial"/>
          <w:sz w:val="20"/>
          <w:lang w:val="en-GB"/>
        </w:rPr>
        <w:tab/>
        <w:t xml:space="preserve">Banchi, E. </w:t>
      </w:r>
      <w:r w:rsidRPr="00D0522C">
        <w:rPr>
          <w:rFonts w:ascii="Arial" w:hAnsi="Arial" w:cs="Arial"/>
          <w:i/>
          <w:iCs/>
          <w:sz w:val="20"/>
          <w:lang w:val="en-GB"/>
        </w:rPr>
        <w:t>et al.</w:t>
      </w:r>
      <w:r w:rsidRPr="00D0522C">
        <w:rPr>
          <w:rFonts w:ascii="Arial" w:hAnsi="Arial" w:cs="Arial"/>
          <w:sz w:val="20"/>
          <w:lang w:val="en-GB"/>
        </w:rPr>
        <w:t xml:space="preserve"> </w:t>
      </w:r>
      <w:proofErr w:type="spellStart"/>
      <w:r w:rsidRPr="00D0522C">
        <w:rPr>
          <w:rFonts w:ascii="Arial" w:hAnsi="Arial" w:cs="Arial"/>
          <w:sz w:val="20"/>
          <w:lang w:val="en-GB"/>
        </w:rPr>
        <w:t>PLANiTS</w:t>
      </w:r>
      <w:proofErr w:type="spellEnd"/>
      <w:r w:rsidRPr="00D0522C">
        <w:rPr>
          <w:rFonts w:ascii="Arial" w:hAnsi="Arial" w:cs="Arial"/>
          <w:sz w:val="20"/>
          <w:lang w:val="en-GB"/>
        </w:rPr>
        <w:t xml:space="preserve">: a curated sequence reference dataset for plant ITS DNA metabarcoding. </w:t>
      </w:r>
      <w:r w:rsidRPr="00D0522C">
        <w:rPr>
          <w:rFonts w:ascii="Arial" w:hAnsi="Arial" w:cs="Arial"/>
          <w:i/>
          <w:iCs/>
          <w:sz w:val="20"/>
          <w:lang w:val="en-GB"/>
        </w:rPr>
        <w:t>Database</w:t>
      </w:r>
      <w:r w:rsidRPr="00D0522C">
        <w:rPr>
          <w:rFonts w:ascii="Arial" w:hAnsi="Arial" w:cs="Arial"/>
          <w:sz w:val="20"/>
          <w:lang w:val="en-GB"/>
        </w:rPr>
        <w:t xml:space="preserve"> </w:t>
      </w:r>
      <w:r w:rsidRPr="00D0522C">
        <w:rPr>
          <w:rFonts w:ascii="Arial" w:hAnsi="Arial" w:cs="Arial"/>
          <w:b/>
          <w:bCs/>
          <w:sz w:val="20"/>
          <w:lang w:val="en-GB"/>
        </w:rPr>
        <w:t>2020</w:t>
      </w:r>
      <w:r w:rsidRPr="00D0522C">
        <w:rPr>
          <w:rFonts w:ascii="Arial" w:hAnsi="Arial" w:cs="Arial"/>
          <w:sz w:val="20"/>
          <w:lang w:val="en-GB"/>
        </w:rPr>
        <w:t>, baz155 (2020).</w:t>
      </w:r>
    </w:p>
    <w:p w14:paraId="77683DE5" w14:textId="77777777" w:rsidR="002179A2" w:rsidRPr="00D0522C" w:rsidRDefault="002179A2" w:rsidP="00E77DE4">
      <w:pPr>
        <w:pStyle w:val="Bibliographie"/>
        <w:spacing w:line="240" w:lineRule="auto"/>
        <w:rPr>
          <w:rFonts w:ascii="Arial" w:hAnsi="Arial" w:cs="Arial"/>
          <w:sz w:val="20"/>
          <w:lang w:val="en-GB"/>
        </w:rPr>
      </w:pPr>
      <w:r w:rsidRPr="00D0522C">
        <w:rPr>
          <w:rFonts w:ascii="Arial" w:hAnsi="Arial" w:cs="Arial"/>
          <w:sz w:val="20"/>
          <w:lang w:val="en-GB"/>
        </w:rPr>
        <w:t>15.</w:t>
      </w:r>
      <w:r w:rsidRPr="00D0522C">
        <w:rPr>
          <w:rFonts w:ascii="Arial" w:hAnsi="Arial" w:cs="Arial"/>
          <w:sz w:val="20"/>
          <w:lang w:val="en-GB"/>
        </w:rPr>
        <w:tab/>
      </w:r>
      <w:proofErr w:type="spellStart"/>
      <w:r w:rsidRPr="00D0522C">
        <w:rPr>
          <w:rFonts w:ascii="Arial" w:hAnsi="Arial" w:cs="Arial"/>
          <w:sz w:val="20"/>
          <w:lang w:val="en-GB"/>
        </w:rPr>
        <w:t>Abarenkov</w:t>
      </w:r>
      <w:proofErr w:type="spellEnd"/>
      <w:r w:rsidRPr="00D0522C">
        <w:rPr>
          <w:rFonts w:ascii="Arial" w:hAnsi="Arial" w:cs="Arial"/>
          <w:sz w:val="20"/>
          <w:lang w:val="en-GB"/>
        </w:rPr>
        <w:t xml:space="preserve">, K. </w:t>
      </w:r>
      <w:r w:rsidRPr="00D0522C">
        <w:rPr>
          <w:rFonts w:ascii="Arial" w:hAnsi="Arial" w:cs="Arial"/>
          <w:i/>
          <w:iCs/>
          <w:sz w:val="20"/>
          <w:lang w:val="en-GB"/>
        </w:rPr>
        <w:t>et al.</w:t>
      </w:r>
      <w:r w:rsidRPr="00D0522C">
        <w:rPr>
          <w:rFonts w:ascii="Arial" w:hAnsi="Arial" w:cs="Arial"/>
          <w:sz w:val="20"/>
          <w:lang w:val="en-GB"/>
        </w:rPr>
        <w:t xml:space="preserve"> The UNITE database for molecular identification and taxonomic communication of fungi and other eukaryotes: sequences, taxa and classifications reconsidered. </w:t>
      </w:r>
      <w:r w:rsidRPr="00D0522C">
        <w:rPr>
          <w:rFonts w:ascii="Arial" w:hAnsi="Arial" w:cs="Arial"/>
          <w:i/>
          <w:iCs/>
          <w:sz w:val="20"/>
          <w:lang w:val="en-GB"/>
        </w:rPr>
        <w:t>Nucleic Acids Research</w:t>
      </w:r>
      <w:r w:rsidRPr="00D0522C">
        <w:rPr>
          <w:rFonts w:ascii="Arial" w:hAnsi="Arial" w:cs="Arial"/>
          <w:sz w:val="20"/>
          <w:lang w:val="en-GB"/>
        </w:rPr>
        <w:t xml:space="preserve"> </w:t>
      </w:r>
      <w:r w:rsidRPr="00D0522C">
        <w:rPr>
          <w:rFonts w:ascii="Arial" w:hAnsi="Arial" w:cs="Arial"/>
          <w:b/>
          <w:bCs/>
          <w:sz w:val="20"/>
          <w:lang w:val="en-GB"/>
        </w:rPr>
        <w:t>52</w:t>
      </w:r>
      <w:r w:rsidRPr="00D0522C">
        <w:rPr>
          <w:rFonts w:ascii="Arial" w:hAnsi="Arial" w:cs="Arial"/>
          <w:sz w:val="20"/>
          <w:lang w:val="en-GB"/>
        </w:rPr>
        <w:t>, D791–D797 (2024).</w:t>
      </w:r>
    </w:p>
    <w:p w14:paraId="681D4C4D" w14:textId="6FD84CAD" w:rsidR="00210D4A" w:rsidRPr="00D0522C" w:rsidRDefault="00210D4A" w:rsidP="002179A2">
      <w:pPr>
        <w:spacing w:line="360" w:lineRule="auto"/>
        <w:jc w:val="both"/>
        <w:rPr>
          <w:rFonts w:ascii="Arial" w:hAnsi="Arial" w:cs="Arial"/>
          <w:sz w:val="20"/>
          <w:szCs w:val="20"/>
          <w:lang w:val="en-GB"/>
        </w:rPr>
      </w:pPr>
    </w:p>
    <w:p w14:paraId="13434487" w14:textId="77777777" w:rsidR="002605F0" w:rsidRPr="00D0522C" w:rsidRDefault="002605F0">
      <w:pPr>
        <w:rPr>
          <w:rFonts w:ascii="Arial" w:hAnsi="Arial" w:cs="Arial"/>
          <w:b/>
          <w:bCs/>
          <w:sz w:val="20"/>
          <w:szCs w:val="20"/>
          <w:lang w:val="en-GB"/>
        </w:rPr>
      </w:pPr>
      <w:r w:rsidRPr="00D0522C">
        <w:rPr>
          <w:rFonts w:ascii="Arial" w:hAnsi="Arial" w:cs="Arial"/>
          <w:b/>
          <w:bCs/>
          <w:sz w:val="20"/>
          <w:szCs w:val="20"/>
          <w:lang w:val="en-GB"/>
        </w:rPr>
        <w:br w:type="page"/>
      </w:r>
    </w:p>
    <w:p w14:paraId="6828E557" w14:textId="1D09926E" w:rsidR="00210D4A" w:rsidRPr="00D0522C" w:rsidRDefault="00210D4A" w:rsidP="00F1033A">
      <w:pPr>
        <w:rPr>
          <w:rFonts w:ascii="Arial" w:hAnsi="Arial" w:cs="Arial"/>
          <w:b/>
          <w:bCs/>
          <w:sz w:val="20"/>
          <w:szCs w:val="20"/>
          <w:lang w:val="en-GB"/>
        </w:rPr>
      </w:pPr>
      <w:r w:rsidRPr="00D0522C">
        <w:rPr>
          <w:rFonts w:ascii="Arial" w:hAnsi="Arial" w:cs="Arial"/>
          <w:b/>
          <w:bCs/>
          <w:sz w:val="20"/>
          <w:szCs w:val="20"/>
          <w:lang w:val="en-GB"/>
        </w:rPr>
        <w:lastRenderedPageBreak/>
        <w:t xml:space="preserve">Appendix S2. </w:t>
      </w:r>
      <w:r w:rsidRPr="00D0522C">
        <w:rPr>
          <w:rFonts w:ascii="Arial" w:hAnsi="Arial" w:cs="Arial"/>
          <w:sz w:val="20"/>
          <w:szCs w:val="20"/>
          <w:lang w:val="en-GB"/>
        </w:rPr>
        <w:t>Effect of filter storage time at ambient temperature on ASV recovery.</w:t>
      </w:r>
    </w:p>
    <w:p w14:paraId="65C71CE6" w14:textId="77777777" w:rsidR="002605F0" w:rsidRPr="00D0522C" w:rsidRDefault="002605F0" w:rsidP="002605F0">
      <w:pPr>
        <w:spacing w:line="360" w:lineRule="auto"/>
        <w:rPr>
          <w:rFonts w:ascii="Arial" w:hAnsi="Arial" w:cs="Arial"/>
          <w:sz w:val="20"/>
          <w:szCs w:val="20"/>
          <w:lang w:val="en-GB"/>
        </w:rPr>
      </w:pPr>
      <w:r w:rsidRPr="00D0522C">
        <w:rPr>
          <w:rFonts w:ascii="Arial" w:hAnsi="Arial" w:cs="Arial"/>
          <w:i/>
          <w:iCs/>
          <w:sz w:val="20"/>
          <w:szCs w:val="20"/>
          <w:lang w:val="en-GB"/>
        </w:rPr>
        <w:t>Methods</w:t>
      </w:r>
    </w:p>
    <w:p w14:paraId="22AC832A" w14:textId="599B20C5" w:rsidR="002605F0" w:rsidRPr="00D0522C" w:rsidRDefault="002605F0" w:rsidP="002605F0">
      <w:pPr>
        <w:spacing w:line="360" w:lineRule="auto"/>
        <w:rPr>
          <w:rFonts w:ascii="Arial" w:hAnsi="Arial" w:cs="Arial"/>
          <w:sz w:val="20"/>
          <w:szCs w:val="20"/>
          <w:lang w:val="en-GB"/>
        </w:rPr>
      </w:pPr>
      <w:r w:rsidRPr="00D0522C">
        <w:rPr>
          <w:rFonts w:ascii="Arial" w:hAnsi="Arial" w:cs="Arial"/>
          <w:sz w:val="20"/>
          <w:szCs w:val="20"/>
          <w:lang w:val="en-GB"/>
        </w:rPr>
        <w:t xml:space="preserve">We assessed the effect of storage time at ambient temperature (measured in months between sample collection and storage at -20°C) on the number of ASV recovered. We used the </w:t>
      </w:r>
      <w:proofErr w:type="spellStart"/>
      <w:r w:rsidRPr="00D0522C">
        <w:rPr>
          <w:rFonts w:ascii="Arial" w:hAnsi="Arial" w:cs="Arial"/>
          <w:sz w:val="20"/>
          <w:szCs w:val="20"/>
          <w:lang w:val="en-GB"/>
        </w:rPr>
        <w:t>glmmTMB</w:t>
      </w:r>
      <w:proofErr w:type="spellEnd"/>
      <w:r w:rsidRPr="00D0522C">
        <w:rPr>
          <w:rFonts w:ascii="Arial" w:hAnsi="Arial" w:cs="Arial"/>
          <w:sz w:val="20"/>
          <w:szCs w:val="20"/>
          <w:lang w:val="en-GB"/>
        </w:rPr>
        <w:t xml:space="preserve"> function of the </w:t>
      </w:r>
      <w:proofErr w:type="spellStart"/>
      <w:r w:rsidRPr="00D0522C">
        <w:rPr>
          <w:rFonts w:ascii="Arial" w:hAnsi="Arial" w:cs="Arial"/>
          <w:sz w:val="20"/>
          <w:szCs w:val="20"/>
          <w:lang w:val="en-GB"/>
        </w:rPr>
        <w:t>glmmTMB</w:t>
      </w:r>
      <w:proofErr w:type="spellEnd"/>
      <w:r w:rsidRPr="00D0522C">
        <w:rPr>
          <w:rFonts w:ascii="Arial" w:hAnsi="Arial" w:cs="Arial"/>
          <w:sz w:val="20"/>
          <w:szCs w:val="20"/>
          <w:lang w:val="en-GB"/>
        </w:rPr>
        <w:t xml:space="preserve"> package</w:t>
      </w:r>
      <w:r w:rsidRPr="00D0522C">
        <w:rPr>
          <w:rFonts w:ascii="Arial" w:hAnsi="Arial" w:cs="Arial"/>
          <w:sz w:val="20"/>
          <w:szCs w:val="20"/>
          <w:vertAlign w:val="superscript"/>
          <w:lang w:val="en-GB"/>
        </w:rPr>
        <w:t>1</w:t>
      </w:r>
      <w:r w:rsidRPr="00D0522C">
        <w:rPr>
          <w:rFonts w:ascii="Arial" w:hAnsi="Arial" w:cs="Arial"/>
          <w:sz w:val="20"/>
          <w:szCs w:val="20"/>
          <w:lang w:val="en-GB"/>
        </w:rPr>
        <w:t xml:space="preserve"> to run a GLMM of negative binomial family (nbinom2) with ambient storage time (months), sequencing depth (</w:t>
      </w:r>
      <w:r w:rsidR="00FF725C" w:rsidRPr="00D0522C">
        <w:rPr>
          <w:rFonts w:ascii="Arial" w:hAnsi="Arial" w:cs="Arial"/>
          <w:sz w:val="20"/>
          <w:szCs w:val="20"/>
          <w:lang w:val="en-GB"/>
        </w:rPr>
        <w:t xml:space="preserve">transformed </w:t>
      </w:r>
      <w:r w:rsidRPr="00D0522C">
        <w:rPr>
          <w:rFonts w:ascii="Arial" w:hAnsi="Arial" w:cs="Arial"/>
          <w:sz w:val="20"/>
          <w:szCs w:val="20"/>
          <w:lang w:val="en-GB"/>
        </w:rPr>
        <w:t>read count</w:t>
      </w:r>
      <w:r w:rsidR="003E3F33" w:rsidRPr="00D0522C">
        <w:rPr>
          <w:rFonts w:ascii="Arial" w:hAnsi="Arial" w:cs="Arial"/>
          <w:sz w:val="20"/>
          <w:szCs w:val="20"/>
          <w:lang w:val="en-GB"/>
        </w:rPr>
        <w:t xml:space="preserve"> with the scale function</w:t>
      </w:r>
      <w:r w:rsidRPr="00D0522C">
        <w:rPr>
          <w:rFonts w:ascii="Arial" w:hAnsi="Arial" w:cs="Arial"/>
          <w:sz w:val="20"/>
          <w:szCs w:val="20"/>
          <w:lang w:val="en-GB"/>
        </w:rPr>
        <w:t xml:space="preserve">) and their interaction as fixed effects. Site and taxonomic group (vertebrate, arthropod, plant, fungi) variables were included as random effects (intercept). The model results were visualized and reported using the </w:t>
      </w:r>
      <w:proofErr w:type="spellStart"/>
      <w:r w:rsidRPr="00D0522C">
        <w:rPr>
          <w:rFonts w:ascii="Arial" w:hAnsi="Arial" w:cs="Arial"/>
          <w:sz w:val="20"/>
          <w:szCs w:val="20"/>
          <w:lang w:val="en-GB"/>
        </w:rPr>
        <w:t>plot_model</w:t>
      </w:r>
      <w:proofErr w:type="spellEnd"/>
      <w:r w:rsidRPr="00D0522C">
        <w:rPr>
          <w:rFonts w:ascii="Arial" w:hAnsi="Arial" w:cs="Arial"/>
          <w:sz w:val="20"/>
          <w:szCs w:val="20"/>
          <w:lang w:val="en-GB"/>
        </w:rPr>
        <w:t xml:space="preserve"> and </w:t>
      </w:r>
      <w:proofErr w:type="spellStart"/>
      <w:r w:rsidRPr="00D0522C">
        <w:rPr>
          <w:rFonts w:ascii="Arial" w:hAnsi="Arial" w:cs="Arial"/>
          <w:sz w:val="20"/>
          <w:szCs w:val="20"/>
          <w:lang w:val="en-GB"/>
        </w:rPr>
        <w:t>tab_model</w:t>
      </w:r>
      <w:proofErr w:type="spellEnd"/>
      <w:r w:rsidRPr="00D0522C">
        <w:rPr>
          <w:rFonts w:ascii="Arial" w:hAnsi="Arial" w:cs="Arial"/>
          <w:sz w:val="20"/>
          <w:szCs w:val="20"/>
          <w:lang w:val="en-GB"/>
        </w:rPr>
        <w:t xml:space="preserve"> functions of the </w:t>
      </w:r>
      <w:proofErr w:type="spellStart"/>
      <w:r w:rsidRPr="00D0522C">
        <w:rPr>
          <w:rFonts w:ascii="Arial" w:hAnsi="Arial" w:cs="Arial"/>
          <w:sz w:val="20"/>
          <w:szCs w:val="20"/>
          <w:lang w:val="en-GB"/>
        </w:rPr>
        <w:t>sjplot</w:t>
      </w:r>
      <w:proofErr w:type="spellEnd"/>
      <w:r w:rsidRPr="00D0522C">
        <w:rPr>
          <w:rFonts w:ascii="Arial" w:hAnsi="Arial" w:cs="Arial"/>
          <w:sz w:val="20"/>
          <w:szCs w:val="20"/>
          <w:lang w:val="en-GB"/>
        </w:rPr>
        <w:t xml:space="preserve"> package</w:t>
      </w:r>
      <w:r w:rsidRPr="00D0522C">
        <w:rPr>
          <w:rFonts w:ascii="Arial" w:hAnsi="Arial" w:cs="Arial"/>
          <w:sz w:val="20"/>
          <w:szCs w:val="20"/>
          <w:vertAlign w:val="superscript"/>
          <w:lang w:val="en-GB"/>
        </w:rPr>
        <w:t>2</w:t>
      </w:r>
      <w:r w:rsidRPr="00D0522C">
        <w:rPr>
          <w:rFonts w:ascii="Arial" w:hAnsi="Arial" w:cs="Arial"/>
          <w:sz w:val="20"/>
          <w:szCs w:val="20"/>
          <w:lang w:val="en-GB"/>
        </w:rPr>
        <w:t xml:space="preserve">, and the image, contour and </w:t>
      </w:r>
      <w:proofErr w:type="spellStart"/>
      <w:r w:rsidRPr="00D0522C">
        <w:rPr>
          <w:rFonts w:ascii="Arial" w:hAnsi="Arial" w:cs="Arial"/>
          <w:sz w:val="20"/>
          <w:szCs w:val="20"/>
          <w:lang w:val="en-GB"/>
        </w:rPr>
        <w:t>persp</w:t>
      </w:r>
      <w:proofErr w:type="spellEnd"/>
      <w:r w:rsidRPr="00D0522C">
        <w:rPr>
          <w:rFonts w:ascii="Arial" w:hAnsi="Arial" w:cs="Arial"/>
          <w:sz w:val="20"/>
          <w:szCs w:val="20"/>
          <w:lang w:val="en-GB"/>
        </w:rPr>
        <w:t xml:space="preserve"> functions of the </w:t>
      </w:r>
      <w:proofErr w:type="spellStart"/>
      <w:r w:rsidRPr="00D0522C">
        <w:rPr>
          <w:rFonts w:ascii="Arial" w:hAnsi="Arial" w:cs="Arial"/>
          <w:sz w:val="20"/>
          <w:szCs w:val="20"/>
          <w:lang w:val="en-GB"/>
        </w:rPr>
        <w:t>rsm</w:t>
      </w:r>
      <w:proofErr w:type="spellEnd"/>
      <w:r w:rsidRPr="00D0522C">
        <w:rPr>
          <w:rFonts w:ascii="Arial" w:hAnsi="Arial" w:cs="Arial"/>
          <w:sz w:val="20"/>
          <w:szCs w:val="20"/>
          <w:lang w:val="en-GB"/>
        </w:rPr>
        <w:t xml:space="preserve"> package</w:t>
      </w:r>
      <w:r w:rsidRPr="00D0522C">
        <w:rPr>
          <w:rFonts w:ascii="Arial" w:hAnsi="Arial" w:cs="Arial"/>
          <w:sz w:val="20"/>
          <w:szCs w:val="20"/>
          <w:vertAlign w:val="superscript"/>
          <w:lang w:val="en-GB"/>
        </w:rPr>
        <w:t>3</w:t>
      </w:r>
      <w:r w:rsidRPr="00D0522C">
        <w:rPr>
          <w:rFonts w:ascii="Arial" w:hAnsi="Arial" w:cs="Arial"/>
          <w:sz w:val="20"/>
          <w:szCs w:val="20"/>
          <w:lang w:val="en-GB"/>
        </w:rPr>
        <w:t xml:space="preserve">. The analysis was performed on </w:t>
      </w:r>
      <w:proofErr w:type="spellStart"/>
      <w:r w:rsidRPr="00D0522C">
        <w:rPr>
          <w:rFonts w:ascii="Arial" w:hAnsi="Arial" w:cs="Arial"/>
          <w:sz w:val="20"/>
          <w:szCs w:val="20"/>
          <w:lang w:val="en-GB"/>
        </w:rPr>
        <w:t>i</w:t>
      </w:r>
      <w:proofErr w:type="spellEnd"/>
      <w:r w:rsidRPr="00D0522C">
        <w:rPr>
          <w:rFonts w:ascii="Arial" w:hAnsi="Arial" w:cs="Arial"/>
          <w:sz w:val="20"/>
          <w:szCs w:val="20"/>
          <w:lang w:val="en-GB"/>
        </w:rPr>
        <w:t>) all taxa, ii) taxa identified at the species level only, iii) taxa identified at the genus level only, iv) taxa identified at the family level only, and v) taxa identified at the order level only. Note that at the species level, we performed a simpler model (GLM with negative binomial family) because: 1) there was only one taxonomic group (only vertebrate</w:t>
      </w:r>
      <w:r w:rsidR="00850CC9" w:rsidRPr="00D0522C">
        <w:rPr>
          <w:rFonts w:ascii="Arial" w:hAnsi="Arial" w:cs="Arial"/>
          <w:sz w:val="20"/>
          <w:szCs w:val="20"/>
          <w:lang w:val="en-GB"/>
        </w:rPr>
        <w:t>s</w:t>
      </w:r>
      <w:r w:rsidRPr="00D0522C">
        <w:rPr>
          <w:rFonts w:ascii="Arial" w:hAnsi="Arial" w:cs="Arial"/>
          <w:sz w:val="20"/>
          <w:szCs w:val="20"/>
          <w:lang w:val="en-GB"/>
        </w:rPr>
        <w:t xml:space="preserve"> were identified at the species level) so it was not included in the model, and 2) the random effect “site” was not contributing additional explanatory power to the model with null between-group variance of the random effect.</w:t>
      </w:r>
    </w:p>
    <w:p w14:paraId="1A5F6BC2" w14:textId="77777777" w:rsidR="002605F0" w:rsidRPr="00D0522C" w:rsidRDefault="002605F0" w:rsidP="002605F0">
      <w:pPr>
        <w:spacing w:line="360" w:lineRule="auto"/>
        <w:rPr>
          <w:rFonts w:ascii="Arial" w:hAnsi="Arial" w:cs="Arial"/>
          <w:sz w:val="20"/>
          <w:szCs w:val="20"/>
          <w:lang w:val="en-GB"/>
        </w:rPr>
      </w:pPr>
      <w:r w:rsidRPr="00D0522C">
        <w:rPr>
          <w:rFonts w:ascii="Arial" w:hAnsi="Arial" w:cs="Arial"/>
          <w:i/>
          <w:iCs/>
          <w:sz w:val="20"/>
          <w:szCs w:val="20"/>
          <w:lang w:val="en-GB"/>
        </w:rPr>
        <w:t>Results</w:t>
      </w:r>
    </w:p>
    <w:p w14:paraId="59B5B62F" w14:textId="77777777" w:rsidR="002605F0" w:rsidRPr="00D0522C" w:rsidRDefault="002605F0" w:rsidP="002605F0">
      <w:pPr>
        <w:spacing w:line="360" w:lineRule="auto"/>
        <w:rPr>
          <w:rFonts w:ascii="Arial" w:hAnsi="Arial" w:cs="Arial"/>
          <w:sz w:val="20"/>
          <w:szCs w:val="20"/>
          <w:lang w:val="en-GB"/>
        </w:rPr>
      </w:pPr>
      <w:r w:rsidRPr="00D0522C">
        <w:rPr>
          <w:rFonts w:ascii="Arial" w:hAnsi="Arial" w:cs="Arial"/>
          <w:sz w:val="20"/>
          <w:szCs w:val="20"/>
          <w:lang w:val="en-GB"/>
        </w:rPr>
        <w:t>We observed a negative effect of ambient storage time, regardless of the taxonomic level, and a positive effect of read count at all levels but family (Appendix 2 Figure 1 and Table below). The negative IRR of the interaction between ambient storage time and read counts at the species level indicates that the longer the ambient storage time, the less “beneficial” the total read count becomes for species richness (Appendix 2 Figure 2).</w:t>
      </w:r>
    </w:p>
    <w:p w14:paraId="2B1B1892" w14:textId="3A914F35" w:rsidR="002605F0" w:rsidRPr="00D0522C" w:rsidRDefault="002605F0" w:rsidP="002605F0">
      <w:pPr>
        <w:spacing w:line="360" w:lineRule="auto"/>
        <w:rPr>
          <w:rFonts w:ascii="Arial" w:hAnsi="Arial" w:cs="Arial"/>
          <w:sz w:val="20"/>
          <w:szCs w:val="20"/>
          <w:lang w:val="en-GB"/>
        </w:rPr>
      </w:pPr>
      <w:r w:rsidRPr="00D0522C">
        <w:rPr>
          <w:rFonts w:ascii="Arial" w:hAnsi="Arial" w:cs="Arial"/>
          <w:sz w:val="20"/>
          <w:szCs w:val="20"/>
          <w:lang w:val="en-GB"/>
        </w:rPr>
        <w:t> </w:t>
      </w:r>
    </w:p>
    <w:p w14:paraId="5B442300" w14:textId="77777777" w:rsidR="002605F0" w:rsidRPr="00D0522C" w:rsidRDefault="002605F0" w:rsidP="002605F0">
      <w:pPr>
        <w:spacing w:line="360" w:lineRule="auto"/>
        <w:rPr>
          <w:rFonts w:ascii="Arial" w:hAnsi="Arial" w:cs="Arial"/>
          <w:sz w:val="20"/>
          <w:szCs w:val="20"/>
          <w:lang w:val="en-GB"/>
        </w:rPr>
      </w:pPr>
    </w:p>
    <w:p w14:paraId="530D023E" w14:textId="77777777" w:rsidR="002605F0" w:rsidRPr="00D0522C" w:rsidRDefault="002605F0" w:rsidP="002605F0">
      <w:pPr>
        <w:spacing w:line="360" w:lineRule="auto"/>
        <w:rPr>
          <w:rFonts w:ascii="Arial" w:hAnsi="Arial" w:cs="Arial"/>
          <w:sz w:val="20"/>
          <w:szCs w:val="20"/>
          <w:lang w:val="en-GB"/>
        </w:rPr>
      </w:pPr>
    </w:p>
    <w:p w14:paraId="7470B44F" w14:textId="77777777" w:rsidR="002605F0" w:rsidRPr="00D0522C" w:rsidRDefault="00163DAF" w:rsidP="002605F0">
      <w:pPr>
        <w:spacing w:line="360" w:lineRule="auto"/>
        <w:rPr>
          <w:rFonts w:ascii="Arial" w:hAnsi="Arial" w:cs="Arial"/>
          <w:sz w:val="20"/>
          <w:szCs w:val="20"/>
          <w:lang w:val="en-GB"/>
        </w:rPr>
      </w:pPr>
      <w:r w:rsidRPr="00D0522C">
        <w:rPr>
          <w:rFonts w:ascii="Arial" w:hAnsi="Arial" w:cs="Arial"/>
          <w:noProof/>
          <w:sz w:val="20"/>
          <w:szCs w:val="20"/>
          <w:lang w:val="en-GB"/>
        </w:rPr>
        <w:lastRenderedPageBreak/>
        <w:drawing>
          <wp:inline distT="0" distB="0" distL="0" distR="0" wp14:anchorId="11C87E16" wp14:editId="73F391DC">
            <wp:extent cx="5343277" cy="3593990"/>
            <wp:effectExtent l="0" t="0" r="0" b="6985"/>
            <wp:docPr id="1384759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59947" name="Picture 1384759947"/>
                    <pic:cNvPicPr/>
                  </pic:nvPicPr>
                  <pic:blipFill>
                    <a:blip r:embed="rId6">
                      <a:extLst>
                        <a:ext uri="{28A0092B-C50C-407E-A947-70E740481C1C}">
                          <a14:useLocalDpi xmlns:a14="http://schemas.microsoft.com/office/drawing/2010/main" val="0"/>
                        </a:ext>
                      </a:extLst>
                    </a:blip>
                    <a:stretch>
                      <a:fillRect/>
                    </a:stretch>
                  </pic:blipFill>
                  <pic:spPr>
                    <a:xfrm>
                      <a:off x="0" y="0"/>
                      <a:ext cx="5345757" cy="3595658"/>
                    </a:xfrm>
                    <a:prstGeom prst="rect">
                      <a:avLst/>
                    </a:prstGeom>
                  </pic:spPr>
                </pic:pic>
              </a:graphicData>
            </a:graphic>
          </wp:inline>
        </w:drawing>
      </w:r>
      <w:r w:rsidRPr="00D0522C">
        <w:rPr>
          <w:rFonts w:ascii="Arial" w:hAnsi="Arial" w:cs="Arial"/>
          <w:sz w:val="20"/>
          <w:szCs w:val="20"/>
          <w:lang w:val="en-GB"/>
        </w:rPr>
        <w:br/>
      </w:r>
      <w:r w:rsidR="00C0266A" w:rsidRPr="00D0522C">
        <w:rPr>
          <w:rFonts w:ascii="Arial" w:hAnsi="Arial" w:cs="Arial"/>
          <w:b/>
          <w:bCs/>
          <w:sz w:val="20"/>
          <w:szCs w:val="20"/>
          <w:lang w:val="en-GB"/>
        </w:rPr>
        <w:t>Appendix 2 Figure</w:t>
      </w:r>
      <w:r w:rsidR="002605F0" w:rsidRPr="00D0522C">
        <w:rPr>
          <w:rFonts w:ascii="Arial" w:hAnsi="Arial" w:cs="Arial"/>
          <w:b/>
          <w:bCs/>
          <w:sz w:val="20"/>
          <w:szCs w:val="20"/>
          <w:lang w:val="en-GB"/>
        </w:rPr>
        <w:t xml:space="preserve"> 1</w:t>
      </w:r>
      <w:r w:rsidRPr="00D0522C">
        <w:rPr>
          <w:rFonts w:ascii="Arial" w:hAnsi="Arial" w:cs="Arial"/>
          <w:b/>
          <w:bCs/>
          <w:sz w:val="20"/>
          <w:szCs w:val="20"/>
          <w:lang w:val="en-GB"/>
        </w:rPr>
        <w:t xml:space="preserve">. </w:t>
      </w:r>
      <w:r w:rsidR="002605F0" w:rsidRPr="00D0522C">
        <w:rPr>
          <w:rFonts w:ascii="Arial" w:hAnsi="Arial" w:cs="Arial"/>
          <w:sz w:val="20"/>
          <w:szCs w:val="20"/>
          <w:lang w:val="en-GB"/>
        </w:rPr>
        <w:t>Incidence rate ratios (IRR) and standard errors for each predictor (ambient storage time, total read count and their interaction, for A) ASV identified at any taxonomic level, ii) ASV identified at the species level only, iii) ASV identified at the genus level only, iv) ASV identified at the family level only, and v) ASV identified at the order level only. Predictors with ICC &lt; 1 (left of the grey line; red) have a negative effect, while those &gt;1 (on the right; blue) have a positive effect. The significance (p-value) is indicated by stars.</w:t>
      </w:r>
    </w:p>
    <w:p w14:paraId="6CBBE2A2" w14:textId="77777777" w:rsidR="002605F0" w:rsidRPr="00D0522C" w:rsidRDefault="002605F0" w:rsidP="00163DAF">
      <w:pPr>
        <w:spacing w:line="240" w:lineRule="auto"/>
        <w:jc w:val="both"/>
        <w:rPr>
          <w:rFonts w:ascii="Arial" w:hAnsi="Arial" w:cs="Arial"/>
          <w:sz w:val="20"/>
          <w:szCs w:val="20"/>
          <w:lang w:val="en-GB"/>
        </w:rPr>
      </w:pPr>
    </w:p>
    <w:p w14:paraId="725E6433" w14:textId="77777777" w:rsidR="002605F0" w:rsidRPr="00D0522C" w:rsidRDefault="002605F0" w:rsidP="002605F0">
      <w:pPr>
        <w:spacing w:line="360" w:lineRule="auto"/>
        <w:rPr>
          <w:rFonts w:ascii="Arial" w:hAnsi="Arial" w:cs="Arial"/>
          <w:sz w:val="20"/>
          <w:szCs w:val="20"/>
        </w:rPr>
      </w:pPr>
      <w:r w:rsidRPr="00D0522C">
        <w:rPr>
          <w:rFonts w:ascii="Arial" w:hAnsi="Arial" w:cs="Arial"/>
          <w:b/>
          <w:bCs/>
          <w:noProof/>
          <w:sz w:val="20"/>
          <w:szCs w:val="20"/>
        </w:rPr>
        <w:drawing>
          <wp:inline distT="0" distB="0" distL="0" distR="0" wp14:anchorId="1AF683FD" wp14:editId="7E324A7C">
            <wp:extent cx="5760720" cy="3065145"/>
            <wp:effectExtent l="0" t="0" r="0" b="1905"/>
            <wp:docPr id="18617877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065145"/>
                    </a:xfrm>
                    <a:prstGeom prst="rect">
                      <a:avLst/>
                    </a:prstGeom>
                    <a:noFill/>
                    <a:ln>
                      <a:noFill/>
                    </a:ln>
                  </pic:spPr>
                </pic:pic>
              </a:graphicData>
            </a:graphic>
          </wp:inline>
        </w:drawing>
      </w:r>
    </w:p>
    <w:p w14:paraId="5C3017D1" w14:textId="44EC145A" w:rsidR="002605F0" w:rsidRPr="00D0522C" w:rsidRDefault="002605F0" w:rsidP="002605F0">
      <w:pPr>
        <w:spacing w:line="360" w:lineRule="auto"/>
        <w:rPr>
          <w:rFonts w:ascii="Arial" w:hAnsi="Arial" w:cs="Arial"/>
          <w:lang w:val="en-GB"/>
        </w:rPr>
        <w:sectPr w:rsidR="002605F0" w:rsidRPr="00D0522C" w:rsidSect="00795211">
          <w:pgSz w:w="11906" w:h="16838"/>
          <w:pgMar w:top="1417" w:right="1417" w:bottom="1417" w:left="1417" w:header="708" w:footer="708" w:gutter="0"/>
          <w:cols w:space="708"/>
          <w:docGrid w:linePitch="360"/>
        </w:sectPr>
      </w:pPr>
      <w:r w:rsidRPr="00D0522C">
        <w:rPr>
          <w:rFonts w:ascii="Arial" w:hAnsi="Arial" w:cs="Arial"/>
          <w:b/>
          <w:bCs/>
          <w:sz w:val="20"/>
          <w:szCs w:val="20"/>
          <w:lang w:val="en-GB"/>
        </w:rPr>
        <w:lastRenderedPageBreak/>
        <w:t>Appendix 2 Figure 2.</w:t>
      </w:r>
      <w:r w:rsidRPr="00D0522C">
        <w:rPr>
          <w:rFonts w:ascii="Arial" w:hAnsi="Arial" w:cs="Arial"/>
          <w:sz w:val="20"/>
          <w:szCs w:val="20"/>
          <w:lang w:val="en-GB"/>
        </w:rPr>
        <w:t xml:space="preserve"> Interaction plots representing the negative interaction between the two predictor variables at the species level: ambient storage time (months) and read counts. Each contour line of the left plot corresponds to a specific level of predicted species richness (e.g. along the line </w:t>
      </w:r>
      <w:proofErr w:type="spellStart"/>
      <w:r w:rsidRPr="00D0522C">
        <w:rPr>
          <w:rFonts w:ascii="Arial" w:hAnsi="Arial" w:cs="Arial"/>
          <w:sz w:val="20"/>
          <w:szCs w:val="20"/>
          <w:lang w:val="en-GB"/>
        </w:rPr>
        <w:t>labeled</w:t>
      </w:r>
      <w:proofErr w:type="spellEnd"/>
      <w:r w:rsidRPr="00D0522C">
        <w:rPr>
          <w:rFonts w:ascii="Arial" w:hAnsi="Arial" w:cs="Arial"/>
          <w:sz w:val="20"/>
          <w:szCs w:val="20"/>
          <w:lang w:val="en-GB"/>
        </w:rPr>
        <w:t xml:space="preserve"> "4" the predicted species richness is 4 for the specific combinations of ambient storage time and total read count that lie along that line), with warmer </w:t>
      </w:r>
      <w:proofErr w:type="spellStart"/>
      <w:r w:rsidRPr="00D0522C">
        <w:rPr>
          <w:rFonts w:ascii="Arial" w:hAnsi="Arial" w:cs="Arial"/>
          <w:sz w:val="20"/>
          <w:szCs w:val="20"/>
          <w:lang w:val="en-GB"/>
        </w:rPr>
        <w:t>colors</w:t>
      </w:r>
      <w:proofErr w:type="spellEnd"/>
      <w:r w:rsidRPr="00D0522C">
        <w:rPr>
          <w:rFonts w:ascii="Arial" w:hAnsi="Arial" w:cs="Arial"/>
          <w:sz w:val="20"/>
          <w:szCs w:val="20"/>
          <w:lang w:val="en-GB"/>
        </w:rPr>
        <w:t xml:space="preserve"> (red) representing higher values of predicted species richness. The right plot is a 3D representation of the outcome (predicted species richness, untransformed estimate) variation across the range of values of the read count and ambient storage time variables. Both plots demonstrate that species richness declines with storage time and reduction in read counts.</w:t>
      </w:r>
    </w:p>
    <w:p w14:paraId="4C49651F" w14:textId="77777777" w:rsidR="00163DAF" w:rsidRPr="00D0522C" w:rsidRDefault="00163DAF" w:rsidP="00163DAF">
      <w:pPr>
        <w:spacing w:line="240" w:lineRule="auto"/>
        <w:jc w:val="both"/>
        <w:rPr>
          <w:rFonts w:ascii="Arial" w:hAnsi="Arial" w:cs="Arial"/>
          <w:sz w:val="20"/>
          <w:szCs w:val="20"/>
          <w:lang w:val="en-GB"/>
        </w:rPr>
      </w:pPr>
    </w:p>
    <w:p w14:paraId="441DC49D" w14:textId="18CB5292" w:rsidR="00ED2FF2" w:rsidRPr="00D0522C" w:rsidRDefault="00163DAF" w:rsidP="002179A2">
      <w:pPr>
        <w:spacing w:line="360" w:lineRule="auto"/>
        <w:jc w:val="both"/>
        <w:rPr>
          <w:rFonts w:ascii="Arial" w:hAnsi="Arial" w:cs="Arial"/>
          <w:sz w:val="20"/>
          <w:szCs w:val="20"/>
          <w:lang w:val="en-GB"/>
        </w:rPr>
      </w:pPr>
      <w:r w:rsidRPr="00D0522C">
        <w:rPr>
          <w:rFonts w:ascii="Arial" w:hAnsi="Arial" w:cs="Arial"/>
          <w:b/>
          <w:bCs/>
          <w:sz w:val="20"/>
          <w:szCs w:val="20"/>
          <w:lang w:val="en-GB"/>
        </w:rPr>
        <w:t>A</w:t>
      </w:r>
      <w:r w:rsidR="00C0266A" w:rsidRPr="00D0522C">
        <w:rPr>
          <w:rFonts w:ascii="Arial" w:hAnsi="Arial" w:cs="Arial"/>
          <w:b/>
          <w:bCs/>
          <w:sz w:val="20"/>
          <w:szCs w:val="20"/>
          <w:lang w:val="en-GB"/>
        </w:rPr>
        <w:t xml:space="preserve">ppendix </w:t>
      </w:r>
      <w:r w:rsidRPr="00D0522C">
        <w:rPr>
          <w:rFonts w:ascii="Arial" w:hAnsi="Arial" w:cs="Arial"/>
          <w:b/>
          <w:bCs/>
          <w:sz w:val="20"/>
          <w:szCs w:val="20"/>
          <w:lang w:val="en-GB"/>
        </w:rPr>
        <w:t>2</w:t>
      </w:r>
      <w:r w:rsidR="00C0266A" w:rsidRPr="00D0522C">
        <w:rPr>
          <w:rFonts w:ascii="Arial" w:hAnsi="Arial" w:cs="Arial"/>
          <w:b/>
          <w:bCs/>
          <w:sz w:val="20"/>
          <w:szCs w:val="20"/>
          <w:lang w:val="en-GB"/>
        </w:rPr>
        <w:t xml:space="preserve"> Table</w:t>
      </w:r>
      <w:r w:rsidRPr="00D0522C">
        <w:rPr>
          <w:rFonts w:ascii="Arial" w:hAnsi="Arial" w:cs="Arial"/>
          <w:b/>
          <w:bCs/>
          <w:sz w:val="20"/>
          <w:szCs w:val="20"/>
          <w:lang w:val="en-GB"/>
        </w:rPr>
        <w:t>.</w:t>
      </w:r>
      <w:r w:rsidR="003D1778" w:rsidRPr="00D0522C">
        <w:rPr>
          <w:rFonts w:ascii="Arial" w:hAnsi="Arial" w:cs="Arial"/>
          <w:sz w:val="20"/>
          <w:szCs w:val="20"/>
          <w:lang w:val="en-GB"/>
        </w:rPr>
        <w:t xml:space="preserve"> Output of the models investigating the effect of ambient storage time of the filters (‘time’), sequencing depth (‘read’) and their interaction on the number of ASV identified at any taxonomic levels, species only, genus only, family only and order only, respectively. </w:t>
      </w:r>
    </w:p>
    <w:tbl>
      <w:tblPr>
        <w:tblW w:w="5470" w:type="pct"/>
        <w:jc w:val="center"/>
        <w:tblCellMar>
          <w:left w:w="70" w:type="dxa"/>
          <w:right w:w="70" w:type="dxa"/>
        </w:tblCellMar>
        <w:tblLook w:val="04A0" w:firstRow="1" w:lastRow="0" w:firstColumn="1" w:lastColumn="0" w:noHBand="0" w:noVBand="1"/>
      </w:tblPr>
      <w:tblGrid>
        <w:gridCol w:w="1206"/>
        <w:gridCol w:w="724"/>
        <w:gridCol w:w="724"/>
        <w:gridCol w:w="701"/>
        <w:gridCol w:w="693"/>
        <w:gridCol w:w="724"/>
        <w:gridCol w:w="786"/>
        <w:gridCol w:w="701"/>
        <w:gridCol w:w="693"/>
        <w:gridCol w:w="724"/>
        <w:gridCol w:w="724"/>
        <w:gridCol w:w="537"/>
        <w:gridCol w:w="693"/>
        <w:gridCol w:w="724"/>
        <w:gridCol w:w="724"/>
        <w:gridCol w:w="701"/>
        <w:gridCol w:w="693"/>
        <w:gridCol w:w="724"/>
        <w:gridCol w:w="724"/>
        <w:gridCol w:w="701"/>
        <w:gridCol w:w="694"/>
      </w:tblGrid>
      <w:tr w:rsidR="003D1778" w:rsidRPr="00880839" w14:paraId="7846CC6B" w14:textId="77777777" w:rsidTr="00F52561">
        <w:trPr>
          <w:trHeight w:val="288"/>
          <w:jc w:val="center"/>
        </w:trPr>
        <w:tc>
          <w:tcPr>
            <w:tcW w:w="394" w:type="pct"/>
            <w:tcBorders>
              <w:top w:val="nil"/>
              <w:left w:val="nil"/>
              <w:bottom w:val="nil"/>
              <w:right w:val="nil"/>
            </w:tcBorders>
            <w:shd w:val="clear" w:color="auto" w:fill="auto"/>
            <w:hideMark/>
          </w:tcPr>
          <w:p w14:paraId="702797F2" w14:textId="77777777" w:rsidR="00163DAF" w:rsidRPr="00D0522C" w:rsidRDefault="00163DAF" w:rsidP="00163DAF">
            <w:pPr>
              <w:spacing w:after="0" w:line="240" w:lineRule="auto"/>
              <w:rPr>
                <w:rFonts w:ascii="Arial" w:eastAsia="Times New Roman" w:hAnsi="Arial" w:cs="Arial"/>
                <w:kern w:val="0"/>
                <w:sz w:val="14"/>
                <w:szCs w:val="14"/>
                <w:lang w:val="en-GB" w:eastAsia="fr-FR"/>
                <w14:ligatures w14:val="none"/>
              </w:rPr>
            </w:pPr>
          </w:p>
        </w:tc>
        <w:tc>
          <w:tcPr>
            <w:tcW w:w="928" w:type="pct"/>
            <w:gridSpan w:val="4"/>
            <w:tcBorders>
              <w:top w:val="single" w:sz="4" w:space="0" w:color="auto"/>
              <w:left w:val="single" w:sz="4" w:space="0" w:color="auto"/>
              <w:bottom w:val="single" w:sz="4" w:space="0" w:color="auto"/>
              <w:right w:val="single" w:sz="4" w:space="0" w:color="000000"/>
            </w:tcBorders>
            <w:shd w:val="clear" w:color="000000" w:fill="D9D9D9"/>
            <w:hideMark/>
          </w:tcPr>
          <w:p w14:paraId="39FD0FAF" w14:textId="72F68976" w:rsidR="00163DAF" w:rsidRPr="00D0522C" w:rsidRDefault="00163DAF" w:rsidP="00163DAF">
            <w:pPr>
              <w:spacing w:after="0" w:line="240" w:lineRule="auto"/>
              <w:rPr>
                <w:rFonts w:ascii="Arial" w:eastAsia="Times New Roman" w:hAnsi="Arial" w:cs="Arial"/>
                <w:b/>
                <w:bCs/>
                <w:color w:val="000000"/>
                <w:kern w:val="0"/>
                <w:sz w:val="14"/>
                <w:szCs w:val="14"/>
                <w:lang w:val="en-GB" w:eastAsia="fr-FR"/>
                <w14:ligatures w14:val="none"/>
              </w:rPr>
            </w:pPr>
            <w:r w:rsidRPr="00D0522C">
              <w:rPr>
                <w:rFonts w:ascii="Arial" w:eastAsia="Times New Roman" w:hAnsi="Arial" w:cs="Arial"/>
                <w:b/>
                <w:bCs/>
                <w:color w:val="000000"/>
                <w:kern w:val="0"/>
                <w:sz w:val="14"/>
                <w:szCs w:val="14"/>
                <w:lang w:val="en-GB" w:eastAsia="fr-FR"/>
                <w14:ligatures w14:val="none"/>
              </w:rPr>
              <w:t>All taxonomic levels</w:t>
            </w:r>
            <w:r w:rsidR="003D1778" w:rsidRPr="00D0522C">
              <w:rPr>
                <w:rFonts w:ascii="Arial" w:eastAsia="Times New Roman" w:hAnsi="Arial" w:cs="Arial"/>
                <w:b/>
                <w:bCs/>
                <w:color w:val="000000"/>
                <w:kern w:val="0"/>
                <w:sz w:val="14"/>
                <w:szCs w:val="14"/>
                <w:lang w:val="en-GB" w:eastAsia="fr-FR"/>
                <w14:ligatures w14:val="none"/>
              </w:rPr>
              <w:t xml:space="preserve"> (negative binomial GLMM)</w:t>
            </w:r>
          </w:p>
        </w:tc>
        <w:tc>
          <w:tcPr>
            <w:tcW w:w="948" w:type="pct"/>
            <w:gridSpan w:val="4"/>
            <w:tcBorders>
              <w:top w:val="single" w:sz="4" w:space="0" w:color="auto"/>
              <w:left w:val="nil"/>
              <w:bottom w:val="single" w:sz="4" w:space="0" w:color="auto"/>
              <w:right w:val="single" w:sz="4" w:space="0" w:color="000000"/>
            </w:tcBorders>
            <w:shd w:val="clear" w:color="000000" w:fill="D9D9D9"/>
            <w:hideMark/>
          </w:tcPr>
          <w:p w14:paraId="3C4F6E49" w14:textId="4A6C29F1" w:rsidR="00163DAF" w:rsidRPr="00D0522C" w:rsidRDefault="00163DAF" w:rsidP="00163DAF">
            <w:pPr>
              <w:spacing w:after="0" w:line="240" w:lineRule="auto"/>
              <w:rPr>
                <w:rFonts w:ascii="Arial" w:eastAsia="Times New Roman" w:hAnsi="Arial" w:cs="Arial"/>
                <w:b/>
                <w:bCs/>
                <w:color w:val="000000"/>
                <w:kern w:val="0"/>
                <w:sz w:val="14"/>
                <w:szCs w:val="14"/>
                <w:lang w:val="en-GB" w:eastAsia="fr-FR"/>
                <w14:ligatures w14:val="none"/>
              </w:rPr>
            </w:pPr>
            <w:r w:rsidRPr="00D0522C">
              <w:rPr>
                <w:rFonts w:ascii="Arial" w:eastAsia="Times New Roman" w:hAnsi="Arial" w:cs="Arial"/>
                <w:b/>
                <w:bCs/>
                <w:color w:val="000000"/>
                <w:kern w:val="0"/>
                <w:sz w:val="14"/>
                <w:szCs w:val="14"/>
                <w:lang w:val="en-GB" w:eastAsia="fr-FR"/>
                <w14:ligatures w14:val="none"/>
              </w:rPr>
              <w:t>Species level</w:t>
            </w:r>
            <w:r w:rsidR="003D1778" w:rsidRPr="00D0522C">
              <w:rPr>
                <w:rFonts w:ascii="Arial" w:eastAsia="Times New Roman" w:hAnsi="Arial" w:cs="Arial"/>
                <w:b/>
                <w:bCs/>
                <w:color w:val="000000"/>
                <w:kern w:val="0"/>
                <w:sz w:val="14"/>
                <w:szCs w:val="14"/>
                <w:lang w:val="en-GB" w:eastAsia="fr-FR"/>
                <w14:ligatures w14:val="none"/>
              </w:rPr>
              <w:t xml:space="preserve"> (negative binomial GLM)</w:t>
            </w:r>
          </w:p>
        </w:tc>
        <w:tc>
          <w:tcPr>
            <w:tcW w:w="874" w:type="pct"/>
            <w:gridSpan w:val="4"/>
            <w:tcBorders>
              <w:top w:val="single" w:sz="4" w:space="0" w:color="auto"/>
              <w:left w:val="nil"/>
              <w:bottom w:val="single" w:sz="4" w:space="0" w:color="auto"/>
              <w:right w:val="single" w:sz="4" w:space="0" w:color="000000"/>
            </w:tcBorders>
            <w:shd w:val="clear" w:color="000000" w:fill="D9D9D9"/>
            <w:hideMark/>
          </w:tcPr>
          <w:p w14:paraId="4E46CBD2" w14:textId="61029616" w:rsidR="00163DAF" w:rsidRPr="00D0522C" w:rsidRDefault="00163DAF" w:rsidP="00163DAF">
            <w:pPr>
              <w:spacing w:after="0" w:line="240" w:lineRule="auto"/>
              <w:rPr>
                <w:rFonts w:ascii="Arial" w:eastAsia="Times New Roman" w:hAnsi="Arial" w:cs="Arial"/>
                <w:b/>
                <w:bCs/>
                <w:color w:val="000000"/>
                <w:kern w:val="0"/>
                <w:sz w:val="14"/>
                <w:szCs w:val="14"/>
                <w:lang w:val="en-GB" w:eastAsia="fr-FR"/>
                <w14:ligatures w14:val="none"/>
              </w:rPr>
            </w:pPr>
            <w:proofErr w:type="gramStart"/>
            <w:r w:rsidRPr="00D0522C">
              <w:rPr>
                <w:rFonts w:ascii="Arial" w:eastAsia="Times New Roman" w:hAnsi="Arial" w:cs="Arial"/>
                <w:b/>
                <w:bCs/>
                <w:color w:val="000000"/>
                <w:kern w:val="0"/>
                <w:sz w:val="14"/>
                <w:szCs w:val="14"/>
                <w:lang w:val="en-GB" w:eastAsia="fr-FR"/>
                <w14:ligatures w14:val="none"/>
              </w:rPr>
              <w:t>Genus</w:t>
            </w:r>
            <w:proofErr w:type="gramEnd"/>
            <w:r w:rsidRPr="00D0522C">
              <w:rPr>
                <w:rFonts w:ascii="Arial" w:eastAsia="Times New Roman" w:hAnsi="Arial" w:cs="Arial"/>
                <w:b/>
                <w:bCs/>
                <w:color w:val="000000"/>
                <w:kern w:val="0"/>
                <w:sz w:val="14"/>
                <w:szCs w:val="14"/>
                <w:lang w:val="en-GB" w:eastAsia="fr-FR"/>
                <w14:ligatures w14:val="none"/>
              </w:rPr>
              <w:t xml:space="preserve"> level</w:t>
            </w:r>
            <w:r w:rsidR="003D1778" w:rsidRPr="00D0522C">
              <w:rPr>
                <w:rFonts w:ascii="Arial" w:eastAsia="Times New Roman" w:hAnsi="Arial" w:cs="Arial"/>
                <w:b/>
                <w:bCs/>
                <w:color w:val="000000"/>
                <w:kern w:val="0"/>
                <w:sz w:val="14"/>
                <w:szCs w:val="14"/>
                <w:lang w:val="en-GB" w:eastAsia="fr-FR"/>
                <w14:ligatures w14:val="none"/>
              </w:rPr>
              <w:t xml:space="preserve"> (negative binomial GLMM)</w:t>
            </w:r>
          </w:p>
        </w:tc>
        <w:tc>
          <w:tcPr>
            <w:tcW w:w="928" w:type="pct"/>
            <w:gridSpan w:val="4"/>
            <w:tcBorders>
              <w:top w:val="single" w:sz="4" w:space="0" w:color="auto"/>
              <w:left w:val="nil"/>
              <w:bottom w:val="single" w:sz="4" w:space="0" w:color="auto"/>
              <w:right w:val="single" w:sz="4" w:space="0" w:color="000000"/>
            </w:tcBorders>
            <w:shd w:val="clear" w:color="000000" w:fill="D9D9D9"/>
            <w:hideMark/>
          </w:tcPr>
          <w:p w14:paraId="0D06274F" w14:textId="55DD5690" w:rsidR="00163DAF" w:rsidRPr="00D0522C" w:rsidRDefault="00163DAF" w:rsidP="00163DAF">
            <w:pPr>
              <w:spacing w:after="0" w:line="240" w:lineRule="auto"/>
              <w:rPr>
                <w:rFonts w:ascii="Arial" w:eastAsia="Times New Roman" w:hAnsi="Arial" w:cs="Arial"/>
                <w:b/>
                <w:bCs/>
                <w:color w:val="000000"/>
                <w:kern w:val="0"/>
                <w:sz w:val="14"/>
                <w:szCs w:val="14"/>
                <w:lang w:val="en-GB" w:eastAsia="fr-FR"/>
                <w14:ligatures w14:val="none"/>
              </w:rPr>
            </w:pPr>
            <w:r w:rsidRPr="00D0522C">
              <w:rPr>
                <w:rFonts w:ascii="Arial" w:eastAsia="Times New Roman" w:hAnsi="Arial" w:cs="Arial"/>
                <w:b/>
                <w:bCs/>
                <w:color w:val="000000"/>
                <w:kern w:val="0"/>
                <w:sz w:val="14"/>
                <w:szCs w:val="14"/>
                <w:lang w:val="en-GB" w:eastAsia="fr-FR"/>
                <w14:ligatures w14:val="none"/>
              </w:rPr>
              <w:t>Family level</w:t>
            </w:r>
            <w:r w:rsidR="003D1778" w:rsidRPr="00D0522C">
              <w:rPr>
                <w:rFonts w:ascii="Arial" w:eastAsia="Times New Roman" w:hAnsi="Arial" w:cs="Arial"/>
                <w:b/>
                <w:bCs/>
                <w:color w:val="000000"/>
                <w:kern w:val="0"/>
                <w:sz w:val="14"/>
                <w:szCs w:val="14"/>
                <w:lang w:val="en-GB" w:eastAsia="fr-FR"/>
                <w14:ligatures w14:val="none"/>
              </w:rPr>
              <w:t xml:space="preserve"> (negative binomial GLMM)</w:t>
            </w:r>
          </w:p>
        </w:tc>
        <w:tc>
          <w:tcPr>
            <w:tcW w:w="928" w:type="pct"/>
            <w:gridSpan w:val="4"/>
            <w:tcBorders>
              <w:top w:val="single" w:sz="4" w:space="0" w:color="auto"/>
              <w:left w:val="nil"/>
              <w:bottom w:val="single" w:sz="4" w:space="0" w:color="auto"/>
              <w:right w:val="single" w:sz="4" w:space="0" w:color="000000"/>
            </w:tcBorders>
            <w:shd w:val="clear" w:color="000000" w:fill="D9D9D9"/>
            <w:hideMark/>
          </w:tcPr>
          <w:p w14:paraId="401ECA61" w14:textId="130944FE" w:rsidR="00163DAF" w:rsidRPr="00D0522C" w:rsidRDefault="00163DAF" w:rsidP="00163DAF">
            <w:pPr>
              <w:spacing w:after="0" w:line="240" w:lineRule="auto"/>
              <w:rPr>
                <w:rFonts w:ascii="Arial" w:eastAsia="Times New Roman" w:hAnsi="Arial" w:cs="Arial"/>
                <w:b/>
                <w:bCs/>
                <w:color w:val="000000"/>
                <w:kern w:val="0"/>
                <w:sz w:val="14"/>
                <w:szCs w:val="14"/>
                <w:lang w:val="en-GB" w:eastAsia="fr-FR"/>
                <w14:ligatures w14:val="none"/>
              </w:rPr>
            </w:pPr>
            <w:r w:rsidRPr="00D0522C">
              <w:rPr>
                <w:rFonts w:ascii="Arial" w:eastAsia="Times New Roman" w:hAnsi="Arial" w:cs="Arial"/>
                <w:b/>
                <w:bCs/>
                <w:color w:val="000000"/>
                <w:kern w:val="0"/>
                <w:sz w:val="14"/>
                <w:szCs w:val="14"/>
                <w:lang w:val="en-GB" w:eastAsia="fr-FR"/>
                <w14:ligatures w14:val="none"/>
              </w:rPr>
              <w:t>Order level</w:t>
            </w:r>
            <w:r w:rsidR="003D1778" w:rsidRPr="00D0522C">
              <w:rPr>
                <w:rFonts w:ascii="Arial" w:eastAsia="Times New Roman" w:hAnsi="Arial" w:cs="Arial"/>
                <w:b/>
                <w:bCs/>
                <w:color w:val="000000"/>
                <w:kern w:val="0"/>
                <w:sz w:val="14"/>
                <w:szCs w:val="14"/>
                <w:lang w:val="en-GB" w:eastAsia="fr-FR"/>
                <w14:ligatures w14:val="none"/>
              </w:rPr>
              <w:t xml:space="preserve"> (negative binomial GLMM)</w:t>
            </w:r>
          </w:p>
        </w:tc>
      </w:tr>
      <w:tr w:rsidR="003D1778" w:rsidRPr="00D0522C" w14:paraId="7567F556" w14:textId="77777777" w:rsidTr="00F52561">
        <w:trPr>
          <w:trHeight w:val="300"/>
          <w:jc w:val="center"/>
        </w:trPr>
        <w:tc>
          <w:tcPr>
            <w:tcW w:w="394" w:type="pct"/>
            <w:tcBorders>
              <w:top w:val="single" w:sz="8" w:space="0" w:color="auto"/>
              <w:left w:val="single" w:sz="8" w:space="0" w:color="auto"/>
              <w:bottom w:val="single" w:sz="8" w:space="0" w:color="auto"/>
              <w:right w:val="single" w:sz="4" w:space="0" w:color="auto"/>
            </w:tcBorders>
            <w:shd w:val="clear" w:color="auto" w:fill="auto"/>
            <w:hideMark/>
          </w:tcPr>
          <w:p w14:paraId="0C5C6E10"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spellStart"/>
            <w:r w:rsidRPr="00D0522C">
              <w:rPr>
                <w:rFonts w:ascii="Arial" w:eastAsia="Times New Roman" w:hAnsi="Arial" w:cs="Arial"/>
                <w:b/>
                <w:bCs/>
                <w:color w:val="000000"/>
                <w:kern w:val="0"/>
                <w:sz w:val="14"/>
                <w:szCs w:val="14"/>
                <w:lang w:eastAsia="fr-FR"/>
                <w14:ligatures w14:val="none"/>
              </w:rPr>
              <w:t>Predictors</w:t>
            </w:r>
            <w:proofErr w:type="spellEnd"/>
          </w:p>
        </w:tc>
        <w:tc>
          <w:tcPr>
            <w:tcW w:w="236" w:type="pct"/>
            <w:tcBorders>
              <w:top w:val="single" w:sz="8" w:space="0" w:color="auto"/>
              <w:left w:val="nil"/>
              <w:bottom w:val="single" w:sz="8" w:space="0" w:color="auto"/>
              <w:right w:val="nil"/>
            </w:tcBorders>
            <w:shd w:val="clear" w:color="auto" w:fill="auto"/>
            <w:hideMark/>
          </w:tcPr>
          <w:p w14:paraId="50F71FEC"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spellStart"/>
            <w:r w:rsidRPr="00D0522C">
              <w:rPr>
                <w:rFonts w:ascii="Arial" w:eastAsia="Times New Roman" w:hAnsi="Arial" w:cs="Arial"/>
                <w:b/>
                <w:bCs/>
                <w:color w:val="000000"/>
                <w:kern w:val="0"/>
                <w:sz w:val="14"/>
                <w:szCs w:val="14"/>
                <w:lang w:eastAsia="fr-FR"/>
                <w14:ligatures w14:val="none"/>
              </w:rPr>
              <w:t>Estimate</w:t>
            </w:r>
            <w:proofErr w:type="spellEnd"/>
          </w:p>
        </w:tc>
        <w:tc>
          <w:tcPr>
            <w:tcW w:w="236" w:type="pct"/>
            <w:tcBorders>
              <w:top w:val="single" w:sz="8" w:space="0" w:color="auto"/>
              <w:left w:val="nil"/>
              <w:bottom w:val="single" w:sz="8" w:space="0" w:color="auto"/>
              <w:right w:val="nil"/>
            </w:tcBorders>
            <w:shd w:val="clear" w:color="auto" w:fill="auto"/>
            <w:hideMark/>
          </w:tcPr>
          <w:p w14:paraId="33907ED8"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xml:space="preserve">Std. </w:t>
            </w:r>
            <w:proofErr w:type="spellStart"/>
            <w:r w:rsidRPr="00D0522C">
              <w:rPr>
                <w:rFonts w:ascii="Arial" w:eastAsia="Times New Roman" w:hAnsi="Arial" w:cs="Arial"/>
                <w:b/>
                <w:bCs/>
                <w:color w:val="000000"/>
                <w:kern w:val="0"/>
                <w:sz w:val="14"/>
                <w:szCs w:val="14"/>
                <w:lang w:eastAsia="fr-FR"/>
                <w14:ligatures w14:val="none"/>
              </w:rPr>
              <w:t>Error</w:t>
            </w:r>
            <w:proofErr w:type="spellEnd"/>
          </w:p>
        </w:tc>
        <w:tc>
          <w:tcPr>
            <w:tcW w:w="229" w:type="pct"/>
            <w:tcBorders>
              <w:top w:val="single" w:sz="8" w:space="0" w:color="auto"/>
              <w:left w:val="nil"/>
              <w:bottom w:val="single" w:sz="8" w:space="0" w:color="auto"/>
              <w:right w:val="nil"/>
            </w:tcBorders>
            <w:shd w:val="clear" w:color="auto" w:fill="auto"/>
            <w:hideMark/>
          </w:tcPr>
          <w:p w14:paraId="495F03B4"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z</w:t>
            </w:r>
            <w:proofErr w:type="gramEnd"/>
            <w:r w:rsidRPr="00D0522C">
              <w:rPr>
                <w:rFonts w:ascii="Arial" w:eastAsia="Times New Roman" w:hAnsi="Arial" w:cs="Arial"/>
                <w:b/>
                <w:bCs/>
                <w:color w:val="000000"/>
                <w:kern w:val="0"/>
                <w:sz w:val="14"/>
                <w:szCs w:val="14"/>
                <w:lang w:eastAsia="fr-FR"/>
                <w14:ligatures w14:val="none"/>
              </w:rPr>
              <w:t xml:space="preserve"> value</w:t>
            </w:r>
          </w:p>
        </w:tc>
        <w:tc>
          <w:tcPr>
            <w:tcW w:w="226" w:type="pct"/>
            <w:tcBorders>
              <w:top w:val="single" w:sz="8" w:space="0" w:color="auto"/>
              <w:left w:val="nil"/>
              <w:bottom w:val="single" w:sz="8" w:space="0" w:color="auto"/>
              <w:right w:val="single" w:sz="4" w:space="0" w:color="auto"/>
            </w:tcBorders>
            <w:shd w:val="clear" w:color="auto" w:fill="auto"/>
            <w:hideMark/>
          </w:tcPr>
          <w:p w14:paraId="5D1DE50F"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p</w:t>
            </w:r>
            <w:proofErr w:type="gramEnd"/>
          </w:p>
        </w:tc>
        <w:tc>
          <w:tcPr>
            <w:tcW w:w="236" w:type="pct"/>
            <w:tcBorders>
              <w:top w:val="single" w:sz="8" w:space="0" w:color="auto"/>
              <w:left w:val="nil"/>
              <w:bottom w:val="single" w:sz="8" w:space="0" w:color="auto"/>
              <w:right w:val="nil"/>
            </w:tcBorders>
            <w:shd w:val="clear" w:color="auto" w:fill="auto"/>
            <w:hideMark/>
          </w:tcPr>
          <w:p w14:paraId="5EE95407"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spellStart"/>
            <w:r w:rsidRPr="00D0522C">
              <w:rPr>
                <w:rFonts w:ascii="Arial" w:eastAsia="Times New Roman" w:hAnsi="Arial" w:cs="Arial"/>
                <w:b/>
                <w:bCs/>
                <w:color w:val="000000"/>
                <w:kern w:val="0"/>
                <w:sz w:val="14"/>
                <w:szCs w:val="14"/>
                <w:lang w:eastAsia="fr-FR"/>
                <w14:ligatures w14:val="none"/>
              </w:rPr>
              <w:t>Estimate</w:t>
            </w:r>
            <w:proofErr w:type="spellEnd"/>
          </w:p>
        </w:tc>
        <w:tc>
          <w:tcPr>
            <w:tcW w:w="257" w:type="pct"/>
            <w:tcBorders>
              <w:top w:val="single" w:sz="8" w:space="0" w:color="auto"/>
              <w:left w:val="nil"/>
              <w:bottom w:val="single" w:sz="8" w:space="0" w:color="auto"/>
              <w:right w:val="nil"/>
            </w:tcBorders>
            <w:shd w:val="clear" w:color="auto" w:fill="auto"/>
            <w:noWrap/>
            <w:hideMark/>
          </w:tcPr>
          <w:p w14:paraId="384979BE"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xml:space="preserve">Std. </w:t>
            </w:r>
            <w:proofErr w:type="spellStart"/>
            <w:r w:rsidRPr="00D0522C">
              <w:rPr>
                <w:rFonts w:ascii="Arial" w:eastAsia="Times New Roman" w:hAnsi="Arial" w:cs="Arial"/>
                <w:b/>
                <w:bCs/>
                <w:color w:val="000000"/>
                <w:kern w:val="0"/>
                <w:sz w:val="14"/>
                <w:szCs w:val="14"/>
                <w:lang w:eastAsia="fr-FR"/>
                <w14:ligatures w14:val="none"/>
              </w:rPr>
              <w:t>Error</w:t>
            </w:r>
            <w:proofErr w:type="spellEnd"/>
          </w:p>
        </w:tc>
        <w:tc>
          <w:tcPr>
            <w:tcW w:w="229" w:type="pct"/>
            <w:tcBorders>
              <w:top w:val="single" w:sz="8" w:space="0" w:color="auto"/>
              <w:left w:val="nil"/>
              <w:bottom w:val="single" w:sz="8" w:space="0" w:color="auto"/>
              <w:right w:val="nil"/>
            </w:tcBorders>
            <w:shd w:val="clear" w:color="auto" w:fill="auto"/>
            <w:noWrap/>
            <w:hideMark/>
          </w:tcPr>
          <w:p w14:paraId="75D048C2"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z</w:t>
            </w:r>
            <w:proofErr w:type="gramEnd"/>
            <w:r w:rsidRPr="00D0522C">
              <w:rPr>
                <w:rFonts w:ascii="Arial" w:eastAsia="Times New Roman" w:hAnsi="Arial" w:cs="Arial"/>
                <w:b/>
                <w:bCs/>
                <w:color w:val="000000"/>
                <w:kern w:val="0"/>
                <w:sz w:val="14"/>
                <w:szCs w:val="14"/>
                <w:lang w:eastAsia="fr-FR"/>
                <w14:ligatures w14:val="none"/>
              </w:rPr>
              <w:t xml:space="preserve"> value</w:t>
            </w:r>
          </w:p>
        </w:tc>
        <w:tc>
          <w:tcPr>
            <w:tcW w:w="226" w:type="pct"/>
            <w:tcBorders>
              <w:top w:val="single" w:sz="8" w:space="0" w:color="auto"/>
              <w:left w:val="nil"/>
              <w:bottom w:val="single" w:sz="8" w:space="0" w:color="auto"/>
              <w:right w:val="single" w:sz="4" w:space="0" w:color="auto"/>
            </w:tcBorders>
            <w:shd w:val="clear" w:color="auto" w:fill="auto"/>
            <w:hideMark/>
          </w:tcPr>
          <w:p w14:paraId="52843967"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p</w:t>
            </w:r>
            <w:proofErr w:type="gramEnd"/>
          </w:p>
        </w:tc>
        <w:tc>
          <w:tcPr>
            <w:tcW w:w="236" w:type="pct"/>
            <w:tcBorders>
              <w:top w:val="single" w:sz="8" w:space="0" w:color="auto"/>
              <w:left w:val="nil"/>
              <w:bottom w:val="single" w:sz="8" w:space="0" w:color="auto"/>
              <w:right w:val="nil"/>
            </w:tcBorders>
            <w:shd w:val="clear" w:color="auto" w:fill="auto"/>
            <w:hideMark/>
          </w:tcPr>
          <w:p w14:paraId="359B193B"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spellStart"/>
            <w:r w:rsidRPr="00D0522C">
              <w:rPr>
                <w:rFonts w:ascii="Arial" w:eastAsia="Times New Roman" w:hAnsi="Arial" w:cs="Arial"/>
                <w:b/>
                <w:bCs/>
                <w:color w:val="000000"/>
                <w:kern w:val="0"/>
                <w:sz w:val="14"/>
                <w:szCs w:val="14"/>
                <w:lang w:eastAsia="fr-FR"/>
                <w14:ligatures w14:val="none"/>
              </w:rPr>
              <w:t>Estimate</w:t>
            </w:r>
            <w:proofErr w:type="spellEnd"/>
          </w:p>
        </w:tc>
        <w:tc>
          <w:tcPr>
            <w:tcW w:w="236" w:type="pct"/>
            <w:tcBorders>
              <w:top w:val="single" w:sz="8" w:space="0" w:color="auto"/>
              <w:left w:val="nil"/>
              <w:bottom w:val="single" w:sz="8" w:space="0" w:color="auto"/>
              <w:right w:val="nil"/>
            </w:tcBorders>
            <w:shd w:val="clear" w:color="auto" w:fill="auto"/>
            <w:hideMark/>
          </w:tcPr>
          <w:p w14:paraId="1A23CD18"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xml:space="preserve">Std. </w:t>
            </w:r>
            <w:proofErr w:type="spellStart"/>
            <w:r w:rsidRPr="00D0522C">
              <w:rPr>
                <w:rFonts w:ascii="Arial" w:eastAsia="Times New Roman" w:hAnsi="Arial" w:cs="Arial"/>
                <w:b/>
                <w:bCs/>
                <w:color w:val="000000"/>
                <w:kern w:val="0"/>
                <w:sz w:val="14"/>
                <w:szCs w:val="14"/>
                <w:lang w:eastAsia="fr-FR"/>
                <w14:ligatures w14:val="none"/>
              </w:rPr>
              <w:t>Error</w:t>
            </w:r>
            <w:proofErr w:type="spellEnd"/>
          </w:p>
        </w:tc>
        <w:tc>
          <w:tcPr>
            <w:tcW w:w="175" w:type="pct"/>
            <w:tcBorders>
              <w:top w:val="single" w:sz="8" w:space="0" w:color="auto"/>
              <w:left w:val="nil"/>
              <w:bottom w:val="single" w:sz="8" w:space="0" w:color="auto"/>
              <w:right w:val="nil"/>
            </w:tcBorders>
            <w:shd w:val="clear" w:color="auto" w:fill="auto"/>
            <w:hideMark/>
          </w:tcPr>
          <w:p w14:paraId="6A7FD155"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z</w:t>
            </w:r>
            <w:proofErr w:type="gramEnd"/>
            <w:r w:rsidRPr="00D0522C">
              <w:rPr>
                <w:rFonts w:ascii="Arial" w:eastAsia="Times New Roman" w:hAnsi="Arial" w:cs="Arial"/>
                <w:b/>
                <w:bCs/>
                <w:color w:val="000000"/>
                <w:kern w:val="0"/>
                <w:sz w:val="14"/>
                <w:szCs w:val="14"/>
                <w:lang w:eastAsia="fr-FR"/>
                <w14:ligatures w14:val="none"/>
              </w:rPr>
              <w:t xml:space="preserve"> value</w:t>
            </w:r>
          </w:p>
        </w:tc>
        <w:tc>
          <w:tcPr>
            <w:tcW w:w="226" w:type="pct"/>
            <w:tcBorders>
              <w:top w:val="single" w:sz="8" w:space="0" w:color="auto"/>
              <w:left w:val="nil"/>
              <w:bottom w:val="single" w:sz="8" w:space="0" w:color="auto"/>
              <w:right w:val="single" w:sz="4" w:space="0" w:color="auto"/>
            </w:tcBorders>
            <w:shd w:val="clear" w:color="auto" w:fill="auto"/>
            <w:hideMark/>
          </w:tcPr>
          <w:p w14:paraId="448E8BE3"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p</w:t>
            </w:r>
            <w:proofErr w:type="gramEnd"/>
          </w:p>
        </w:tc>
        <w:tc>
          <w:tcPr>
            <w:tcW w:w="236" w:type="pct"/>
            <w:tcBorders>
              <w:top w:val="single" w:sz="8" w:space="0" w:color="auto"/>
              <w:left w:val="nil"/>
              <w:bottom w:val="single" w:sz="8" w:space="0" w:color="auto"/>
              <w:right w:val="nil"/>
            </w:tcBorders>
            <w:shd w:val="clear" w:color="auto" w:fill="auto"/>
            <w:hideMark/>
          </w:tcPr>
          <w:p w14:paraId="2B994D6C"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spellStart"/>
            <w:r w:rsidRPr="00D0522C">
              <w:rPr>
                <w:rFonts w:ascii="Arial" w:eastAsia="Times New Roman" w:hAnsi="Arial" w:cs="Arial"/>
                <w:b/>
                <w:bCs/>
                <w:color w:val="000000"/>
                <w:kern w:val="0"/>
                <w:sz w:val="14"/>
                <w:szCs w:val="14"/>
                <w:lang w:eastAsia="fr-FR"/>
                <w14:ligatures w14:val="none"/>
              </w:rPr>
              <w:t>Estimate</w:t>
            </w:r>
            <w:proofErr w:type="spellEnd"/>
          </w:p>
        </w:tc>
        <w:tc>
          <w:tcPr>
            <w:tcW w:w="236" w:type="pct"/>
            <w:tcBorders>
              <w:top w:val="single" w:sz="8" w:space="0" w:color="auto"/>
              <w:left w:val="nil"/>
              <w:bottom w:val="single" w:sz="8" w:space="0" w:color="auto"/>
              <w:right w:val="nil"/>
            </w:tcBorders>
            <w:shd w:val="clear" w:color="auto" w:fill="auto"/>
            <w:hideMark/>
          </w:tcPr>
          <w:p w14:paraId="333BE66D"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xml:space="preserve">Std. </w:t>
            </w:r>
            <w:proofErr w:type="spellStart"/>
            <w:r w:rsidRPr="00D0522C">
              <w:rPr>
                <w:rFonts w:ascii="Arial" w:eastAsia="Times New Roman" w:hAnsi="Arial" w:cs="Arial"/>
                <w:b/>
                <w:bCs/>
                <w:color w:val="000000"/>
                <w:kern w:val="0"/>
                <w:sz w:val="14"/>
                <w:szCs w:val="14"/>
                <w:lang w:eastAsia="fr-FR"/>
                <w14:ligatures w14:val="none"/>
              </w:rPr>
              <w:t>Error</w:t>
            </w:r>
            <w:proofErr w:type="spellEnd"/>
          </w:p>
        </w:tc>
        <w:tc>
          <w:tcPr>
            <w:tcW w:w="229" w:type="pct"/>
            <w:tcBorders>
              <w:top w:val="single" w:sz="8" w:space="0" w:color="auto"/>
              <w:left w:val="nil"/>
              <w:bottom w:val="single" w:sz="8" w:space="0" w:color="auto"/>
              <w:right w:val="nil"/>
            </w:tcBorders>
            <w:shd w:val="clear" w:color="auto" w:fill="auto"/>
            <w:hideMark/>
          </w:tcPr>
          <w:p w14:paraId="1C03B44C"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z</w:t>
            </w:r>
            <w:proofErr w:type="gramEnd"/>
            <w:r w:rsidRPr="00D0522C">
              <w:rPr>
                <w:rFonts w:ascii="Arial" w:eastAsia="Times New Roman" w:hAnsi="Arial" w:cs="Arial"/>
                <w:b/>
                <w:bCs/>
                <w:color w:val="000000"/>
                <w:kern w:val="0"/>
                <w:sz w:val="14"/>
                <w:szCs w:val="14"/>
                <w:lang w:eastAsia="fr-FR"/>
                <w14:ligatures w14:val="none"/>
              </w:rPr>
              <w:t xml:space="preserve"> value</w:t>
            </w:r>
          </w:p>
        </w:tc>
        <w:tc>
          <w:tcPr>
            <w:tcW w:w="226" w:type="pct"/>
            <w:tcBorders>
              <w:top w:val="single" w:sz="8" w:space="0" w:color="auto"/>
              <w:left w:val="nil"/>
              <w:bottom w:val="single" w:sz="8" w:space="0" w:color="auto"/>
              <w:right w:val="single" w:sz="4" w:space="0" w:color="auto"/>
            </w:tcBorders>
            <w:shd w:val="clear" w:color="auto" w:fill="auto"/>
            <w:hideMark/>
          </w:tcPr>
          <w:p w14:paraId="55289323"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p</w:t>
            </w:r>
            <w:proofErr w:type="gramEnd"/>
          </w:p>
        </w:tc>
        <w:tc>
          <w:tcPr>
            <w:tcW w:w="236" w:type="pct"/>
            <w:tcBorders>
              <w:top w:val="single" w:sz="8" w:space="0" w:color="auto"/>
              <w:left w:val="nil"/>
              <w:bottom w:val="single" w:sz="8" w:space="0" w:color="auto"/>
              <w:right w:val="nil"/>
            </w:tcBorders>
            <w:shd w:val="clear" w:color="auto" w:fill="auto"/>
            <w:hideMark/>
          </w:tcPr>
          <w:p w14:paraId="10A18327"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spellStart"/>
            <w:r w:rsidRPr="00D0522C">
              <w:rPr>
                <w:rFonts w:ascii="Arial" w:eastAsia="Times New Roman" w:hAnsi="Arial" w:cs="Arial"/>
                <w:b/>
                <w:bCs/>
                <w:color w:val="000000"/>
                <w:kern w:val="0"/>
                <w:sz w:val="14"/>
                <w:szCs w:val="14"/>
                <w:lang w:eastAsia="fr-FR"/>
                <w14:ligatures w14:val="none"/>
              </w:rPr>
              <w:t>Estimate</w:t>
            </w:r>
            <w:proofErr w:type="spellEnd"/>
          </w:p>
        </w:tc>
        <w:tc>
          <w:tcPr>
            <w:tcW w:w="236" w:type="pct"/>
            <w:tcBorders>
              <w:top w:val="single" w:sz="8" w:space="0" w:color="auto"/>
              <w:left w:val="nil"/>
              <w:bottom w:val="single" w:sz="8" w:space="0" w:color="auto"/>
              <w:right w:val="nil"/>
            </w:tcBorders>
            <w:shd w:val="clear" w:color="auto" w:fill="auto"/>
            <w:hideMark/>
          </w:tcPr>
          <w:p w14:paraId="1F31360D"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xml:space="preserve">Std. </w:t>
            </w:r>
            <w:proofErr w:type="spellStart"/>
            <w:r w:rsidRPr="00D0522C">
              <w:rPr>
                <w:rFonts w:ascii="Arial" w:eastAsia="Times New Roman" w:hAnsi="Arial" w:cs="Arial"/>
                <w:b/>
                <w:bCs/>
                <w:color w:val="000000"/>
                <w:kern w:val="0"/>
                <w:sz w:val="14"/>
                <w:szCs w:val="14"/>
                <w:lang w:eastAsia="fr-FR"/>
                <w14:ligatures w14:val="none"/>
              </w:rPr>
              <w:t>Error</w:t>
            </w:r>
            <w:proofErr w:type="spellEnd"/>
          </w:p>
        </w:tc>
        <w:tc>
          <w:tcPr>
            <w:tcW w:w="229" w:type="pct"/>
            <w:tcBorders>
              <w:top w:val="single" w:sz="8" w:space="0" w:color="auto"/>
              <w:left w:val="nil"/>
              <w:bottom w:val="single" w:sz="8" w:space="0" w:color="auto"/>
              <w:right w:val="nil"/>
            </w:tcBorders>
            <w:shd w:val="clear" w:color="auto" w:fill="auto"/>
            <w:hideMark/>
          </w:tcPr>
          <w:p w14:paraId="3DF3641E"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z</w:t>
            </w:r>
            <w:proofErr w:type="gramEnd"/>
            <w:r w:rsidRPr="00D0522C">
              <w:rPr>
                <w:rFonts w:ascii="Arial" w:eastAsia="Times New Roman" w:hAnsi="Arial" w:cs="Arial"/>
                <w:b/>
                <w:bCs/>
                <w:color w:val="000000"/>
                <w:kern w:val="0"/>
                <w:sz w:val="14"/>
                <w:szCs w:val="14"/>
                <w:lang w:eastAsia="fr-FR"/>
                <w14:ligatures w14:val="none"/>
              </w:rPr>
              <w:t xml:space="preserve"> value</w:t>
            </w:r>
          </w:p>
        </w:tc>
        <w:tc>
          <w:tcPr>
            <w:tcW w:w="226" w:type="pct"/>
            <w:tcBorders>
              <w:top w:val="single" w:sz="8" w:space="0" w:color="auto"/>
              <w:left w:val="nil"/>
              <w:bottom w:val="single" w:sz="8" w:space="0" w:color="auto"/>
              <w:right w:val="single" w:sz="4" w:space="0" w:color="auto"/>
            </w:tcBorders>
            <w:shd w:val="clear" w:color="auto" w:fill="auto"/>
            <w:hideMark/>
          </w:tcPr>
          <w:p w14:paraId="3D54B31B"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gramStart"/>
            <w:r w:rsidRPr="00D0522C">
              <w:rPr>
                <w:rFonts w:ascii="Arial" w:eastAsia="Times New Roman" w:hAnsi="Arial" w:cs="Arial"/>
                <w:b/>
                <w:bCs/>
                <w:color w:val="000000"/>
                <w:kern w:val="0"/>
                <w:sz w:val="14"/>
                <w:szCs w:val="14"/>
                <w:lang w:eastAsia="fr-FR"/>
                <w14:ligatures w14:val="none"/>
              </w:rPr>
              <w:t>p</w:t>
            </w:r>
            <w:proofErr w:type="gramEnd"/>
          </w:p>
        </w:tc>
      </w:tr>
      <w:tr w:rsidR="003D1778" w:rsidRPr="00D0522C" w14:paraId="33E53FF5" w14:textId="77777777" w:rsidTr="00F52561">
        <w:trPr>
          <w:trHeight w:val="288"/>
          <w:jc w:val="center"/>
        </w:trPr>
        <w:tc>
          <w:tcPr>
            <w:tcW w:w="394" w:type="pct"/>
            <w:tcBorders>
              <w:top w:val="nil"/>
              <w:left w:val="single" w:sz="4" w:space="0" w:color="auto"/>
              <w:bottom w:val="nil"/>
              <w:right w:val="single" w:sz="4" w:space="0" w:color="auto"/>
            </w:tcBorders>
            <w:shd w:val="clear" w:color="auto" w:fill="auto"/>
            <w:hideMark/>
          </w:tcPr>
          <w:p w14:paraId="303BDEFA"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nil"/>
              <w:right w:val="nil"/>
            </w:tcBorders>
            <w:shd w:val="clear" w:color="auto" w:fill="auto"/>
            <w:noWrap/>
            <w:hideMark/>
          </w:tcPr>
          <w:p w14:paraId="03E5E4AE" w14:textId="77774E14"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3.057</w:t>
            </w:r>
          </w:p>
        </w:tc>
        <w:tc>
          <w:tcPr>
            <w:tcW w:w="236" w:type="pct"/>
            <w:tcBorders>
              <w:top w:val="nil"/>
              <w:left w:val="nil"/>
              <w:bottom w:val="nil"/>
              <w:right w:val="nil"/>
            </w:tcBorders>
            <w:shd w:val="clear" w:color="auto" w:fill="auto"/>
            <w:noWrap/>
            <w:hideMark/>
          </w:tcPr>
          <w:p w14:paraId="2582A21B" w14:textId="52614329"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0.374</w:t>
            </w:r>
          </w:p>
        </w:tc>
        <w:tc>
          <w:tcPr>
            <w:tcW w:w="229" w:type="pct"/>
            <w:tcBorders>
              <w:top w:val="nil"/>
              <w:left w:val="nil"/>
              <w:bottom w:val="nil"/>
              <w:right w:val="nil"/>
            </w:tcBorders>
            <w:shd w:val="clear" w:color="auto" w:fill="auto"/>
            <w:noWrap/>
            <w:hideMark/>
          </w:tcPr>
          <w:p w14:paraId="1F91B6CF"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8.178</w:t>
            </w:r>
          </w:p>
        </w:tc>
        <w:tc>
          <w:tcPr>
            <w:tcW w:w="226" w:type="pct"/>
            <w:tcBorders>
              <w:top w:val="nil"/>
              <w:left w:val="nil"/>
              <w:bottom w:val="nil"/>
              <w:right w:val="single" w:sz="4" w:space="0" w:color="auto"/>
            </w:tcBorders>
            <w:shd w:val="clear" w:color="auto" w:fill="auto"/>
            <w:noWrap/>
            <w:hideMark/>
          </w:tcPr>
          <w:p w14:paraId="341EE43D"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2.88e-16</w:t>
            </w:r>
          </w:p>
        </w:tc>
        <w:tc>
          <w:tcPr>
            <w:tcW w:w="236" w:type="pct"/>
            <w:tcBorders>
              <w:top w:val="nil"/>
              <w:left w:val="nil"/>
              <w:bottom w:val="nil"/>
              <w:right w:val="nil"/>
            </w:tcBorders>
            <w:shd w:val="clear" w:color="auto" w:fill="auto"/>
            <w:noWrap/>
            <w:hideMark/>
          </w:tcPr>
          <w:p w14:paraId="2026C51D" w14:textId="49C5281A"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0.908</w:t>
            </w:r>
          </w:p>
        </w:tc>
        <w:tc>
          <w:tcPr>
            <w:tcW w:w="257" w:type="pct"/>
            <w:tcBorders>
              <w:top w:val="nil"/>
              <w:left w:val="nil"/>
              <w:bottom w:val="nil"/>
              <w:right w:val="nil"/>
            </w:tcBorders>
            <w:shd w:val="clear" w:color="auto" w:fill="auto"/>
            <w:noWrap/>
            <w:hideMark/>
          </w:tcPr>
          <w:p w14:paraId="0A64B1EB" w14:textId="7C232045"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0.260</w:t>
            </w:r>
          </w:p>
        </w:tc>
        <w:tc>
          <w:tcPr>
            <w:tcW w:w="229" w:type="pct"/>
            <w:tcBorders>
              <w:top w:val="nil"/>
              <w:left w:val="nil"/>
              <w:bottom w:val="nil"/>
              <w:right w:val="nil"/>
            </w:tcBorders>
            <w:shd w:val="clear" w:color="auto" w:fill="auto"/>
            <w:noWrap/>
            <w:hideMark/>
          </w:tcPr>
          <w:p w14:paraId="540A49AE"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3.494</w:t>
            </w:r>
          </w:p>
        </w:tc>
        <w:tc>
          <w:tcPr>
            <w:tcW w:w="226" w:type="pct"/>
            <w:tcBorders>
              <w:top w:val="nil"/>
              <w:left w:val="nil"/>
              <w:bottom w:val="nil"/>
              <w:right w:val="single" w:sz="4" w:space="0" w:color="auto"/>
            </w:tcBorders>
            <w:shd w:val="clear" w:color="auto" w:fill="auto"/>
            <w:noWrap/>
            <w:hideMark/>
          </w:tcPr>
          <w:p w14:paraId="29B972BA" w14:textId="302E5E20"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0.0004</w:t>
            </w:r>
          </w:p>
        </w:tc>
        <w:tc>
          <w:tcPr>
            <w:tcW w:w="236" w:type="pct"/>
            <w:tcBorders>
              <w:top w:val="nil"/>
              <w:left w:val="nil"/>
              <w:bottom w:val="nil"/>
              <w:right w:val="nil"/>
            </w:tcBorders>
            <w:shd w:val="clear" w:color="auto" w:fill="auto"/>
            <w:noWrap/>
            <w:hideMark/>
          </w:tcPr>
          <w:p w14:paraId="4A730D3B" w14:textId="6713FFEE"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2.59</w:t>
            </w:r>
            <w:r w:rsidR="003D1778" w:rsidRPr="00D0522C">
              <w:rPr>
                <w:rFonts w:ascii="Arial" w:eastAsia="Times New Roman" w:hAnsi="Arial" w:cs="Arial"/>
                <w:color w:val="000000"/>
                <w:kern w:val="0"/>
                <w:sz w:val="14"/>
                <w:szCs w:val="14"/>
                <w:lang w:eastAsia="fr-FR"/>
                <w14:ligatures w14:val="none"/>
              </w:rPr>
              <w:t>9</w:t>
            </w:r>
          </w:p>
        </w:tc>
        <w:tc>
          <w:tcPr>
            <w:tcW w:w="236" w:type="pct"/>
            <w:tcBorders>
              <w:top w:val="nil"/>
              <w:left w:val="nil"/>
              <w:bottom w:val="nil"/>
              <w:right w:val="nil"/>
            </w:tcBorders>
            <w:shd w:val="clear" w:color="auto" w:fill="auto"/>
            <w:noWrap/>
            <w:hideMark/>
          </w:tcPr>
          <w:p w14:paraId="3ACF6B19" w14:textId="1A8D6F32"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0.50</w:t>
            </w:r>
            <w:r w:rsidR="003D1778" w:rsidRPr="00D0522C">
              <w:rPr>
                <w:rFonts w:ascii="Arial" w:eastAsia="Times New Roman" w:hAnsi="Arial" w:cs="Arial"/>
                <w:color w:val="000000"/>
                <w:kern w:val="0"/>
                <w:sz w:val="14"/>
                <w:szCs w:val="14"/>
                <w:lang w:eastAsia="fr-FR"/>
                <w14:ligatures w14:val="none"/>
              </w:rPr>
              <w:t>4</w:t>
            </w:r>
          </w:p>
        </w:tc>
        <w:tc>
          <w:tcPr>
            <w:tcW w:w="175" w:type="pct"/>
            <w:tcBorders>
              <w:top w:val="nil"/>
              <w:left w:val="nil"/>
              <w:bottom w:val="nil"/>
              <w:right w:val="nil"/>
            </w:tcBorders>
            <w:shd w:val="clear" w:color="auto" w:fill="auto"/>
            <w:noWrap/>
            <w:hideMark/>
          </w:tcPr>
          <w:p w14:paraId="424C6FAE"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5.160</w:t>
            </w:r>
          </w:p>
        </w:tc>
        <w:tc>
          <w:tcPr>
            <w:tcW w:w="226" w:type="pct"/>
            <w:tcBorders>
              <w:top w:val="nil"/>
              <w:left w:val="nil"/>
              <w:bottom w:val="nil"/>
              <w:right w:val="single" w:sz="4" w:space="0" w:color="auto"/>
            </w:tcBorders>
            <w:shd w:val="clear" w:color="auto" w:fill="auto"/>
            <w:noWrap/>
            <w:hideMark/>
          </w:tcPr>
          <w:p w14:paraId="096538A3"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2.47e-07</w:t>
            </w:r>
          </w:p>
        </w:tc>
        <w:tc>
          <w:tcPr>
            <w:tcW w:w="236" w:type="pct"/>
            <w:tcBorders>
              <w:top w:val="nil"/>
              <w:left w:val="nil"/>
              <w:bottom w:val="nil"/>
              <w:right w:val="nil"/>
            </w:tcBorders>
            <w:shd w:val="clear" w:color="auto" w:fill="auto"/>
            <w:noWrap/>
            <w:hideMark/>
          </w:tcPr>
          <w:p w14:paraId="0B3A7134" w14:textId="08FEE16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0.23</w:t>
            </w:r>
            <w:r w:rsidR="003D1778" w:rsidRPr="00D0522C">
              <w:rPr>
                <w:rFonts w:ascii="Arial" w:eastAsia="Times New Roman" w:hAnsi="Arial" w:cs="Arial"/>
                <w:color w:val="000000"/>
                <w:kern w:val="0"/>
                <w:sz w:val="14"/>
                <w:szCs w:val="14"/>
                <w:lang w:eastAsia="fr-FR"/>
                <w14:ligatures w14:val="none"/>
              </w:rPr>
              <w:t>9</w:t>
            </w:r>
          </w:p>
        </w:tc>
        <w:tc>
          <w:tcPr>
            <w:tcW w:w="236" w:type="pct"/>
            <w:tcBorders>
              <w:top w:val="nil"/>
              <w:left w:val="nil"/>
              <w:bottom w:val="nil"/>
              <w:right w:val="nil"/>
            </w:tcBorders>
            <w:shd w:val="clear" w:color="auto" w:fill="auto"/>
            <w:noWrap/>
            <w:hideMark/>
          </w:tcPr>
          <w:p w14:paraId="5C157CE7" w14:textId="3264072C"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0.83</w:t>
            </w:r>
            <w:r w:rsidR="003D1778" w:rsidRPr="00D0522C">
              <w:rPr>
                <w:rFonts w:ascii="Arial" w:eastAsia="Times New Roman" w:hAnsi="Arial" w:cs="Arial"/>
                <w:color w:val="000000"/>
                <w:kern w:val="0"/>
                <w:sz w:val="14"/>
                <w:szCs w:val="14"/>
                <w:lang w:eastAsia="fr-FR"/>
                <w14:ligatures w14:val="none"/>
              </w:rPr>
              <w:t>9</w:t>
            </w:r>
          </w:p>
        </w:tc>
        <w:tc>
          <w:tcPr>
            <w:tcW w:w="229" w:type="pct"/>
            <w:tcBorders>
              <w:top w:val="nil"/>
              <w:left w:val="nil"/>
              <w:bottom w:val="nil"/>
              <w:right w:val="nil"/>
            </w:tcBorders>
            <w:shd w:val="clear" w:color="auto" w:fill="auto"/>
            <w:noWrap/>
            <w:hideMark/>
          </w:tcPr>
          <w:p w14:paraId="3F659FC8"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0.285</w:t>
            </w:r>
          </w:p>
        </w:tc>
        <w:tc>
          <w:tcPr>
            <w:tcW w:w="226" w:type="pct"/>
            <w:tcBorders>
              <w:top w:val="nil"/>
              <w:left w:val="nil"/>
              <w:bottom w:val="nil"/>
              <w:right w:val="single" w:sz="4" w:space="0" w:color="auto"/>
            </w:tcBorders>
            <w:shd w:val="clear" w:color="auto" w:fill="auto"/>
            <w:noWrap/>
            <w:hideMark/>
          </w:tcPr>
          <w:p w14:paraId="38AF8AC8"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0.776</w:t>
            </w:r>
          </w:p>
        </w:tc>
        <w:tc>
          <w:tcPr>
            <w:tcW w:w="236" w:type="pct"/>
            <w:tcBorders>
              <w:top w:val="nil"/>
              <w:left w:val="nil"/>
              <w:bottom w:val="nil"/>
              <w:right w:val="nil"/>
            </w:tcBorders>
            <w:shd w:val="clear" w:color="auto" w:fill="auto"/>
            <w:noWrap/>
            <w:hideMark/>
          </w:tcPr>
          <w:p w14:paraId="416BED4D" w14:textId="455E2E63"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0.72</w:t>
            </w:r>
            <w:r w:rsidR="003D1778" w:rsidRPr="00D0522C">
              <w:rPr>
                <w:rFonts w:ascii="Arial" w:eastAsia="Times New Roman" w:hAnsi="Arial" w:cs="Arial"/>
                <w:color w:val="000000"/>
                <w:kern w:val="0"/>
                <w:sz w:val="14"/>
                <w:szCs w:val="14"/>
                <w:lang w:eastAsia="fr-FR"/>
                <w14:ligatures w14:val="none"/>
              </w:rPr>
              <w:t>3</w:t>
            </w:r>
          </w:p>
        </w:tc>
        <w:tc>
          <w:tcPr>
            <w:tcW w:w="236" w:type="pct"/>
            <w:tcBorders>
              <w:top w:val="nil"/>
              <w:left w:val="nil"/>
              <w:bottom w:val="nil"/>
              <w:right w:val="nil"/>
            </w:tcBorders>
            <w:shd w:val="clear" w:color="auto" w:fill="auto"/>
            <w:noWrap/>
            <w:hideMark/>
          </w:tcPr>
          <w:p w14:paraId="647B8A39" w14:textId="3A922DCE"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0.314</w:t>
            </w:r>
          </w:p>
        </w:tc>
        <w:tc>
          <w:tcPr>
            <w:tcW w:w="229" w:type="pct"/>
            <w:tcBorders>
              <w:top w:val="nil"/>
              <w:left w:val="nil"/>
              <w:bottom w:val="nil"/>
              <w:right w:val="nil"/>
            </w:tcBorders>
            <w:shd w:val="clear" w:color="auto" w:fill="auto"/>
            <w:noWrap/>
            <w:hideMark/>
          </w:tcPr>
          <w:p w14:paraId="72729215"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2.302</w:t>
            </w:r>
          </w:p>
        </w:tc>
        <w:tc>
          <w:tcPr>
            <w:tcW w:w="226" w:type="pct"/>
            <w:tcBorders>
              <w:top w:val="nil"/>
              <w:left w:val="nil"/>
              <w:bottom w:val="nil"/>
              <w:right w:val="single" w:sz="4" w:space="0" w:color="auto"/>
            </w:tcBorders>
            <w:shd w:val="clear" w:color="auto" w:fill="auto"/>
            <w:noWrap/>
            <w:hideMark/>
          </w:tcPr>
          <w:p w14:paraId="305B269E" w14:textId="44CEEB60"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0.021</w:t>
            </w:r>
          </w:p>
        </w:tc>
      </w:tr>
      <w:tr w:rsidR="003D1778" w:rsidRPr="00D0522C" w14:paraId="71639315" w14:textId="77777777" w:rsidTr="00F52561">
        <w:trPr>
          <w:trHeight w:val="288"/>
          <w:jc w:val="center"/>
        </w:trPr>
        <w:tc>
          <w:tcPr>
            <w:tcW w:w="394" w:type="pct"/>
            <w:tcBorders>
              <w:top w:val="nil"/>
              <w:left w:val="single" w:sz="4" w:space="0" w:color="auto"/>
              <w:bottom w:val="nil"/>
              <w:right w:val="single" w:sz="4" w:space="0" w:color="auto"/>
            </w:tcBorders>
            <w:shd w:val="clear" w:color="auto" w:fill="auto"/>
            <w:hideMark/>
          </w:tcPr>
          <w:p w14:paraId="7CD37B8F" w14:textId="034A3259"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proofErr w:type="gramStart"/>
            <w:r w:rsidRPr="00D0522C">
              <w:rPr>
                <w:rFonts w:ascii="Arial" w:eastAsia="Times New Roman" w:hAnsi="Arial" w:cs="Arial"/>
                <w:color w:val="000000"/>
                <w:kern w:val="0"/>
                <w:sz w:val="14"/>
                <w:szCs w:val="14"/>
                <w:lang w:eastAsia="fr-FR"/>
                <w14:ligatures w14:val="none"/>
              </w:rPr>
              <w:t>time</w:t>
            </w:r>
            <w:proofErr w:type="gramEnd"/>
          </w:p>
        </w:tc>
        <w:tc>
          <w:tcPr>
            <w:tcW w:w="236" w:type="pct"/>
            <w:tcBorders>
              <w:top w:val="nil"/>
              <w:left w:val="nil"/>
              <w:bottom w:val="nil"/>
              <w:right w:val="nil"/>
            </w:tcBorders>
            <w:shd w:val="clear" w:color="auto" w:fill="auto"/>
            <w:noWrap/>
            <w:hideMark/>
          </w:tcPr>
          <w:p w14:paraId="583809D2" w14:textId="254CF06A"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-0.080</w:t>
            </w:r>
          </w:p>
        </w:tc>
        <w:tc>
          <w:tcPr>
            <w:tcW w:w="236" w:type="pct"/>
            <w:tcBorders>
              <w:top w:val="nil"/>
              <w:left w:val="nil"/>
              <w:bottom w:val="nil"/>
              <w:right w:val="nil"/>
            </w:tcBorders>
            <w:shd w:val="clear" w:color="auto" w:fill="auto"/>
            <w:noWrap/>
            <w:hideMark/>
          </w:tcPr>
          <w:p w14:paraId="78DD9447" w14:textId="2B388DB3"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0.007</w:t>
            </w:r>
          </w:p>
        </w:tc>
        <w:tc>
          <w:tcPr>
            <w:tcW w:w="229" w:type="pct"/>
            <w:tcBorders>
              <w:top w:val="nil"/>
              <w:left w:val="nil"/>
              <w:bottom w:val="nil"/>
              <w:right w:val="nil"/>
            </w:tcBorders>
            <w:shd w:val="clear" w:color="auto" w:fill="auto"/>
            <w:noWrap/>
            <w:hideMark/>
          </w:tcPr>
          <w:p w14:paraId="678E6393"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-11.122</w:t>
            </w:r>
          </w:p>
        </w:tc>
        <w:tc>
          <w:tcPr>
            <w:tcW w:w="226" w:type="pct"/>
            <w:tcBorders>
              <w:top w:val="nil"/>
              <w:left w:val="nil"/>
              <w:bottom w:val="nil"/>
              <w:right w:val="single" w:sz="4" w:space="0" w:color="auto"/>
            </w:tcBorders>
            <w:shd w:val="clear" w:color="auto" w:fill="auto"/>
            <w:noWrap/>
            <w:hideMark/>
          </w:tcPr>
          <w:p w14:paraId="5C8EDAF0"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&lt; 2e-16</w:t>
            </w:r>
          </w:p>
        </w:tc>
        <w:tc>
          <w:tcPr>
            <w:tcW w:w="236" w:type="pct"/>
            <w:tcBorders>
              <w:top w:val="nil"/>
              <w:left w:val="nil"/>
              <w:bottom w:val="nil"/>
              <w:right w:val="nil"/>
            </w:tcBorders>
            <w:shd w:val="clear" w:color="auto" w:fill="auto"/>
            <w:noWrap/>
            <w:hideMark/>
          </w:tcPr>
          <w:p w14:paraId="6F720F89" w14:textId="78BC4603"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-0.051</w:t>
            </w:r>
          </w:p>
        </w:tc>
        <w:tc>
          <w:tcPr>
            <w:tcW w:w="257" w:type="pct"/>
            <w:tcBorders>
              <w:top w:val="nil"/>
              <w:left w:val="nil"/>
              <w:bottom w:val="nil"/>
              <w:right w:val="nil"/>
            </w:tcBorders>
            <w:shd w:val="clear" w:color="auto" w:fill="auto"/>
            <w:noWrap/>
            <w:hideMark/>
          </w:tcPr>
          <w:p w14:paraId="05CAFF9F" w14:textId="3460C29A"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0.017</w:t>
            </w:r>
          </w:p>
        </w:tc>
        <w:tc>
          <w:tcPr>
            <w:tcW w:w="229" w:type="pct"/>
            <w:tcBorders>
              <w:top w:val="nil"/>
              <w:left w:val="nil"/>
              <w:bottom w:val="nil"/>
              <w:right w:val="nil"/>
            </w:tcBorders>
            <w:shd w:val="clear" w:color="auto" w:fill="auto"/>
            <w:noWrap/>
            <w:hideMark/>
          </w:tcPr>
          <w:p w14:paraId="57BD2C2F"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-3.000</w:t>
            </w:r>
          </w:p>
        </w:tc>
        <w:tc>
          <w:tcPr>
            <w:tcW w:w="226" w:type="pct"/>
            <w:tcBorders>
              <w:top w:val="nil"/>
              <w:left w:val="nil"/>
              <w:bottom w:val="nil"/>
              <w:right w:val="single" w:sz="4" w:space="0" w:color="auto"/>
            </w:tcBorders>
            <w:shd w:val="clear" w:color="auto" w:fill="auto"/>
            <w:noWrap/>
            <w:hideMark/>
          </w:tcPr>
          <w:p w14:paraId="0F54F479" w14:textId="7EDAF193"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0.003</w:t>
            </w:r>
          </w:p>
        </w:tc>
        <w:tc>
          <w:tcPr>
            <w:tcW w:w="236" w:type="pct"/>
            <w:tcBorders>
              <w:top w:val="nil"/>
              <w:left w:val="nil"/>
              <w:bottom w:val="nil"/>
              <w:right w:val="nil"/>
            </w:tcBorders>
            <w:shd w:val="clear" w:color="auto" w:fill="auto"/>
            <w:noWrap/>
            <w:hideMark/>
          </w:tcPr>
          <w:p w14:paraId="493380ED" w14:textId="547A916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-0.09</w:t>
            </w:r>
            <w:r w:rsidR="003D1778" w:rsidRPr="00D0522C">
              <w:rPr>
                <w:rFonts w:ascii="Arial" w:eastAsia="Times New Roman" w:hAnsi="Arial" w:cs="Arial"/>
                <w:color w:val="000000"/>
                <w:kern w:val="0"/>
                <w:sz w:val="14"/>
                <w:szCs w:val="14"/>
                <w:lang w:eastAsia="fr-FR"/>
                <w14:ligatures w14:val="none"/>
              </w:rPr>
              <w:t>7</w:t>
            </w:r>
          </w:p>
        </w:tc>
        <w:tc>
          <w:tcPr>
            <w:tcW w:w="236" w:type="pct"/>
            <w:tcBorders>
              <w:top w:val="nil"/>
              <w:left w:val="nil"/>
              <w:bottom w:val="nil"/>
              <w:right w:val="nil"/>
            </w:tcBorders>
            <w:shd w:val="clear" w:color="auto" w:fill="auto"/>
            <w:noWrap/>
            <w:hideMark/>
          </w:tcPr>
          <w:p w14:paraId="57E5DC10" w14:textId="336D1F1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w:t>
            </w:r>
            <w:r w:rsidR="003D1778" w:rsidRPr="00D0522C">
              <w:rPr>
                <w:rFonts w:ascii="Arial" w:eastAsia="Times New Roman" w:hAnsi="Arial" w:cs="Arial"/>
                <w:color w:val="000000"/>
                <w:kern w:val="0"/>
                <w:sz w:val="14"/>
                <w:szCs w:val="14"/>
                <w:lang w:eastAsia="fr-FR"/>
                <w14:ligatures w14:val="none"/>
              </w:rPr>
              <w:t>10</w:t>
            </w:r>
          </w:p>
        </w:tc>
        <w:tc>
          <w:tcPr>
            <w:tcW w:w="175" w:type="pct"/>
            <w:tcBorders>
              <w:top w:val="nil"/>
              <w:left w:val="nil"/>
              <w:bottom w:val="nil"/>
              <w:right w:val="nil"/>
            </w:tcBorders>
            <w:shd w:val="clear" w:color="auto" w:fill="auto"/>
            <w:noWrap/>
            <w:hideMark/>
          </w:tcPr>
          <w:p w14:paraId="28383518"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-9.864</w:t>
            </w:r>
          </w:p>
        </w:tc>
        <w:tc>
          <w:tcPr>
            <w:tcW w:w="226" w:type="pct"/>
            <w:tcBorders>
              <w:top w:val="nil"/>
              <w:left w:val="nil"/>
              <w:bottom w:val="nil"/>
              <w:right w:val="single" w:sz="4" w:space="0" w:color="auto"/>
            </w:tcBorders>
            <w:shd w:val="clear" w:color="auto" w:fill="auto"/>
            <w:noWrap/>
            <w:hideMark/>
          </w:tcPr>
          <w:p w14:paraId="0F59A70C"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&lt; 2e-16</w:t>
            </w:r>
          </w:p>
        </w:tc>
        <w:tc>
          <w:tcPr>
            <w:tcW w:w="236" w:type="pct"/>
            <w:tcBorders>
              <w:top w:val="nil"/>
              <w:left w:val="nil"/>
              <w:bottom w:val="nil"/>
              <w:right w:val="nil"/>
            </w:tcBorders>
            <w:shd w:val="clear" w:color="auto" w:fill="auto"/>
            <w:noWrap/>
            <w:hideMark/>
          </w:tcPr>
          <w:p w14:paraId="7D6A3C37" w14:textId="3B535583"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-0.084</w:t>
            </w:r>
          </w:p>
        </w:tc>
        <w:tc>
          <w:tcPr>
            <w:tcW w:w="236" w:type="pct"/>
            <w:tcBorders>
              <w:top w:val="nil"/>
              <w:left w:val="nil"/>
              <w:bottom w:val="nil"/>
              <w:right w:val="nil"/>
            </w:tcBorders>
            <w:shd w:val="clear" w:color="auto" w:fill="auto"/>
            <w:noWrap/>
            <w:hideMark/>
          </w:tcPr>
          <w:p w14:paraId="6F950768" w14:textId="1180C650"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0.013</w:t>
            </w:r>
          </w:p>
        </w:tc>
        <w:tc>
          <w:tcPr>
            <w:tcW w:w="229" w:type="pct"/>
            <w:tcBorders>
              <w:top w:val="nil"/>
              <w:left w:val="nil"/>
              <w:bottom w:val="nil"/>
              <w:right w:val="nil"/>
            </w:tcBorders>
            <w:shd w:val="clear" w:color="auto" w:fill="auto"/>
            <w:noWrap/>
            <w:hideMark/>
          </w:tcPr>
          <w:p w14:paraId="434A23AE"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-6.331</w:t>
            </w:r>
          </w:p>
        </w:tc>
        <w:tc>
          <w:tcPr>
            <w:tcW w:w="226" w:type="pct"/>
            <w:tcBorders>
              <w:top w:val="nil"/>
              <w:left w:val="nil"/>
              <w:bottom w:val="nil"/>
              <w:right w:val="single" w:sz="4" w:space="0" w:color="auto"/>
            </w:tcBorders>
            <w:shd w:val="clear" w:color="auto" w:fill="auto"/>
            <w:noWrap/>
            <w:hideMark/>
          </w:tcPr>
          <w:p w14:paraId="0E47B0A4"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2.43e-10</w:t>
            </w:r>
          </w:p>
        </w:tc>
        <w:tc>
          <w:tcPr>
            <w:tcW w:w="236" w:type="pct"/>
            <w:tcBorders>
              <w:top w:val="nil"/>
              <w:left w:val="nil"/>
              <w:bottom w:val="nil"/>
              <w:right w:val="nil"/>
            </w:tcBorders>
            <w:shd w:val="clear" w:color="auto" w:fill="auto"/>
            <w:noWrap/>
            <w:hideMark/>
          </w:tcPr>
          <w:p w14:paraId="6F5042AA" w14:textId="50468F54"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-0.062</w:t>
            </w:r>
          </w:p>
        </w:tc>
        <w:tc>
          <w:tcPr>
            <w:tcW w:w="236" w:type="pct"/>
            <w:tcBorders>
              <w:top w:val="nil"/>
              <w:left w:val="nil"/>
              <w:bottom w:val="nil"/>
              <w:right w:val="nil"/>
            </w:tcBorders>
            <w:shd w:val="clear" w:color="auto" w:fill="auto"/>
            <w:noWrap/>
            <w:hideMark/>
          </w:tcPr>
          <w:p w14:paraId="751A71B6" w14:textId="25D4F909"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w:t>
            </w:r>
            <w:r w:rsidR="003D1778" w:rsidRPr="00D0522C">
              <w:rPr>
                <w:rFonts w:ascii="Arial" w:eastAsia="Times New Roman" w:hAnsi="Arial" w:cs="Arial"/>
                <w:color w:val="000000"/>
                <w:kern w:val="0"/>
                <w:sz w:val="14"/>
                <w:szCs w:val="14"/>
                <w:lang w:eastAsia="fr-FR"/>
                <w14:ligatures w14:val="none"/>
              </w:rPr>
              <w:t>1</w:t>
            </w:r>
          </w:p>
        </w:tc>
        <w:tc>
          <w:tcPr>
            <w:tcW w:w="229" w:type="pct"/>
            <w:tcBorders>
              <w:top w:val="nil"/>
              <w:left w:val="nil"/>
              <w:bottom w:val="nil"/>
              <w:right w:val="nil"/>
            </w:tcBorders>
            <w:shd w:val="clear" w:color="auto" w:fill="auto"/>
            <w:noWrap/>
            <w:hideMark/>
          </w:tcPr>
          <w:p w14:paraId="128939FF"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-5.887</w:t>
            </w:r>
          </w:p>
        </w:tc>
        <w:tc>
          <w:tcPr>
            <w:tcW w:w="226" w:type="pct"/>
            <w:tcBorders>
              <w:top w:val="nil"/>
              <w:left w:val="nil"/>
              <w:bottom w:val="nil"/>
              <w:right w:val="single" w:sz="4" w:space="0" w:color="auto"/>
            </w:tcBorders>
            <w:shd w:val="clear" w:color="auto" w:fill="auto"/>
            <w:noWrap/>
            <w:hideMark/>
          </w:tcPr>
          <w:p w14:paraId="3582AE40"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3.94e-09</w:t>
            </w:r>
          </w:p>
        </w:tc>
      </w:tr>
      <w:tr w:rsidR="003D1778" w:rsidRPr="00D0522C" w14:paraId="3CE2B172" w14:textId="77777777" w:rsidTr="00F52561">
        <w:trPr>
          <w:trHeight w:val="288"/>
          <w:jc w:val="center"/>
        </w:trPr>
        <w:tc>
          <w:tcPr>
            <w:tcW w:w="394" w:type="pct"/>
            <w:tcBorders>
              <w:top w:val="nil"/>
              <w:left w:val="single" w:sz="4" w:space="0" w:color="auto"/>
              <w:bottom w:val="nil"/>
              <w:right w:val="single" w:sz="4" w:space="0" w:color="auto"/>
            </w:tcBorders>
            <w:shd w:val="clear" w:color="auto" w:fill="auto"/>
            <w:hideMark/>
          </w:tcPr>
          <w:p w14:paraId="140E718F" w14:textId="6F62C414"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proofErr w:type="spellStart"/>
            <w:proofErr w:type="gramStart"/>
            <w:r w:rsidRPr="00D0522C">
              <w:rPr>
                <w:rFonts w:ascii="Arial" w:eastAsia="Times New Roman" w:hAnsi="Arial" w:cs="Arial"/>
                <w:color w:val="000000"/>
                <w:kern w:val="0"/>
                <w:sz w:val="14"/>
                <w:szCs w:val="14"/>
                <w:lang w:eastAsia="fr-FR"/>
                <w14:ligatures w14:val="none"/>
              </w:rPr>
              <w:t>read</w:t>
            </w:r>
            <w:proofErr w:type="spellEnd"/>
            <w:proofErr w:type="gramEnd"/>
          </w:p>
        </w:tc>
        <w:tc>
          <w:tcPr>
            <w:tcW w:w="236" w:type="pct"/>
            <w:tcBorders>
              <w:top w:val="nil"/>
              <w:left w:val="nil"/>
              <w:bottom w:val="nil"/>
              <w:right w:val="nil"/>
            </w:tcBorders>
            <w:shd w:val="clear" w:color="auto" w:fill="auto"/>
            <w:noWrap/>
            <w:hideMark/>
          </w:tcPr>
          <w:p w14:paraId="09274834" w14:textId="29A1C96A"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0.660</w:t>
            </w:r>
          </w:p>
        </w:tc>
        <w:tc>
          <w:tcPr>
            <w:tcW w:w="236" w:type="pct"/>
            <w:tcBorders>
              <w:top w:val="nil"/>
              <w:left w:val="nil"/>
              <w:bottom w:val="nil"/>
              <w:right w:val="nil"/>
            </w:tcBorders>
            <w:shd w:val="clear" w:color="auto" w:fill="auto"/>
            <w:noWrap/>
            <w:hideMark/>
          </w:tcPr>
          <w:p w14:paraId="4309B0C8" w14:textId="32CF10E0"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0.143</w:t>
            </w:r>
          </w:p>
        </w:tc>
        <w:tc>
          <w:tcPr>
            <w:tcW w:w="229" w:type="pct"/>
            <w:tcBorders>
              <w:top w:val="nil"/>
              <w:left w:val="nil"/>
              <w:bottom w:val="nil"/>
              <w:right w:val="nil"/>
            </w:tcBorders>
            <w:shd w:val="clear" w:color="auto" w:fill="auto"/>
            <w:noWrap/>
            <w:hideMark/>
          </w:tcPr>
          <w:p w14:paraId="65CFC3D8"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4.621</w:t>
            </w:r>
          </w:p>
        </w:tc>
        <w:tc>
          <w:tcPr>
            <w:tcW w:w="226" w:type="pct"/>
            <w:tcBorders>
              <w:top w:val="nil"/>
              <w:left w:val="nil"/>
              <w:bottom w:val="nil"/>
              <w:right w:val="single" w:sz="4" w:space="0" w:color="auto"/>
            </w:tcBorders>
            <w:shd w:val="clear" w:color="auto" w:fill="auto"/>
            <w:noWrap/>
            <w:hideMark/>
          </w:tcPr>
          <w:p w14:paraId="6E99117A"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3.82e-06</w:t>
            </w:r>
          </w:p>
        </w:tc>
        <w:tc>
          <w:tcPr>
            <w:tcW w:w="236" w:type="pct"/>
            <w:tcBorders>
              <w:top w:val="nil"/>
              <w:left w:val="nil"/>
              <w:bottom w:val="nil"/>
              <w:right w:val="nil"/>
            </w:tcBorders>
            <w:shd w:val="clear" w:color="auto" w:fill="auto"/>
            <w:noWrap/>
            <w:hideMark/>
          </w:tcPr>
          <w:p w14:paraId="014077A0" w14:textId="74CF293C"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1.475</w:t>
            </w:r>
          </w:p>
        </w:tc>
        <w:tc>
          <w:tcPr>
            <w:tcW w:w="257" w:type="pct"/>
            <w:tcBorders>
              <w:top w:val="nil"/>
              <w:left w:val="nil"/>
              <w:bottom w:val="nil"/>
              <w:right w:val="nil"/>
            </w:tcBorders>
            <w:shd w:val="clear" w:color="auto" w:fill="auto"/>
            <w:noWrap/>
            <w:hideMark/>
          </w:tcPr>
          <w:p w14:paraId="2139E3CF" w14:textId="199FF5BC"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0.236</w:t>
            </w:r>
          </w:p>
        </w:tc>
        <w:tc>
          <w:tcPr>
            <w:tcW w:w="229" w:type="pct"/>
            <w:tcBorders>
              <w:top w:val="nil"/>
              <w:left w:val="nil"/>
              <w:bottom w:val="nil"/>
              <w:right w:val="nil"/>
            </w:tcBorders>
            <w:shd w:val="clear" w:color="auto" w:fill="auto"/>
            <w:noWrap/>
            <w:hideMark/>
          </w:tcPr>
          <w:p w14:paraId="44E535E5"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6.247</w:t>
            </w:r>
          </w:p>
        </w:tc>
        <w:tc>
          <w:tcPr>
            <w:tcW w:w="226" w:type="pct"/>
            <w:tcBorders>
              <w:top w:val="nil"/>
              <w:left w:val="nil"/>
              <w:bottom w:val="nil"/>
              <w:right w:val="single" w:sz="4" w:space="0" w:color="auto"/>
            </w:tcBorders>
            <w:shd w:val="clear" w:color="auto" w:fill="auto"/>
            <w:noWrap/>
            <w:hideMark/>
          </w:tcPr>
          <w:p w14:paraId="2851724A"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4.18e-10</w:t>
            </w:r>
          </w:p>
        </w:tc>
        <w:tc>
          <w:tcPr>
            <w:tcW w:w="236" w:type="pct"/>
            <w:tcBorders>
              <w:top w:val="nil"/>
              <w:left w:val="nil"/>
              <w:bottom w:val="nil"/>
              <w:right w:val="nil"/>
            </w:tcBorders>
            <w:shd w:val="clear" w:color="auto" w:fill="auto"/>
            <w:noWrap/>
            <w:hideMark/>
          </w:tcPr>
          <w:p w14:paraId="579A45D1" w14:textId="12EB1A61"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0.61</w:t>
            </w:r>
            <w:r w:rsidR="003D1778" w:rsidRPr="00D0522C">
              <w:rPr>
                <w:rFonts w:ascii="Arial" w:eastAsia="Times New Roman" w:hAnsi="Arial" w:cs="Arial"/>
                <w:color w:val="000000"/>
                <w:kern w:val="0"/>
                <w:sz w:val="14"/>
                <w:szCs w:val="14"/>
                <w:lang w:eastAsia="fr-FR"/>
                <w14:ligatures w14:val="none"/>
              </w:rPr>
              <w:t>9</w:t>
            </w:r>
          </w:p>
        </w:tc>
        <w:tc>
          <w:tcPr>
            <w:tcW w:w="236" w:type="pct"/>
            <w:tcBorders>
              <w:top w:val="nil"/>
              <w:left w:val="nil"/>
              <w:bottom w:val="nil"/>
              <w:right w:val="nil"/>
            </w:tcBorders>
            <w:shd w:val="clear" w:color="auto" w:fill="auto"/>
            <w:noWrap/>
            <w:hideMark/>
          </w:tcPr>
          <w:p w14:paraId="547540F6" w14:textId="47A0E9F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0.189</w:t>
            </w:r>
          </w:p>
        </w:tc>
        <w:tc>
          <w:tcPr>
            <w:tcW w:w="175" w:type="pct"/>
            <w:tcBorders>
              <w:top w:val="nil"/>
              <w:left w:val="nil"/>
              <w:bottom w:val="nil"/>
              <w:right w:val="nil"/>
            </w:tcBorders>
            <w:shd w:val="clear" w:color="auto" w:fill="auto"/>
            <w:noWrap/>
            <w:hideMark/>
          </w:tcPr>
          <w:p w14:paraId="3149F5A2"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3.270</w:t>
            </w:r>
          </w:p>
        </w:tc>
        <w:tc>
          <w:tcPr>
            <w:tcW w:w="226" w:type="pct"/>
            <w:tcBorders>
              <w:top w:val="nil"/>
              <w:left w:val="nil"/>
              <w:bottom w:val="nil"/>
              <w:right w:val="single" w:sz="4" w:space="0" w:color="auto"/>
            </w:tcBorders>
            <w:shd w:val="clear" w:color="auto" w:fill="auto"/>
            <w:noWrap/>
            <w:hideMark/>
          </w:tcPr>
          <w:p w14:paraId="7D6120A3" w14:textId="7A459144"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0.001</w:t>
            </w:r>
          </w:p>
        </w:tc>
        <w:tc>
          <w:tcPr>
            <w:tcW w:w="236" w:type="pct"/>
            <w:tcBorders>
              <w:top w:val="nil"/>
              <w:left w:val="nil"/>
              <w:bottom w:val="nil"/>
              <w:right w:val="nil"/>
            </w:tcBorders>
            <w:shd w:val="clear" w:color="auto" w:fill="auto"/>
            <w:noWrap/>
            <w:hideMark/>
          </w:tcPr>
          <w:p w14:paraId="122E16C9" w14:textId="210CC855"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0.39</w:t>
            </w:r>
            <w:r w:rsidR="003D1778" w:rsidRPr="00D0522C">
              <w:rPr>
                <w:rFonts w:ascii="Arial" w:eastAsia="Times New Roman" w:hAnsi="Arial" w:cs="Arial"/>
                <w:color w:val="000000"/>
                <w:kern w:val="0"/>
                <w:sz w:val="14"/>
                <w:szCs w:val="14"/>
                <w:lang w:eastAsia="fr-FR"/>
                <w14:ligatures w14:val="none"/>
              </w:rPr>
              <w:t>5</w:t>
            </w:r>
          </w:p>
        </w:tc>
        <w:tc>
          <w:tcPr>
            <w:tcW w:w="236" w:type="pct"/>
            <w:tcBorders>
              <w:top w:val="nil"/>
              <w:left w:val="nil"/>
              <w:bottom w:val="nil"/>
              <w:right w:val="nil"/>
            </w:tcBorders>
            <w:shd w:val="clear" w:color="auto" w:fill="auto"/>
            <w:noWrap/>
            <w:hideMark/>
          </w:tcPr>
          <w:p w14:paraId="0D2CE361" w14:textId="3EC92B7E"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0.212</w:t>
            </w:r>
          </w:p>
        </w:tc>
        <w:tc>
          <w:tcPr>
            <w:tcW w:w="229" w:type="pct"/>
            <w:tcBorders>
              <w:top w:val="nil"/>
              <w:left w:val="nil"/>
              <w:bottom w:val="nil"/>
              <w:right w:val="nil"/>
            </w:tcBorders>
            <w:shd w:val="clear" w:color="auto" w:fill="auto"/>
            <w:noWrap/>
            <w:hideMark/>
          </w:tcPr>
          <w:p w14:paraId="0E1BC939"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1.859</w:t>
            </w:r>
          </w:p>
        </w:tc>
        <w:tc>
          <w:tcPr>
            <w:tcW w:w="226" w:type="pct"/>
            <w:tcBorders>
              <w:top w:val="nil"/>
              <w:left w:val="nil"/>
              <w:bottom w:val="nil"/>
              <w:right w:val="single" w:sz="4" w:space="0" w:color="auto"/>
            </w:tcBorders>
            <w:shd w:val="clear" w:color="auto" w:fill="auto"/>
            <w:noWrap/>
            <w:hideMark/>
          </w:tcPr>
          <w:p w14:paraId="5B034009"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0.063</w:t>
            </w:r>
          </w:p>
        </w:tc>
        <w:tc>
          <w:tcPr>
            <w:tcW w:w="236" w:type="pct"/>
            <w:tcBorders>
              <w:top w:val="nil"/>
              <w:left w:val="nil"/>
              <w:bottom w:val="nil"/>
              <w:right w:val="nil"/>
            </w:tcBorders>
            <w:shd w:val="clear" w:color="auto" w:fill="auto"/>
            <w:noWrap/>
            <w:hideMark/>
          </w:tcPr>
          <w:p w14:paraId="26BC792E" w14:textId="77F925DE"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0.548</w:t>
            </w:r>
          </w:p>
        </w:tc>
        <w:tc>
          <w:tcPr>
            <w:tcW w:w="236" w:type="pct"/>
            <w:tcBorders>
              <w:top w:val="nil"/>
              <w:left w:val="nil"/>
              <w:bottom w:val="nil"/>
              <w:right w:val="nil"/>
            </w:tcBorders>
            <w:shd w:val="clear" w:color="auto" w:fill="auto"/>
            <w:noWrap/>
            <w:hideMark/>
          </w:tcPr>
          <w:p w14:paraId="2781A05F" w14:textId="35CA4896"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0.148</w:t>
            </w:r>
          </w:p>
        </w:tc>
        <w:tc>
          <w:tcPr>
            <w:tcW w:w="229" w:type="pct"/>
            <w:tcBorders>
              <w:top w:val="nil"/>
              <w:left w:val="nil"/>
              <w:bottom w:val="nil"/>
              <w:right w:val="nil"/>
            </w:tcBorders>
            <w:shd w:val="clear" w:color="auto" w:fill="auto"/>
            <w:noWrap/>
            <w:hideMark/>
          </w:tcPr>
          <w:p w14:paraId="32F21B01"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3.696</w:t>
            </w:r>
          </w:p>
        </w:tc>
        <w:tc>
          <w:tcPr>
            <w:tcW w:w="226" w:type="pct"/>
            <w:tcBorders>
              <w:top w:val="nil"/>
              <w:left w:val="nil"/>
              <w:bottom w:val="nil"/>
              <w:right w:val="single" w:sz="4" w:space="0" w:color="auto"/>
            </w:tcBorders>
            <w:shd w:val="clear" w:color="auto" w:fill="auto"/>
            <w:noWrap/>
            <w:hideMark/>
          </w:tcPr>
          <w:p w14:paraId="0D02BB93" w14:textId="1E80066E"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0.0002</w:t>
            </w:r>
          </w:p>
        </w:tc>
      </w:tr>
      <w:tr w:rsidR="003D1778" w:rsidRPr="00D0522C" w14:paraId="1BCFECAE" w14:textId="77777777" w:rsidTr="00F52561">
        <w:trPr>
          <w:trHeight w:val="300"/>
          <w:jc w:val="center"/>
        </w:trPr>
        <w:tc>
          <w:tcPr>
            <w:tcW w:w="394" w:type="pct"/>
            <w:tcBorders>
              <w:top w:val="nil"/>
              <w:left w:val="single" w:sz="4" w:space="0" w:color="auto"/>
              <w:bottom w:val="nil"/>
              <w:right w:val="single" w:sz="4" w:space="0" w:color="auto"/>
            </w:tcBorders>
            <w:shd w:val="clear" w:color="auto" w:fill="auto"/>
            <w:hideMark/>
          </w:tcPr>
          <w:p w14:paraId="5FBE4159" w14:textId="01758841" w:rsidR="00163DAF" w:rsidRPr="00D0522C" w:rsidRDefault="00163DAF" w:rsidP="00163DAF">
            <w:pPr>
              <w:spacing w:after="0" w:line="240" w:lineRule="auto"/>
              <w:rPr>
                <w:rFonts w:ascii="Arial" w:eastAsia="Times New Roman" w:hAnsi="Arial" w:cs="Arial"/>
                <w:color w:val="000000"/>
                <w:kern w:val="0"/>
                <w:sz w:val="14"/>
                <w:szCs w:val="14"/>
                <w:lang w:val="en-GB" w:eastAsia="fr-FR"/>
                <w14:ligatures w14:val="none"/>
              </w:rPr>
            </w:pPr>
            <w:r w:rsidRPr="00D0522C">
              <w:rPr>
                <w:rFonts w:ascii="Arial" w:eastAsia="Times New Roman" w:hAnsi="Arial" w:cs="Arial"/>
                <w:color w:val="000000"/>
                <w:kern w:val="0"/>
                <w:sz w:val="14"/>
                <w:szCs w:val="14"/>
                <w:lang w:val="en-GB" w:eastAsia="fr-FR"/>
                <w14:ligatures w14:val="none"/>
              </w:rPr>
              <w:t>time × read</w:t>
            </w:r>
          </w:p>
        </w:tc>
        <w:tc>
          <w:tcPr>
            <w:tcW w:w="236" w:type="pct"/>
            <w:tcBorders>
              <w:top w:val="nil"/>
              <w:left w:val="nil"/>
              <w:bottom w:val="nil"/>
              <w:right w:val="nil"/>
            </w:tcBorders>
            <w:shd w:val="clear" w:color="auto" w:fill="auto"/>
            <w:noWrap/>
            <w:hideMark/>
          </w:tcPr>
          <w:p w14:paraId="20DDD27E" w14:textId="4B1F4F9C"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-0.013</w:t>
            </w:r>
          </w:p>
        </w:tc>
        <w:tc>
          <w:tcPr>
            <w:tcW w:w="236" w:type="pct"/>
            <w:tcBorders>
              <w:top w:val="nil"/>
              <w:left w:val="nil"/>
              <w:bottom w:val="nil"/>
              <w:right w:val="nil"/>
            </w:tcBorders>
            <w:shd w:val="clear" w:color="auto" w:fill="auto"/>
            <w:noWrap/>
            <w:hideMark/>
          </w:tcPr>
          <w:p w14:paraId="78E0F979" w14:textId="4CD29DDF"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0.010</w:t>
            </w:r>
          </w:p>
        </w:tc>
        <w:tc>
          <w:tcPr>
            <w:tcW w:w="229" w:type="pct"/>
            <w:tcBorders>
              <w:top w:val="nil"/>
              <w:left w:val="nil"/>
              <w:bottom w:val="nil"/>
              <w:right w:val="nil"/>
            </w:tcBorders>
            <w:shd w:val="clear" w:color="auto" w:fill="auto"/>
            <w:noWrap/>
            <w:hideMark/>
          </w:tcPr>
          <w:p w14:paraId="69CF7EA8"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-1.326</w:t>
            </w:r>
          </w:p>
        </w:tc>
        <w:tc>
          <w:tcPr>
            <w:tcW w:w="226" w:type="pct"/>
            <w:tcBorders>
              <w:top w:val="nil"/>
              <w:left w:val="nil"/>
              <w:bottom w:val="nil"/>
              <w:right w:val="single" w:sz="4" w:space="0" w:color="auto"/>
            </w:tcBorders>
            <w:shd w:val="clear" w:color="auto" w:fill="auto"/>
            <w:noWrap/>
            <w:hideMark/>
          </w:tcPr>
          <w:p w14:paraId="583ADBDB"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0.185</w:t>
            </w:r>
          </w:p>
        </w:tc>
        <w:tc>
          <w:tcPr>
            <w:tcW w:w="236" w:type="pct"/>
            <w:tcBorders>
              <w:top w:val="nil"/>
              <w:left w:val="nil"/>
              <w:bottom w:val="nil"/>
              <w:right w:val="nil"/>
            </w:tcBorders>
            <w:shd w:val="clear" w:color="auto" w:fill="auto"/>
            <w:noWrap/>
            <w:hideMark/>
          </w:tcPr>
          <w:p w14:paraId="65113ED1" w14:textId="74626C0D"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-0.041</w:t>
            </w:r>
          </w:p>
        </w:tc>
        <w:tc>
          <w:tcPr>
            <w:tcW w:w="257" w:type="pct"/>
            <w:tcBorders>
              <w:top w:val="nil"/>
              <w:left w:val="nil"/>
              <w:bottom w:val="nil"/>
              <w:right w:val="nil"/>
            </w:tcBorders>
            <w:shd w:val="clear" w:color="auto" w:fill="auto"/>
            <w:noWrap/>
            <w:hideMark/>
          </w:tcPr>
          <w:p w14:paraId="61A3C518" w14:textId="46C3A976"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0.016</w:t>
            </w:r>
          </w:p>
        </w:tc>
        <w:tc>
          <w:tcPr>
            <w:tcW w:w="229" w:type="pct"/>
            <w:tcBorders>
              <w:top w:val="nil"/>
              <w:left w:val="nil"/>
              <w:bottom w:val="nil"/>
              <w:right w:val="nil"/>
            </w:tcBorders>
            <w:shd w:val="clear" w:color="auto" w:fill="auto"/>
            <w:noWrap/>
            <w:hideMark/>
          </w:tcPr>
          <w:p w14:paraId="62CD1C82"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-2.517</w:t>
            </w:r>
          </w:p>
        </w:tc>
        <w:tc>
          <w:tcPr>
            <w:tcW w:w="226" w:type="pct"/>
            <w:tcBorders>
              <w:top w:val="nil"/>
              <w:left w:val="nil"/>
              <w:bottom w:val="nil"/>
              <w:right w:val="single" w:sz="4" w:space="0" w:color="auto"/>
            </w:tcBorders>
            <w:shd w:val="clear" w:color="auto" w:fill="auto"/>
            <w:noWrap/>
            <w:hideMark/>
          </w:tcPr>
          <w:p w14:paraId="71CB8B8E" w14:textId="26723C42"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0.012</w:t>
            </w:r>
          </w:p>
        </w:tc>
        <w:tc>
          <w:tcPr>
            <w:tcW w:w="236" w:type="pct"/>
            <w:tcBorders>
              <w:top w:val="nil"/>
              <w:left w:val="nil"/>
              <w:bottom w:val="nil"/>
              <w:right w:val="nil"/>
            </w:tcBorders>
            <w:shd w:val="clear" w:color="auto" w:fill="auto"/>
            <w:noWrap/>
            <w:hideMark/>
          </w:tcPr>
          <w:p w14:paraId="28B5A8BE" w14:textId="31658B02"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-0.006</w:t>
            </w:r>
          </w:p>
        </w:tc>
        <w:tc>
          <w:tcPr>
            <w:tcW w:w="236" w:type="pct"/>
            <w:tcBorders>
              <w:top w:val="nil"/>
              <w:left w:val="nil"/>
              <w:bottom w:val="nil"/>
              <w:right w:val="nil"/>
            </w:tcBorders>
            <w:shd w:val="clear" w:color="auto" w:fill="auto"/>
            <w:noWrap/>
            <w:hideMark/>
          </w:tcPr>
          <w:p w14:paraId="5C175910" w14:textId="7D57D4E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w:t>
            </w:r>
            <w:r w:rsidR="003D1778" w:rsidRPr="00D0522C">
              <w:rPr>
                <w:rFonts w:ascii="Arial" w:eastAsia="Times New Roman" w:hAnsi="Arial" w:cs="Arial"/>
                <w:color w:val="000000"/>
                <w:kern w:val="0"/>
                <w:sz w:val="14"/>
                <w:szCs w:val="14"/>
                <w:lang w:eastAsia="fr-FR"/>
                <w14:ligatures w14:val="none"/>
              </w:rPr>
              <w:t>3</w:t>
            </w:r>
          </w:p>
        </w:tc>
        <w:tc>
          <w:tcPr>
            <w:tcW w:w="175" w:type="pct"/>
            <w:tcBorders>
              <w:top w:val="nil"/>
              <w:left w:val="nil"/>
              <w:bottom w:val="nil"/>
              <w:right w:val="nil"/>
            </w:tcBorders>
            <w:shd w:val="clear" w:color="auto" w:fill="auto"/>
            <w:noWrap/>
            <w:hideMark/>
          </w:tcPr>
          <w:p w14:paraId="06C0A511"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-0.492</w:t>
            </w:r>
          </w:p>
        </w:tc>
        <w:tc>
          <w:tcPr>
            <w:tcW w:w="226" w:type="pct"/>
            <w:tcBorders>
              <w:top w:val="nil"/>
              <w:left w:val="nil"/>
              <w:bottom w:val="nil"/>
              <w:right w:val="single" w:sz="4" w:space="0" w:color="auto"/>
            </w:tcBorders>
            <w:shd w:val="clear" w:color="auto" w:fill="auto"/>
            <w:noWrap/>
            <w:hideMark/>
          </w:tcPr>
          <w:p w14:paraId="27892005" w14:textId="0C4A216A"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0.62</w:t>
            </w:r>
            <w:r w:rsidR="003D1778" w:rsidRPr="00D0522C">
              <w:rPr>
                <w:rFonts w:ascii="Arial" w:eastAsia="Times New Roman" w:hAnsi="Arial" w:cs="Arial"/>
                <w:color w:val="000000"/>
                <w:kern w:val="0"/>
                <w:sz w:val="14"/>
                <w:szCs w:val="14"/>
                <w:lang w:eastAsia="fr-FR"/>
                <w14:ligatures w14:val="none"/>
              </w:rPr>
              <w:t>3</w:t>
            </w:r>
          </w:p>
        </w:tc>
        <w:tc>
          <w:tcPr>
            <w:tcW w:w="236" w:type="pct"/>
            <w:tcBorders>
              <w:top w:val="nil"/>
              <w:left w:val="nil"/>
              <w:bottom w:val="nil"/>
              <w:right w:val="nil"/>
            </w:tcBorders>
            <w:shd w:val="clear" w:color="auto" w:fill="auto"/>
            <w:noWrap/>
            <w:hideMark/>
          </w:tcPr>
          <w:p w14:paraId="529E250D" w14:textId="563E7A7F"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0.011</w:t>
            </w:r>
          </w:p>
        </w:tc>
        <w:tc>
          <w:tcPr>
            <w:tcW w:w="236" w:type="pct"/>
            <w:tcBorders>
              <w:top w:val="nil"/>
              <w:left w:val="nil"/>
              <w:bottom w:val="nil"/>
              <w:right w:val="nil"/>
            </w:tcBorders>
            <w:shd w:val="clear" w:color="auto" w:fill="auto"/>
            <w:noWrap/>
            <w:hideMark/>
          </w:tcPr>
          <w:p w14:paraId="18003745" w14:textId="0D6410F9"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0.014</w:t>
            </w:r>
          </w:p>
        </w:tc>
        <w:tc>
          <w:tcPr>
            <w:tcW w:w="229" w:type="pct"/>
            <w:tcBorders>
              <w:top w:val="nil"/>
              <w:left w:val="nil"/>
              <w:bottom w:val="nil"/>
              <w:right w:val="nil"/>
            </w:tcBorders>
            <w:shd w:val="clear" w:color="auto" w:fill="auto"/>
            <w:noWrap/>
            <w:hideMark/>
          </w:tcPr>
          <w:p w14:paraId="5B5519D9"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0.800</w:t>
            </w:r>
          </w:p>
        </w:tc>
        <w:tc>
          <w:tcPr>
            <w:tcW w:w="226" w:type="pct"/>
            <w:tcBorders>
              <w:top w:val="nil"/>
              <w:left w:val="nil"/>
              <w:bottom w:val="nil"/>
              <w:right w:val="single" w:sz="4" w:space="0" w:color="auto"/>
            </w:tcBorders>
            <w:shd w:val="clear" w:color="auto" w:fill="auto"/>
            <w:noWrap/>
            <w:hideMark/>
          </w:tcPr>
          <w:p w14:paraId="6ACD741E"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0.424</w:t>
            </w:r>
          </w:p>
        </w:tc>
        <w:tc>
          <w:tcPr>
            <w:tcW w:w="236" w:type="pct"/>
            <w:tcBorders>
              <w:top w:val="nil"/>
              <w:left w:val="nil"/>
              <w:bottom w:val="nil"/>
              <w:right w:val="nil"/>
            </w:tcBorders>
            <w:shd w:val="clear" w:color="auto" w:fill="auto"/>
            <w:noWrap/>
            <w:hideMark/>
          </w:tcPr>
          <w:p w14:paraId="66EC9E61" w14:textId="3923938A"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-0.00</w:t>
            </w:r>
            <w:r w:rsidR="003D1778" w:rsidRPr="00D0522C">
              <w:rPr>
                <w:rFonts w:ascii="Arial" w:eastAsia="Times New Roman" w:hAnsi="Arial" w:cs="Arial"/>
                <w:color w:val="000000"/>
                <w:kern w:val="0"/>
                <w:sz w:val="14"/>
                <w:szCs w:val="14"/>
                <w:lang w:eastAsia="fr-FR"/>
                <w14:ligatures w14:val="none"/>
              </w:rPr>
              <w:t>9</w:t>
            </w:r>
          </w:p>
        </w:tc>
        <w:tc>
          <w:tcPr>
            <w:tcW w:w="236" w:type="pct"/>
            <w:tcBorders>
              <w:top w:val="nil"/>
              <w:left w:val="nil"/>
              <w:bottom w:val="nil"/>
              <w:right w:val="nil"/>
            </w:tcBorders>
            <w:shd w:val="clear" w:color="auto" w:fill="auto"/>
            <w:noWrap/>
            <w:hideMark/>
          </w:tcPr>
          <w:p w14:paraId="1E84D644" w14:textId="428AAFAE"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0.010</w:t>
            </w:r>
          </w:p>
        </w:tc>
        <w:tc>
          <w:tcPr>
            <w:tcW w:w="229" w:type="pct"/>
            <w:tcBorders>
              <w:top w:val="nil"/>
              <w:left w:val="nil"/>
              <w:bottom w:val="nil"/>
              <w:right w:val="nil"/>
            </w:tcBorders>
            <w:shd w:val="clear" w:color="auto" w:fill="auto"/>
            <w:noWrap/>
            <w:hideMark/>
          </w:tcPr>
          <w:p w14:paraId="691CBF2D"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-0.863</w:t>
            </w:r>
          </w:p>
        </w:tc>
        <w:tc>
          <w:tcPr>
            <w:tcW w:w="226" w:type="pct"/>
            <w:tcBorders>
              <w:top w:val="nil"/>
              <w:left w:val="nil"/>
              <w:bottom w:val="nil"/>
              <w:right w:val="single" w:sz="4" w:space="0" w:color="auto"/>
            </w:tcBorders>
            <w:shd w:val="clear" w:color="auto" w:fill="auto"/>
            <w:noWrap/>
            <w:hideMark/>
          </w:tcPr>
          <w:p w14:paraId="0EDEFE56" w14:textId="5198F526"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0.38</w:t>
            </w:r>
            <w:r w:rsidR="003D1778" w:rsidRPr="00D0522C">
              <w:rPr>
                <w:rFonts w:ascii="Arial" w:eastAsia="Times New Roman" w:hAnsi="Arial" w:cs="Arial"/>
                <w:color w:val="000000"/>
                <w:kern w:val="0"/>
                <w:sz w:val="14"/>
                <w:szCs w:val="14"/>
                <w:lang w:eastAsia="fr-FR"/>
                <w14:ligatures w14:val="none"/>
              </w:rPr>
              <w:t>8</w:t>
            </w:r>
          </w:p>
        </w:tc>
      </w:tr>
      <w:tr w:rsidR="003D1778" w:rsidRPr="00D0522C" w14:paraId="457C408C" w14:textId="77777777" w:rsidTr="00F52561">
        <w:trPr>
          <w:trHeight w:val="300"/>
          <w:jc w:val="center"/>
        </w:trPr>
        <w:tc>
          <w:tcPr>
            <w:tcW w:w="394" w:type="pct"/>
            <w:tcBorders>
              <w:top w:val="single" w:sz="8" w:space="0" w:color="auto"/>
              <w:left w:val="single" w:sz="8" w:space="0" w:color="auto"/>
              <w:bottom w:val="single" w:sz="8" w:space="0" w:color="auto"/>
              <w:right w:val="nil"/>
            </w:tcBorders>
            <w:shd w:val="clear" w:color="auto" w:fill="auto"/>
            <w:noWrap/>
            <w:hideMark/>
          </w:tcPr>
          <w:p w14:paraId="12B794F9"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proofErr w:type="spellStart"/>
            <w:r w:rsidRPr="00D0522C">
              <w:rPr>
                <w:rFonts w:ascii="Arial" w:eastAsia="Times New Roman" w:hAnsi="Arial" w:cs="Arial"/>
                <w:b/>
                <w:bCs/>
                <w:color w:val="000000"/>
                <w:kern w:val="0"/>
                <w:sz w:val="14"/>
                <w:szCs w:val="14"/>
                <w:lang w:eastAsia="fr-FR"/>
                <w14:ligatures w14:val="none"/>
              </w:rPr>
              <w:t>Random</w:t>
            </w:r>
            <w:proofErr w:type="spellEnd"/>
            <w:r w:rsidRPr="00D0522C">
              <w:rPr>
                <w:rFonts w:ascii="Arial" w:eastAsia="Times New Roman" w:hAnsi="Arial" w:cs="Arial"/>
                <w:b/>
                <w:bCs/>
                <w:color w:val="000000"/>
                <w:kern w:val="0"/>
                <w:sz w:val="14"/>
                <w:szCs w:val="14"/>
                <w:lang w:eastAsia="fr-FR"/>
                <w14:ligatures w14:val="none"/>
              </w:rPr>
              <w:t xml:space="preserve"> </w:t>
            </w:r>
            <w:proofErr w:type="spellStart"/>
            <w:r w:rsidRPr="00D0522C">
              <w:rPr>
                <w:rFonts w:ascii="Arial" w:eastAsia="Times New Roman" w:hAnsi="Arial" w:cs="Arial"/>
                <w:b/>
                <w:bCs/>
                <w:color w:val="000000"/>
                <w:kern w:val="0"/>
                <w:sz w:val="14"/>
                <w:szCs w:val="14"/>
                <w:lang w:eastAsia="fr-FR"/>
                <w14:ligatures w14:val="none"/>
              </w:rPr>
              <w:t>Effects</w:t>
            </w:r>
            <w:proofErr w:type="spellEnd"/>
          </w:p>
        </w:tc>
        <w:tc>
          <w:tcPr>
            <w:tcW w:w="236" w:type="pct"/>
            <w:tcBorders>
              <w:top w:val="single" w:sz="8" w:space="0" w:color="auto"/>
              <w:left w:val="single" w:sz="4" w:space="0" w:color="auto"/>
              <w:bottom w:val="single" w:sz="8" w:space="0" w:color="auto"/>
              <w:right w:val="nil"/>
            </w:tcBorders>
            <w:shd w:val="clear" w:color="auto" w:fill="auto"/>
            <w:noWrap/>
            <w:hideMark/>
          </w:tcPr>
          <w:p w14:paraId="27DACC0E" w14:textId="2DF3E2E8" w:rsidR="00163DAF" w:rsidRPr="00D0522C" w:rsidRDefault="003D1778"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Type</w:t>
            </w:r>
          </w:p>
        </w:tc>
        <w:tc>
          <w:tcPr>
            <w:tcW w:w="236" w:type="pct"/>
            <w:tcBorders>
              <w:top w:val="single" w:sz="8" w:space="0" w:color="auto"/>
              <w:left w:val="nil"/>
              <w:bottom w:val="single" w:sz="8" w:space="0" w:color="auto"/>
              <w:right w:val="nil"/>
            </w:tcBorders>
            <w:shd w:val="clear" w:color="auto" w:fill="auto"/>
            <w:noWrap/>
            <w:hideMark/>
          </w:tcPr>
          <w:p w14:paraId="0FD30663"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Variance</w:t>
            </w:r>
          </w:p>
        </w:tc>
        <w:tc>
          <w:tcPr>
            <w:tcW w:w="229" w:type="pct"/>
            <w:tcBorders>
              <w:top w:val="single" w:sz="8" w:space="0" w:color="auto"/>
              <w:left w:val="nil"/>
              <w:bottom w:val="single" w:sz="8" w:space="0" w:color="auto"/>
              <w:right w:val="nil"/>
            </w:tcBorders>
            <w:shd w:val="clear" w:color="auto" w:fill="auto"/>
            <w:noWrap/>
            <w:hideMark/>
          </w:tcPr>
          <w:p w14:paraId="2DA8BA84"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Std. Dev</w:t>
            </w:r>
          </w:p>
        </w:tc>
        <w:tc>
          <w:tcPr>
            <w:tcW w:w="226" w:type="pct"/>
            <w:tcBorders>
              <w:top w:val="single" w:sz="8" w:space="0" w:color="auto"/>
              <w:left w:val="nil"/>
              <w:bottom w:val="single" w:sz="8" w:space="0" w:color="auto"/>
              <w:right w:val="single" w:sz="4" w:space="0" w:color="auto"/>
            </w:tcBorders>
            <w:shd w:val="clear" w:color="auto" w:fill="auto"/>
            <w:noWrap/>
            <w:hideMark/>
          </w:tcPr>
          <w:p w14:paraId="3D08166C"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w:t>
            </w:r>
          </w:p>
        </w:tc>
        <w:tc>
          <w:tcPr>
            <w:tcW w:w="236" w:type="pct"/>
            <w:tcBorders>
              <w:top w:val="single" w:sz="8" w:space="0" w:color="auto"/>
              <w:left w:val="nil"/>
              <w:bottom w:val="single" w:sz="8" w:space="0" w:color="auto"/>
              <w:right w:val="nil"/>
            </w:tcBorders>
            <w:shd w:val="clear" w:color="auto" w:fill="auto"/>
            <w:noWrap/>
            <w:hideMark/>
          </w:tcPr>
          <w:p w14:paraId="7A50F71C" w14:textId="5715349A" w:rsidR="00163DAF" w:rsidRPr="00D0522C" w:rsidRDefault="003D1778"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Type</w:t>
            </w:r>
          </w:p>
        </w:tc>
        <w:tc>
          <w:tcPr>
            <w:tcW w:w="257" w:type="pct"/>
            <w:tcBorders>
              <w:top w:val="single" w:sz="8" w:space="0" w:color="auto"/>
              <w:left w:val="nil"/>
              <w:bottom w:val="single" w:sz="8" w:space="0" w:color="auto"/>
              <w:right w:val="nil"/>
            </w:tcBorders>
            <w:shd w:val="clear" w:color="auto" w:fill="auto"/>
            <w:noWrap/>
            <w:hideMark/>
          </w:tcPr>
          <w:p w14:paraId="0F24F120"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Variance</w:t>
            </w:r>
          </w:p>
        </w:tc>
        <w:tc>
          <w:tcPr>
            <w:tcW w:w="229" w:type="pct"/>
            <w:tcBorders>
              <w:top w:val="single" w:sz="8" w:space="0" w:color="auto"/>
              <w:left w:val="nil"/>
              <w:bottom w:val="single" w:sz="8" w:space="0" w:color="auto"/>
              <w:right w:val="nil"/>
            </w:tcBorders>
            <w:shd w:val="clear" w:color="auto" w:fill="auto"/>
            <w:noWrap/>
            <w:hideMark/>
          </w:tcPr>
          <w:p w14:paraId="17430729"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Std. Dev</w:t>
            </w:r>
          </w:p>
        </w:tc>
        <w:tc>
          <w:tcPr>
            <w:tcW w:w="226" w:type="pct"/>
            <w:tcBorders>
              <w:top w:val="single" w:sz="8" w:space="0" w:color="auto"/>
              <w:left w:val="nil"/>
              <w:bottom w:val="single" w:sz="8" w:space="0" w:color="auto"/>
              <w:right w:val="single" w:sz="4" w:space="0" w:color="auto"/>
            </w:tcBorders>
            <w:shd w:val="clear" w:color="auto" w:fill="auto"/>
            <w:noWrap/>
            <w:hideMark/>
          </w:tcPr>
          <w:p w14:paraId="01765BA8"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w:t>
            </w:r>
          </w:p>
        </w:tc>
        <w:tc>
          <w:tcPr>
            <w:tcW w:w="236" w:type="pct"/>
            <w:tcBorders>
              <w:top w:val="single" w:sz="8" w:space="0" w:color="auto"/>
              <w:left w:val="nil"/>
              <w:bottom w:val="single" w:sz="8" w:space="0" w:color="auto"/>
              <w:right w:val="nil"/>
            </w:tcBorders>
            <w:shd w:val="clear" w:color="auto" w:fill="auto"/>
            <w:noWrap/>
            <w:hideMark/>
          </w:tcPr>
          <w:p w14:paraId="34A6F281" w14:textId="25219C33" w:rsidR="00163DAF" w:rsidRPr="00D0522C" w:rsidRDefault="003D1778"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Type</w:t>
            </w:r>
          </w:p>
        </w:tc>
        <w:tc>
          <w:tcPr>
            <w:tcW w:w="236" w:type="pct"/>
            <w:tcBorders>
              <w:top w:val="single" w:sz="8" w:space="0" w:color="auto"/>
              <w:left w:val="nil"/>
              <w:bottom w:val="single" w:sz="8" w:space="0" w:color="auto"/>
              <w:right w:val="nil"/>
            </w:tcBorders>
            <w:shd w:val="clear" w:color="auto" w:fill="auto"/>
            <w:noWrap/>
            <w:hideMark/>
          </w:tcPr>
          <w:p w14:paraId="03B21ABB"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Variance</w:t>
            </w:r>
          </w:p>
        </w:tc>
        <w:tc>
          <w:tcPr>
            <w:tcW w:w="402" w:type="pct"/>
            <w:gridSpan w:val="2"/>
            <w:tcBorders>
              <w:top w:val="single" w:sz="8" w:space="0" w:color="auto"/>
              <w:left w:val="nil"/>
              <w:bottom w:val="single" w:sz="8" w:space="0" w:color="auto"/>
              <w:right w:val="single" w:sz="4" w:space="0" w:color="000000"/>
            </w:tcBorders>
            <w:shd w:val="clear" w:color="auto" w:fill="auto"/>
            <w:noWrap/>
            <w:hideMark/>
          </w:tcPr>
          <w:p w14:paraId="62B82B12"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Std. Dev</w:t>
            </w:r>
          </w:p>
        </w:tc>
        <w:tc>
          <w:tcPr>
            <w:tcW w:w="236" w:type="pct"/>
            <w:tcBorders>
              <w:top w:val="single" w:sz="8" w:space="0" w:color="auto"/>
              <w:left w:val="nil"/>
              <w:bottom w:val="single" w:sz="8" w:space="0" w:color="auto"/>
              <w:right w:val="nil"/>
            </w:tcBorders>
            <w:shd w:val="clear" w:color="auto" w:fill="auto"/>
            <w:noWrap/>
            <w:hideMark/>
          </w:tcPr>
          <w:p w14:paraId="4E593D66" w14:textId="012828DE" w:rsidR="00163DAF" w:rsidRPr="00D0522C" w:rsidRDefault="003D1778"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Type</w:t>
            </w:r>
          </w:p>
        </w:tc>
        <w:tc>
          <w:tcPr>
            <w:tcW w:w="236" w:type="pct"/>
            <w:tcBorders>
              <w:top w:val="single" w:sz="8" w:space="0" w:color="auto"/>
              <w:left w:val="nil"/>
              <w:bottom w:val="single" w:sz="8" w:space="0" w:color="auto"/>
              <w:right w:val="nil"/>
            </w:tcBorders>
            <w:shd w:val="clear" w:color="auto" w:fill="auto"/>
            <w:noWrap/>
            <w:hideMark/>
          </w:tcPr>
          <w:p w14:paraId="50954AC5"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Variance</w:t>
            </w:r>
          </w:p>
        </w:tc>
        <w:tc>
          <w:tcPr>
            <w:tcW w:w="229" w:type="pct"/>
            <w:tcBorders>
              <w:top w:val="single" w:sz="8" w:space="0" w:color="auto"/>
              <w:left w:val="nil"/>
              <w:bottom w:val="single" w:sz="8" w:space="0" w:color="auto"/>
              <w:right w:val="nil"/>
            </w:tcBorders>
            <w:shd w:val="clear" w:color="auto" w:fill="auto"/>
            <w:noWrap/>
            <w:hideMark/>
          </w:tcPr>
          <w:p w14:paraId="0A6243CF"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Std. Dev</w:t>
            </w:r>
          </w:p>
        </w:tc>
        <w:tc>
          <w:tcPr>
            <w:tcW w:w="226" w:type="pct"/>
            <w:tcBorders>
              <w:top w:val="single" w:sz="8" w:space="0" w:color="auto"/>
              <w:left w:val="nil"/>
              <w:bottom w:val="single" w:sz="8" w:space="0" w:color="auto"/>
              <w:right w:val="single" w:sz="4" w:space="0" w:color="auto"/>
            </w:tcBorders>
            <w:shd w:val="clear" w:color="auto" w:fill="auto"/>
            <w:noWrap/>
            <w:hideMark/>
          </w:tcPr>
          <w:p w14:paraId="76D00050"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w:t>
            </w:r>
          </w:p>
        </w:tc>
        <w:tc>
          <w:tcPr>
            <w:tcW w:w="236" w:type="pct"/>
            <w:tcBorders>
              <w:top w:val="single" w:sz="8" w:space="0" w:color="auto"/>
              <w:left w:val="nil"/>
              <w:bottom w:val="single" w:sz="8" w:space="0" w:color="auto"/>
              <w:right w:val="nil"/>
            </w:tcBorders>
            <w:shd w:val="clear" w:color="auto" w:fill="auto"/>
            <w:noWrap/>
            <w:hideMark/>
          </w:tcPr>
          <w:p w14:paraId="24A8EC09" w14:textId="4E9D4AC4" w:rsidR="00163DAF" w:rsidRPr="00D0522C" w:rsidRDefault="003D1778"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Type</w:t>
            </w:r>
          </w:p>
        </w:tc>
        <w:tc>
          <w:tcPr>
            <w:tcW w:w="236" w:type="pct"/>
            <w:tcBorders>
              <w:top w:val="single" w:sz="8" w:space="0" w:color="auto"/>
              <w:left w:val="nil"/>
              <w:bottom w:val="single" w:sz="8" w:space="0" w:color="auto"/>
              <w:right w:val="nil"/>
            </w:tcBorders>
            <w:shd w:val="clear" w:color="auto" w:fill="auto"/>
            <w:noWrap/>
            <w:hideMark/>
          </w:tcPr>
          <w:p w14:paraId="7F73C931"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Variance</w:t>
            </w:r>
          </w:p>
        </w:tc>
        <w:tc>
          <w:tcPr>
            <w:tcW w:w="229" w:type="pct"/>
            <w:tcBorders>
              <w:top w:val="single" w:sz="8" w:space="0" w:color="auto"/>
              <w:left w:val="nil"/>
              <w:bottom w:val="single" w:sz="8" w:space="0" w:color="auto"/>
              <w:right w:val="nil"/>
            </w:tcBorders>
            <w:shd w:val="clear" w:color="auto" w:fill="auto"/>
            <w:noWrap/>
            <w:hideMark/>
          </w:tcPr>
          <w:p w14:paraId="17FA5849"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Std. Dev</w:t>
            </w:r>
          </w:p>
        </w:tc>
        <w:tc>
          <w:tcPr>
            <w:tcW w:w="226" w:type="pct"/>
            <w:tcBorders>
              <w:top w:val="single" w:sz="8" w:space="0" w:color="auto"/>
              <w:left w:val="nil"/>
              <w:bottom w:val="single" w:sz="8" w:space="0" w:color="auto"/>
              <w:right w:val="single" w:sz="4" w:space="0" w:color="auto"/>
            </w:tcBorders>
            <w:shd w:val="clear" w:color="auto" w:fill="auto"/>
            <w:noWrap/>
            <w:hideMark/>
          </w:tcPr>
          <w:p w14:paraId="7A19A92E" w14:textId="77777777" w:rsidR="00163DAF" w:rsidRPr="00D0522C" w:rsidRDefault="00163DAF" w:rsidP="00163DAF">
            <w:pPr>
              <w:spacing w:after="0" w:line="240" w:lineRule="auto"/>
              <w:rPr>
                <w:rFonts w:ascii="Arial" w:eastAsia="Times New Roman" w:hAnsi="Arial" w:cs="Arial"/>
                <w:b/>
                <w:bCs/>
                <w:color w:val="000000"/>
                <w:kern w:val="0"/>
                <w:sz w:val="14"/>
                <w:szCs w:val="14"/>
                <w:lang w:eastAsia="fr-FR"/>
                <w14:ligatures w14:val="none"/>
              </w:rPr>
            </w:pPr>
            <w:r w:rsidRPr="00D0522C">
              <w:rPr>
                <w:rFonts w:ascii="Arial" w:eastAsia="Times New Roman" w:hAnsi="Arial" w:cs="Arial"/>
                <w:b/>
                <w:bCs/>
                <w:color w:val="000000"/>
                <w:kern w:val="0"/>
                <w:sz w:val="14"/>
                <w:szCs w:val="14"/>
                <w:lang w:eastAsia="fr-FR"/>
                <w14:ligatures w14:val="none"/>
              </w:rPr>
              <w:t> </w:t>
            </w:r>
          </w:p>
        </w:tc>
      </w:tr>
      <w:tr w:rsidR="003D1778" w:rsidRPr="00D0522C" w14:paraId="37080E52" w14:textId="77777777" w:rsidTr="00F52561">
        <w:trPr>
          <w:trHeight w:val="324"/>
          <w:jc w:val="center"/>
        </w:trPr>
        <w:tc>
          <w:tcPr>
            <w:tcW w:w="394" w:type="pct"/>
            <w:tcBorders>
              <w:top w:val="nil"/>
              <w:left w:val="single" w:sz="8" w:space="0" w:color="auto"/>
              <w:bottom w:val="nil"/>
              <w:right w:val="single" w:sz="4" w:space="0" w:color="auto"/>
            </w:tcBorders>
            <w:shd w:val="clear" w:color="auto" w:fill="auto"/>
            <w:hideMark/>
          </w:tcPr>
          <w:p w14:paraId="4AC517FF"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proofErr w:type="spellStart"/>
            <w:r w:rsidRPr="00D0522C">
              <w:rPr>
                <w:rFonts w:ascii="Arial" w:eastAsia="Times New Roman" w:hAnsi="Arial" w:cs="Arial"/>
                <w:color w:val="000000"/>
                <w:kern w:val="0"/>
                <w:sz w:val="14"/>
                <w:szCs w:val="14"/>
                <w:lang w:eastAsia="fr-FR"/>
                <w14:ligatures w14:val="none"/>
              </w:rPr>
              <w:t>Supergroup</w:t>
            </w:r>
            <w:proofErr w:type="spellEnd"/>
          </w:p>
        </w:tc>
        <w:tc>
          <w:tcPr>
            <w:tcW w:w="236" w:type="pct"/>
            <w:tcBorders>
              <w:top w:val="nil"/>
              <w:left w:val="nil"/>
              <w:bottom w:val="nil"/>
              <w:right w:val="nil"/>
            </w:tcBorders>
            <w:shd w:val="clear" w:color="auto" w:fill="auto"/>
            <w:noWrap/>
            <w:hideMark/>
          </w:tcPr>
          <w:p w14:paraId="06366303"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nil"/>
              <w:right w:val="nil"/>
            </w:tcBorders>
            <w:shd w:val="clear" w:color="auto" w:fill="auto"/>
            <w:noWrap/>
            <w:hideMark/>
          </w:tcPr>
          <w:p w14:paraId="6F81279A"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0.618</w:t>
            </w:r>
          </w:p>
        </w:tc>
        <w:tc>
          <w:tcPr>
            <w:tcW w:w="229" w:type="pct"/>
            <w:tcBorders>
              <w:top w:val="nil"/>
              <w:left w:val="nil"/>
              <w:bottom w:val="nil"/>
              <w:right w:val="nil"/>
            </w:tcBorders>
            <w:shd w:val="clear" w:color="auto" w:fill="auto"/>
            <w:noWrap/>
            <w:hideMark/>
          </w:tcPr>
          <w:p w14:paraId="48D94405"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0.786</w:t>
            </w:r>
          </w:p>
        </w:tc>
        <w:tc>
          <w:tcPr>
            <w:tcW w:w="226" w:type="pct"/>
            <w:tcBorders>
              <w:top w:val="nil"/>
              <w:left w:val="nil"/>
              <w:bottom w:val="nil"/>
              <w:right w:val="single" w:sz="4" w:space="0" w:color="auto"/>
            </w:tcBorders>
            <w:shd w:val="clear" w:color="auto" w:fill="auto"/>
            <w:noWrap/>
            <w:hideMark/>
          </w:tcPr>
          <w:p w14:paraId="52133E12"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w:t>
            </w:r>
          </w:p>
        </w:tc>
        <w:tc>
          <w:tcPr>
            <w:tcW w:w="948" w:type="pct"/>
            <w:gridSpan w:val="4"/>
            <w:vMerge w:val="restart"/>
            <w:tcBorders>
              <w:top w:val="single" w:sz="8" w:space="0" w:color="auto"/>
              <w:left w:val="single" w:sz="4" w:space="0" w:color="auto"/>
              <w:bottom w:val="single" w:sz="8" w:space="0" w:color="000000"/>
              <w:right w:val="single" w:sz="4" w:space="0" w:color="000000"/>
            </w:tcBorders>
            <w:shd w:val="clear" w:color="auto" w:fill="auto"/>
            <w:noWrap/>
            <w:vAlign w:val="center"/>
            <w:hideMark/>
          </w:tcPr>
          <w:p w14:paraId="4741129A" w14:textId="162FCCFD" w:rsidR="00163DAF" w:rsidRPr="00D0522C" w:rsidRDefault="003D1778" w:rsidP="003D1778">
            <w:pPr>
              <w:spacing w:after="0" w:line="240" w:lineRule="auto"/>
              <w:jc w:val="center"/>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N/A</w:t>
            </w:r>
          </w:p>
        </w:tc>
        <w:tc>
          <w:tcPr>
            <w:tcW w:w="236" w:type="pct"/>
            <w:tcBorders>
              <w:top w:val="nil"/>
              <w:left w:val="nil"/>
              <w:bottom w:val="nil"/>
              <w:right w:val="nil"/>
            </w:tcBorders>
            <w:shd w:val="clear" w:color="auto" w:fill="auto"/>
            <w:noWrap/>
            <w:hideMark/>
          </w:tcPr>
          <w:p w14:paraId="26738486"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nil"/>
              <w:right w:val="nil"/>
            </w:tcBorders>
            <w:shd w:val="clear" w:color="auto" w:fill="auto"/>
            <w:noWrap/>
            <w:hideMark/>
          </w:tcPr>
          <w:p w14:paraId="38AFD5B5"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0.073</w:t>
            </w:r>
          </w:p>
        </w:tc>
        <w:tc>
          <w:tcPr>
            <w:tcW w:w="175" w:type="pct"/>
            <w:tcBorders>
              <w:top w:val="nil"/>
              <w:left w:val="nil"/>
              <w:bottom w:val="nil"/>
              <w:right w:val="nil"/>
            </w:tcBorders>
            <w:shd w:val="clear" w:color="auto" w:fill="auto"/>
            <w:noWrap/>
            <w:hideMark/>
          </w:tcPr>
          <w:p w14:paraId="4CA6501A"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0.269</w:t>
            </w:r>
          </w:p>
        </w:tc>
        <w:tc>
          <w:tcPr>
            <w:tcW w:w="226" w:type="pct"/>
            <w:tcBorders>
              <w:top w:val="nil"/>
              <w:left w:val="nil"/>
              <w:bottom w:val="nil"/>
              <w:right w:val="single" w:sz="4" w:space="0" w:color="auto"/>
            </w:tcBorders>
            <w:shd w:val="clear" w:color="auto" w:fill="auto"/>
            <w:noWrap/>
            <w:hideMark/>
          </w:tcPr>
          <w:p w14:paraId="235BDD00"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w:t>
            </w:r>
          </w:p>
        </w:tc>
        <w:tc>
          <w:tcPr>
            <w:tcW w:w="236" w:type="pct"/>
            <w:tcBorders>
              <w:top w:val="nil"/>
              <w:left w:val="nil"/>
              <w:bottom w:val="nil"/>
              <w:right w:val="nil"/>
            </w:tcBorders>
            <w:shd w:val="clear" w:color="auto" w:fill="auto"/>
            <w:noWrap/>
            <w:hideMark/>
          </w:tcPr>
          <w:p w14:paraId="1639FD87"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nil"/>
              <w:right w:val="nil"/>
            </w:tcBorders>
            <w:shd w:val="clear" w:color="auto" w:fill="auto"/>
            <w:noWrap/>
            <w:hideMark/>
          </w:tcPr>
          <w:p w14:paraId="49BFE42E"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2.926</w:t>
            </w:r>
          </w:p>
        </w:tc>
        <w:tc>
          <w:tcPr>
            <w:tcW w:w="229" w:type="pct"/>
            <w:tcBorders>
              <w:top w:val="nil"/>
              <w:left w:val="nil"/>
              <w:bottom w:val="nil"/>
              <w:right w:val="nil"/>
            </w:tcBorders>
            <w:shd w:val="clear" w:color="auto" w:fill="auto"/>
            <w:noWrap/>
            <w:hideMark/>
          </w:tcPr>
          <w:p w14:paraId="61A1A521"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1.711</w:t>
            </w:r>
          </w:p>
        </w:tc>
        <w:tc>
          <w:tcPr>
            <w:tcW w:w="226" w:type="pct"/>
            <w:tcBorders>
              <w:top w:val="nil"/>
              <w:left w:val="nil"/>
              <w:bottom w:val="nil"/>
              <w:right w:val="single" w:sz="4" w:space="0" w:color="auto"/>
            </w:tcBorders>
            <w:shd w:val="clear" w:color="auto" w:fill="auto"/>
            <w:noWrap/>
            <w:hideMark/>
          </w:tcPr>
          <w:p w14:paraId="1148DCD3"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w:t>
            </w:r>
          </w:p>
        </w:tc>
        <w:tc>
          <w:tcPr>
            <w:tcW w:w="236" w:type="pct"/>
            <w:tcBorders>
              <w:top w:val="nil"/>
              <w:left w:val="nil"/>
              <w:bottom w:val="nil"/>
              <w:right w:val="nil"/>
            </w:tcBorders>
            <w:shd w:val="clear" w:color="auto" w:fill="auto"/>
            <w:noWrap/>
            <w:hideMark/>
          </w:tcPr>
          <w:p w14:paraId="334C4B77"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nil"/>
              <w:right w:val="nil"/>
            </w:tcBorders>
            <w:shd w:val="clear" w:color="auto" w:fill="auto"/>
            <w:noWrap/>
            <w:hideMark/>
          </w:tcPr>
          <w:p w14:paraId="10F7F2A5"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0.341</w:t>
            </w:r>
          </w:p>
        </w:tc>
        <w:tc>
          <w:tcPr>
            <w:tcW w:w="229" w:type="pct"/>
            <w:tcBorders>
              <w:top w:val="nil"/>
              <w:left w:val="nil"/>
              <w:bottom w:val="nil"/>
              <w:right w:val="nil"/>
            </w:tcBorders>
            <w:shd w:val="clear" w:color="auto" w:fill="auto"/>
            <w:noWrap/>
            <w:hideMark/>
          </w:tcPr>
          <w:p w14:paraId="13245253"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0.584</w:t>
            </w:r>
          </w:p>
        </w:tc>
        <w:tc>
          <w:tcPr>
            <w:tcW w:w="226" w:type="pct"/>
            <w:tcBorders>
              <w:top w:val="nil"/>
              <w:left w:val="nil"/>
              <w:bottom w:val="nil"/>
              <w:right w:val="single" w:sz="4" w:space="0" w:color="auto"/>
            </w:tcBorders>
            <w:shd w:val="clear" w:color="auto" w:fill="auto"/>
            <w:noWrap/>
            <w:hideMark/>
          </w:tcPr>
          <w:p w14:paraId="7376FE56"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w:t>
            </w:r>
          </w:p>
        </w:tc>
      </w:tr>
      <w:tr w:rsidR="003D1778" w:rsidRPr="00D0522C" w14:paraId="619199D9" w14:textId="77777777" w:rsidTr="00F52561">
        <w:trPr>
          <w:trHeight w:val="324"/>
          <w:jc w:val="center"/>
        </w:trPr>
        <w:tc>
          <w:tcPr>
            <w:tcW w:w="394" w:type="pct"/>
            <w:tcBorders>
              <w:top w:val="nil"/>
              <w:left w:val="single" w:sz="8" w:space="0" w:color="auto"/>
              <w:bottom w:val="single" w:sz="8" w:space="0" w:color="auto"/>
              <w:right w:val="single" w:sz="4" w:space="0" w:color="auto"/>
            </w:tcBorders>
            <w:shd w:val="clear" w:color="auto" w:fill="auto"/>
            <w:hideMark/>
          </w:tcPr>
          <w:p w14:paraId="4B1A3AFA"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proofErr w:type="gramStart"/>
            <w:r w:rsidRPr="00D0522C">
              <w:rPr>
                <w:rFonts w:ascii="Arial" w:eastAsia="Times New Roman" w:hAnsi="Arial" w:cs="Arial"/>
                <w:color w:val="000000"/>
                <w:kern w:val="0"/>
                <w:sz w:val="14"/>
                <w:szCs w:val="14"/>
                <w:lang w:eastAsia="fr-FR"/>
                <w14:ligatures w14:val="none"/>
              </w:rPr>
              <w:t>site</w:t>
            </w:r>
            <w:proofErr w:type="gramEnd"/>
          </w:p>
        </w:tc>
        <w:tc>
          <w:tcPr>
            <w:tcW w:w="236" w:type="pct"/>
            <w:tcBorders>
              <w:top w:val="nil"/>
              <w:left w:val="nil"/>
              <w:bottom w:val="single" w:sz="8" w:space="0" w:color="auto"/>
              <w:right w:val="nil"/>
            </w:tcBorders>
            <w:shd w:val="clear" w:color="auto" w:fill="auto"/>
            <w:noWrap/>
            <w:hideMark/>
          </w:tcPr>
          <w:p w14:paraId="485564D5"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single" w:sz="8" w:space="0" w:color="auto"/>
              <w:right w:val="nil"/>
            </w:tcBorders>
            <w:shd w:val="clear" w:color="auto" w:fill="auto"/>
            <w:noWrap/>
            <w:hideMark/>
          </w:tcPr>
          <w:p w14:paraId="0F0A1B52"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0.031</w:t>
            </w:r>
          </w:p>
        </w:tc>
        <w:tc>
          <w:tcPr>
            <w:tcW w:w="229" w:type="pct"/>
            <w:tcBorders>
              <w:top w:val="nil"/>
              <w:left w:val="nil"/>
              <w:bottom w:val="single" w:sz="8" w:space="0" w:color="auto"/>
              <w:right w:val="nil"/>
            </w:tcBorders>
            <w:shd w:val="clear" w:color="auto" w:fill="auto"/>
            <w:noWrap/>
            <w:hideMark/>
          </w:tcPr>
          <w:p w14:paraId="11C6C766"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0.178</w:t>
            </w:r>
          </w:p>
        </w:tc>
        <w:tc>
          <w:tcPr>
            <w:tcW w:w="226" w:type="pct"/>
            <w:tcBorders>
              <w:top w:val="nil"/>
              <w:left w:val="nil"/>
              <w:bottom w:val="single" w:sz="8" w:space="0" w:color="auto"/>
              <w:right w:val="single" w:sz="4" w:space="0" w:color="auto"/>
            </w:tcBorders>
            <w:shd w:val="clear" w:color="auto" w:fill="auto"/>
            <w:noWrap/>
            <w:hideMark/>
          </w:tcPr>
          <w:p w14:paraId="11DC46C9"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w:t>
            </w:r>
          </w:p>
        </w:tc>
        <w:tc>
          <w:tcPr>
            <w:tcW w:w="948" w:type="pct"/>
            <w:gridSpan w:val="4"/>
            <w:vMerge/>
            <w:tcBorders>
              <w:top w:val="nil"/>
              <w:left w:val="nil"/>
              <w:bottom w:val="single" w:sz="8" w:space="0" w:color="auto"/>
              <w:right w:val="single" w:sz="4" w:space="0" w:color="auto"/>
            </w:tcBorders>
            <w:vAlign w:val="center"/>
            <w:hideMark/>
          </w:tcPr>
          <w:p w14:paraId="4A943F5F"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p>
        </w:tc>
        <w:tc>
          <w:tcPr>
            <w:tcW w:w="236" w:type="pct"/>
            <w:tcBorders>
              <w:top w:val="nil"/>
              <w:left w:val="nil"/>
              <w:bottom w:val="single" w:sz="8" w:space="0" w:color="auto"/>
              <w:right w:val="nil"/>
            </w:tcBorders>
            <w:shd w:val="clear" w:color="auto" w:fill="auto"/>
            <w:noWrap/>
            <w:hideMark/>
          </w:tcPr>
          <w:p w14:paraId="344FFBC0"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single" w:sz="8" w:space="0" w:color="auto"/>
              <w:right w:val="nil"/>
            </w:tcBorders>
            <w:shd w:val="clear" w:color="auto" w:fill="auto"/>
            <w:noWrap/>
            <w:hideMark/>
          </w:tcPr>
          <w:p w14:paraId="7B79BF3A"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1.117</w:t>
            </w:r>
          </w:p>
        </w:tc>
        <w:tc>
          <w:tcPr>
            <w:tcW w:w="175" w:type="pct"/>
            <w:tcBorders>
              <w:top w:val="nil"/>
              <w:left w:val="nil"/>
              <w:bottom w:val="single" w:sz="8" w:space="0" w:color="auto"/>
              <w:right w:val="nil"/>
            </w:tcBorders>
            <w:shd w:val="clear" w:color="auto" w:fill="auto"/>
            <w:noWrap/>
            <w:hideMark/>
          </w:tcPr>
          <w:p w14:paraId="08AA030B"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1.057</w:t>
            </w:r>
          </w:p>
        </w:tc>
        <w:tc>
          <w:tcPr>
            <w:tcW w:w="226" w:type="pct"/>
            <w:tcBorders>
              <w:top w:val="nil"/>
              <w:left w:val="nil"/>
              <w:bottom w:val="single" w:sz="8" w:space="0" w:color="auto"/>
              <w:right w:val="single" w:sz="4" w:space="0" w:color="auto"/>
            </w:tcBorders>
            <w:shd w:val="clear" w:color="auto" w:fill="auto"/>
            <w:noWrap/>
            <w:hideMark/>
          </w:tcPr>
          <w:p w14:paraId="7D4370EB"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w:t>
            </w:r>
          </w:p>
        </w:tc>
        <w:tc>
          <w:tcPr>
            <w:tcW w:w="236" w:type="pct"/>
            <w:tcBorders>
              <w:top w:val="nil"/>
              <w:left w:val="nil"/>
              <w:bottom w:val="single" w:sz="8" w:space="0" w:color="auto"/>
              <w:right w:val="nil"/>
            </w:tcBorders>
            <w:shd w:val="clear" w:color="auto" w:fill="auto"/>
            <w:noWrap/>
            <w:hideMark/>
          </w:tcPr>
          <w:p w14:paraId="1F4FE2DB"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single" w:sz="8" w:space="0" w:color="auto"/>
              <w:right w:val="nil"/>
            </w:tcBorders>
            <w:shd w:val="clear" w:color="auto" w:fill="auto"/>
            <w:noWrap/>
            <w:hideMark/>
          </w:tcPr>
          <w:p w14:paraId="56BEAC38"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0.075</w:t>
            </w:r>
          </w:p>
        </w:tc>
        <w:tc>
          <w:tcPr>
            <w:tcW w:w="229" w:type="pct"/>
            <w:tcBorders>
              <w:top w:val="nil"/>
              <w:left w:val="nil"/>
              <w:bottom w:val="single" w:sz="8" w:space="0" w:color="auto"/>
              <w:right w:val="nil"/>
            </w:tcBorders>
            <w:shd w:val="clear" w:color="auto" w:fill="auto"/>
            <w:noWrap/>
            <w:hideMark/>
          </w:tcPr>
          <w:p w14:paraId="6BE1D72D"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0.274</w:t>
            </w:r>
          </w:p>
        </w:tc>
        <w:tc>
          <w:tcPr>
            <w:tcW w:w="226" w:type="pct"/>
            <w:tcBorders>
              <w:top w:val="nil"/>
              <w:left w:val="nil"/>
              <w:bottom w:val="single" w:sz="8" w:space="0" w:color="auto"/>
              <w:right w:val="single" w:sz="4" w:space="0" w:color="auto"/>
            </w:tcBorders>
            <w:shd w:val="clear" w:color="auto" w:fill="auto"/>
            <w:noWrap/>
            <w:hideMark/>
          </w:tcPr>
          <w:p w14:paraId="5208DCB2"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w:t>
            </w:r>
          </w:p>
        </w:tc>
        <w:tc>
          <w:tcPr>
            <w:tcW w:w="236" w:type="pct"/>
            <w:tcBorders>
              <w:top w:val="nil"/>
              <w:left w:val="nil"/>
              <w:bottom w:val="single" w:sz="8" w:space="0" w:color="auto"/>
              <w:right w:val="nil"/>
            </w:tcBorders>
            <w:shd w:val="clear" w:color="auto" w:fill="auto"/>
            <w:noWrap/>
            <w:hideMark/>
          </w:tcPr>
          <w:p w14:paraId="3907828A"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Intercept</w:t>
            </w:r>
          </w:p>
        </w:tc>
        <w:tc>
          <w:tcPr>
            <w:tcW w:w="236" w:type="pct"/>
            <w:tcBorders>
              <w:top w:val="nil"/>
              <w:left w:val="nil"/>
              <w:bottom w:val="single" w:sz="8" w:space="0" w:color="auto"/>
              <w:right w:val="nil"/>
            </w:tcBorders>
            <w:shd w:val="clear" w:color="auto" w:fill="auto"/>
            <w:noWrap/>
            <w:hideMark/>
          </w:tcPr>
          <w:p w14:paraId="7027B4DB"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0.022</w:t>
            </w:r>
          </w:p>
        </w:tc>
        <w:tc>
          <w:tcPr>
            <w:tcW w:w="229" w:type="pct"/>
            <w:tcBorders>
              <w:top w:val="nil"/>
              <w:left w:val="nil"/>
              <w:bottom w:val="single" w:sz="8" w:space="0" w:color="auto"/>
              <w:right w:val="nil"/>
            </w:tcBorders>
            <w:shd w:val="clear" w:color="auto" w:fill="auto"/>
            <w:noWrap/>
            <w:hideMark/>
          </w:tcPr>
          <w:p w14:paraId="3E5235C3"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0.150</w:t>
            </w:r>
          </w:p>
        </w:tc>
        <w:tc>
          <w:tcPr>
            <w:tcW w:w="226" w:type="pct"/>
            <w:tcBorders>
              <w:top w:val="nil"/>
              <w:left w:val="nil"/>
              <w:bottom w:val="single" w:sz="8" w:space="0" w:color="auto"/>
              <w:right w:val="single" w:sz="4" w:space="0" w:color="auto"/>
            </w:tcBorders>
            <w:shd w:val="clear" w:color="auto" w:fill="auto"/>
            <w:noWrap/>
            <w:hideMark/>
          </w:tcPr>
          <w:p w14:paraId="72E54B95"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w:t>
            </w:r>
          </w:p>
        </w:tc>
      </w:tr>
      <w:tr w:rsidR="003D1778" w:rsidRPr="00D0522C" w14:paraId="0AA21347" w14:textId="77777777" w:rsidTr="00F52561">
        <w:trPr>
          <w:trHeight w:val="472"/>
          <w:jc w:val="center"/>
        </w:trPr>
        <w:tc>
          <w:tcPr>
            <w:tcW w:w="394" w:type="pct"/>
            <w:tcBorders>
              <w:top w:val="nil"/>
              <w:left w:val="single" w:sz="4" w:space="0" w:color="auto"/>
              <w:bottom w:val="single" w:sz="4" w:space="0" w:color="auto"/>
              <w:right w:val="single" w:sz="4" w:space="0" w:color="auto"/>
            </w:tcBorders>
            <w:shd w:val="clear" w:color="auto" w:fill="auto"/>
            <w:hideMark/>
          </w:tcPr>
          <w:p w14:paraId="29C80A73" w14:textId="14F8DCFD"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xml:space="preserve">Marginal / </w:t>
            </w:r>
            <w:proofErr w:type="spellStart"/>
            <w:r w:rsidRPr="00D0522C">
              <w:rPr>
                <w:rFonts w:ascii="Arial" w:eastAsia="Times New Roman" w:hAnsi="Arial" w:cs="Arial"/>
                <w:color w:val="000000"/>
                <w:kern w:val="0"/>
                <w:sz w:val="14"/>
                <w:szCs w:val="14"/>
                <w:lang w:eastAsia="fr-FR"/>
                <w14:ligatures w14:val="none"/>
              </w:rPr>
              <w:t>Conditional</w:t>
            </w:r>
            <w:proofErr w:type="spellEnd"/>
            <w:r w:rsidRPr="00D0522C">
              <w:rPr>
                <w:rFonts w:ascii="Arial" w:eastAsia="Times New Roman" w:hAnsi="Arial" w:cs="Arial"/>
                <w:color w:val="000000"/>
                <w:kern w:val="0"/>
                <w:sz w:val="14"/>
                <w:szCs w:val="14"/>
                <w:lang w:eastAsia="fr-FR"/>
                <w14:ligatures w14:val="none"/>
              </w:rPr>
              <w:t xml:space="preserve"> R</w:t>
            </w:r>
            <w:r w:rsidRPr="00D0522C">
              <w:rPr>
                <w:rFonts w:ascii="Arial" w:eastAsia="Times New Roman" w:hAnsi="Arial" w:cs="Arial"/>
                <w:color w:val="000000"/>
                <w:kern w:val="0"/>
                <w:sz w:val="14"/>
                <w:szCs w:val="14"/>
                <w:vertAlign w:val="superscript"/>
                <w:lang w:eastAsia="fr-FR"/>
                <w14:ligatures w14:val="none"/>
              </w:rPr>
              <w:t>2</w:t>
            </w:r>
          </w:p>
        </w:tc>
        <w:tc>
          <w:tcPr>
            <w:tcW w:w="928" w:type="pct"/>
            <w:gridSpan w:val="4"/>
            <w:tcBorders>
              <w:top w:val="single" w:sz="4" w:space="0" w:color="auto"/>
              <w:left w:val="nil"/>
              <w:bottom w:val="single" w:sz="4" w:space="0" w:color="auto"/>
              <w:right w:val="single" w:sz="4" w:space="0" w:color="000000"/>
            </w:tcBorders>
            <w:shd w:val="clear" w:color="auto" w:fill="auto"/>
            <w:noWrap/>
            <w:hideMark/>
          </w:tcPr>
          <w:p w14:paraId="7A45B7D7"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0.223 / 0.641</w:t>
            </w:r>
          </w:p>
        </w:tc>
        <w:tc>
          <w:tcPr>
            <w:tcW w:w="948" w:type="pct"/>
            <w:gridSpan w:val="4"/>
            <w:tcBorders>
              <w:top w:val="single" w:sz="4" w:space="0" w:color="auto"/>
              <w:left w:val="nil"/>
              <w:bottom w:val="single" w:sz="4" w:space="0" w:color="auto"/>
              <w:right w:val="nil"/>
            </w:tcBorders>
            <w:shd w:val="clear" w:color="auto" w:fill="auto"/>
            <w:noWrap/>
            <w:hideMark/>
          </w:tcPr>
          <w:p w14:paraId="5FAA99AE"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 xml:space="preserve">0.309 (R² </w:t>
            </w:r>
            <w:proofErr w:type="spellStart"/>
            <w:r w:rsidRPr="00D0522C">
              <w:rPr>
                <w:rFonts w:ascii="Arial" w:eastAsia="Times New Roman" w:hAnsi="Arial" w:cs="Arial"/>
                <w:color w:val="000000"/>
                <w:kern w:val="0"/>
                <w:sz w:val="14"/>
                <w:szCs w:val="14"/>
                <w:lang w:eastAsia="fr-FR"/>
                <w14:ligatures w14:val="none"/>
              </w:rPr>
              <w:t>Nagelkerke</w:t>
            </w:r>
            <w:proofErr w:type="spellEnd"/>
            <w:r w:rsidRPr="00D0522C">
              <w:rPr>
                <w:rFonts w:ascii="Arial" w:eastAsia="Times New Roman" w:hAnsi="Arial" w:cs="Arial"/>
                <w:color w:val="000000"/>
                <w:kern w:val="0"/>
                <w:sz w:val="14"/>
                <w:szCs w:val="14"/>
                <w:lang w:eastAsia="fr-FR"/>
                <w14:ligatures w14:val="none"/>
              </w:rPr>
              <w:t>)</w:t>
            </w:r>
          </w:p>
        </w:tc>
        <w:tc>
          <w:tcPr>
            <w:tcW w:w="874" w:type="pct"/>
            <w:gridSpan w:val="4"/>
            <w:tcBorders>
              <w:top w:val="single" w:sz="4" w:space="0" w:color="auto"/>
              <w:left w:val="single" w:sz="4" w:space="0" w:color="auto"/>
              <w:bottom w:val="single" w:sz="4" w:space="0" w:color="auto"/>
              <w:right w:val="single" w:sz="4" w:space="0" w:color="000000"/>
            </w:tcBorders>
            <w:shd w:val="clear" w:color="auto" w:fill="auto"/>
            <w:noWrap/>
            <w:hideMark/>
          </w:tcPr>
          <w:p w14:paraId="2ED69BAD"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0.186 / 0.680</w:t>
            </w:r>
          </w:p>
        </w:tc>
        <w:tc>
          <w:tcPr>
            <w:tcW w:w="928" w:type="pct"/>
            <w:gridSpan w:val="4"/>
            <w:tcBorders>
              <w:top w:val="single" w:sz="4" w:space="0" w:color="auto"/>
              <w:left w:val="nil"/>
              <w:bottom w:val="single" w:sz="4" w:space="0" w:color="auto"/>
              <w:right w:val="single" w:sz="4" w:space="0" w:color="000000"/>
            </w:tcBorders>
            <w:shd w:val="clear" w:color="auto" w:fill="auto"/>
            <w:noWrap/>
            <w:hideMark/>
          </w:tcPr>
          <w:p w14:paraId="7A1F1229"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0.100 / 0.786</w:t>
            </w:r>
          </w:p>
        </w:tc>
        <w:tc>
          <w:tcPr>
            <w:tcW w:w="928" w:type="pct"/>
            <w:gridSpan w:val="4"/>
            <w:tcBorders>
              <w:top w:val="single" w:sz="4" w:space="0" w:color="auto"/>
              <w:left w:val="nil"/>
              <w:bottom w:val="single" w:sz="4" w:space="0" w:color="auto"/>
              <w:right w:val="single" w:sz="4" w:space="0" w:color="000000"/>
            </w:tcBorders>
            <w:shd w:val="clear" w:color="auto" w:fill="auto"/>
            <w:noWrap/>
            <w:hideMark/>
          </w:tcPr>
          <w:p w14:paraId="1508B8B1" w14:textId="77777777" w:rsidR="00163DAF" w:rsidRPr="00D0522C" w:rsidRDefault="00163DAF" w:rsidP="00163DAF">
            <w:pPr>
              <w:spacing w:after="0" w:line="240" w:lineRule="auto"/>
              <w:rPr>
                <w:rFonts w:ascii="Arial" w:eastAsia="Times New Roman" w:hAnsi="Arial" w:cs="Arial"/>
                <w:color w:val="000000"/>
                <w:kern w:val="0"/>
                <w:sz w:val="14"/>
                <w:szCs w:val="14"/>
                <w:lang w:eastAsia="fr-FR"/>
                <w14:ligatures w14:val="none"/>
              </w:rPr>
            </w:pPr>
            <w:r w:rsidRPr="00D0522C">
              <w:rPr>
                <w:rFonts w:ascii="Arial" w:eastAsia="Times New Roman" w:hAnsi="Arial" w:cs="Arial"/>
                <w:color w:val="000000"/>
                <w:kern w:val="0"/>
                <w:sz w:val="14"/>
                <w:szCs w:val="14"/>
                <w:lang w:eastAsia="fr-FR"/>
                <w14:ligatures w14:val="none"/>
              </w:rPr>
              <w:t>0.165 / 0.400</w:t>
            </w:r>
          </w:p>
        </w:tc>
      </w:tr>
    </w:tbl>
    <w:p w14:paraId="2BC8E43C" w14:textId="77777777" w:rsidR="00F52561" w:rsidRPr="00D0522C" w:rsidRDefault="00F52561" w:rsidP="00F52561">
      <w:pPr>
        <w:spacing w:line="360" w:lineRule="auto"/>
        <w:jc w:val="both"/>
        <w:rPr>
          <w:rFonts w:ascii="Arial" w:hAnsi="Arial" w:cs="Arial"/>
          <w:i/>
          <w:iCs/>
          <w:sz w:val="20"/>
          <w:szCs w:val="20"/>
          <w:lang w:val="en-GB"/>
        </w:rPr>
      </w:pPr>
    </w:p>
    <w:p w14:paraId="20AB68F1" w14:textId="77777777" w:rsidR="002605F0" w:rsidRPr="00D0522C" w:rsidRDefault="002605F0" w:rsidP="002605F0">
      <w:pPr>
        <w:spacing w:after="0" w:line="360" w:lineRule="auto"/>
        <w:rPr>
          <w:rFonts w:ascii="Arial" w:hAnsi="Arial" w:cs="Arial"/>
          <w:sz w:val="20"/>
          <w:szCs w:val="20"/>
          <w:lang w:val="en-GB"/>
        </w:rPr>
      </w:pPr>
      <w:r w:rsidRPr="00D0522C">
        <w:rPr>
          <w:rFonts w:ascii="Arial" w:hAnsi="Arial" w:cs="Arial"/>
          <w:i/>
          <w:iCs/>
          <w:sz w:val="20"/>
          <w:szCs w:val="20"/>
          <w:lang w:val="en-GB"/>
        </w:rPr>
        <w:t>References</w:t>
      </w:r>
    </w:p>
    <w:p w14:paraId="6AE5A7A3" w14:textId="77777777" w:rsidR="002605F0" w:rsidRPr="00D0522C" w:rsidRDefault="002605F0" w:rsidP="002605F0">
      <w:pPr>
        <w:spacing w:after="0" w:line="240" w:lineRule="auto"/>
        <w:rPr>
          <w:rFonts w:ascii="Arial" w:hAnsi="Arial" w:cs="Arial"/>
          <w:sz w:val="20"/>
          <w:szCs w:val="20"/>
          <w:lang w:val="en-GB"/>
        </w:rPr>
      </w:pPr>
      <w:r w:rsidRPr="00D0522C">
        <w:rPr>
          <w:rFonts w:ascii="Arial" w:hAnsi="Arial" w:cs="Arial"/>
          <w:sz w:val="20"/>
          <w:szCs w:val="20"/>
          <w:lang w:val="en-GB"/>
        </w:rPr>
        <w:t xml:space="preserve">1.   </w:t>
      </w:r>
      <w:r w:rsidRPr="00D0522C">
        <w:rPr>
          <w:rFonts w:ascii="Arial" w:hAnsi="Arial" w:cs="Arial"/>
          <w:sz w:val="20"/>
          <w:szCs w:val="20"/>
          <w:lang w:val="en-GB"/>
        </w:rPr>
        <w:tab/>
        <w:t xml:space="preserve">Brooks, M. E. </w:t>
      </w:r>
      <w:r w:rsidRPr="00D0522C">
        <w:rPr>
          <w:rFonts w:ascii="Arial" w:hAnsi="Arial" w:cs="Arial"/>
          <w:i/>
          <w:iCs/>
          <w:sz w:val="20"/>
          <w:szCs w:val="20"/>
          <w:lang w:val="en-GB"/>
        </w:rPr>
        <w:t>et al.</w:t>
      </w:r>
      <w:r w:rsidRPr="00D0522C">
        <w:rPr>
          <w:rFonts w:ascii="Arial" w:hAnsi="Arial" w:cs="Arial"/>
          <w:sz w:val="20"/>
          <w:szCs w:val="20"/>
          <w:lang w:val="en-GB"/>
        </w:rPr>
        <w:t xml:space="preserve"> </w:t>
      </w:r>
      <w:proofErr w:type="spellStart"/>
      <w:r w:rsidRPr="00D0522C">
        <w:rPr>
          <w:rFonts w:ascii="Arial" w:hAnsi="Arial" w:cs="Arial"/>
          <w:sz w:val="20"/>
          <w:szCs w:val="20"/>
          <w:lang w:val="en-GB"/>
        </w:rPr>
        <w:t>glmmTMB</w:t>
      </w:r>
      <w:proofErr w:type="spellEnd"/>
      <w:r w:rsidRPr="00D0522C">
        <w:rPr>
          <w:rFonts w:ascii="Arial" w:hAnsi="Arial" w:cs="Arial"/>
          <w:sz w:val="20"/>
          <w:szCs w:val="20"/>
          <w:lang w:val="en-GB"/>
        </w:rPr>
        <w:t xml:space="preserve"> Balances Speed and Flexibility Among Packages for Zero-inflated Generalized Linear Mixed </w:t>
      </w:r>
      <w:proofErr w:type="spellStart"/>
      <w:r w:rsidRPr="00D0522C">
        <w:rPr>
          <w:rFonts w:ascii="Arial" w:hAnsi="Arial" w:cs="Arial"/>
          <w:sz w:val="20"/>
          <w:szCs w:val="20"/>
          <w:lang w:val="en-GB"/>
        </w:rPr>
        <w:t>Modeling</w:t>
      </w:r>
      <w:proofErr w:type="spellEnd"/>
      <w:r w:rsidRPr="00D0522C">
        <w:rPr>
          <w:rFonts w:ascii="Arial" w:hAnsi="Arial" w:cs="Arial"/>
          <w:sz w:val="20"/>
          <w:szCs w:val="20"/>
          <w:lang w:val="en-GB"/>
        </w:rPr>
        <w:t xml:space="preserve">. </w:t>
      </w:r>
      <w:r w:rsidRPr="00D0522C">
        <w:rPr>
          <w:rFonts w:ascii="Arial" w:hAnsi="Arial" w:cs="Arial"/>
          <w:i/>
          <w:iCs/>
          <w:sz w:val="20"/>
          <w:szCs w:val="20"/>
          <w:lang w:val="en-GB"/>
        </w:rPr>
        <w:t>The R Journal</w:t>
      </w:r>
      <w:r w:rsidRPr="00D0522C">
        <w:rPr>
          <w:rFonts w:ascii="Arial" w:hAnsi="Arial" w:cs="Arial"/>
          <w:sz w:val="20"/>
          <w:szCs w:val="20"/>
          <w:lang w:val="en-GB"/>
        </w:rPr>
        <w:t xml:space="preserve"> 9, 378–400 (2017).</w:t>
      </w:r>
    </w:p>
    <w:p w14:paraId="075CFA00" w14:textId="77777777" w:rsidR="002605F0" w:rsidRPr="00D0522C" w:rsidRDefault="002605F0" w:rsidP="002605F0">
      <w:pPr>
        <w:spacing w:line="240" w:lineRule="auto"/>
        <w:rPr>
          <w:rFonts w:ascii="Arial" w:hAnsi="Arial" w:cs="Arial"/>
          <w:sz w:val="20"/>
          <w:szCs w:val="20"/>
          <w:lang w:val="en-GB"/>
        </w:rPr>
      </w:pPr>
      <w:r w:rsidRPr="00D0522C">
        <w:rPr>
          <w:rFonts w:ascii="Arial" w:hAnsi="Arial" w:cs="Arial"/>
          <w:sz w:val="20"/>
          <w:szCs w:val="20"/>
          <w:lang w:val="en-GB"/>
        </w:rPr>
        <w:t>2.</w:t>
      </w:r>
      <w:r w:rsidRPr="00D0522C">
        <w:rPr>
          <w:rFonts w:ascii="Arial" w:hAnsi="Arial" w:cs="Arial"/>
          <w:sz w:val="20"/>
          <w:szCs w:val="20"/>
          <w:lang w:val="en-GB"/>
        </w:rPr>
        <w:tab/>
        <w:t xml:space="preserve"> </w:t>
      </w:r>
      <w:proofErr w:type="spellStart"/>
      <w:r w:rsidRPr="00D0522C">
        <w:rPr>
          <w:rFonts w:ascii="Arial" w:hAnsi="Arial" w:cs="Arial"/>
          <w:sz w:val="20"/>
          <w:szCs w:val="20"/>
          <w:lang w:val="en-GB"/>
        </w:rPr>
        <w:t>Lüdecke</w:t>
      </w:r>
      <w:proofErr w:type="spellEnd"/>
      <w:r w:rsidRPr="00D0522C">
        <w:rPr>
          <w:rFonts w:ascii="Arial" w:hAnsi="Arial" w:cs="Arial"/>
          <w:sz w:val="20"/>
          <w:szCs w:val="20"/>
          <w:lang w:val="en-GB"/>
        </w:rPr>
        <w:t xml:space="preserve">, D. </w:t>
      </w:r>
      <w:proofErr w:type="spellStart"/>
      <w:r w:rsidRPr="00D0522C">
        <w:rPr>
          <w:rFonts w:ascii="Arial" w:hAnsi="Arial" w:cs="Arial"/>
          <w:sz w:val="20"/>
          <w:szCs w:val="20"/>
          <w:lang w:val="en-GB"/>
        </w:rPr>
        <w:t>sjPlot</w:t>
      </w:r>
      <w:proofErr w:type="spellEnd"/>
      <w:r w:rsidRPr="00D0522C">
        <w:rPr>
          <w:rFonts w:ascii="Arial" w:hAnsi="Arial" w:cs="Arial"/>
          <w:sz w:val="20"/>
          <w:szCs w:val="20"/>
          <w:lang w:val="en-GB"/>
        </w:rPr>
        <w:t>: Data Visualization for Statistics in Social Science. R package version 2.8.16. (2024)</w:t>
      </w:r>
    </w:p>
    <w:p w14:paraId="3C0E9CB9" w14:textId="08E2ACF3" w:rsidR="00163DAF" w:rsidRPr="00D0522C" w:rsidRDefault="002605F0" w:rsidP="00CB7F83">
      <w:pPr>
        <w:spacing w:line="240" w:lineRule="auto"/>
        <w:rPr>
          <w:rFonts w:ascii="Arial" w:hAnsi="Arial" w:cs="Arial"/>
          <w:sz w:val="20"/>
          <w:szCs w:val="20"/>
          <w:lang w:val="en-GB"/>
        </w:rPr>
        <w:sectPr w:rsidR="00163DAF" w:rsidRPr="00D0522C" w:rsidSect="00163DAF">
          <w:pgSz w:w="16838" w:h="11906" w:orient="landscape"/>
          <w:pgMar w:top="1417" w:right="1417" w:bottom="1417" w:left="1417" w:header="708" w:footer="708" w:gutter="0"/>
          <w:cols w:space="708"/>
          <w:docGrid w:linePitch="360"/>
        </w:sectPr>
      </w:pPr>
      <w:r w:rsidRPr="00D0522C">
        <w:rPr>
          <w:rFonts w:ascii="Arial" w:hAnsi="Arial" w:cs="Arial"/>
          <w:sz w:val="20"/>
          <w:szCs w:val="20"/>
          <w:lang w:val="en-GB"/>
        </w:rPr>
        <w:t xml:space="preserve">3. </w:t>
      </w:r>
      <w:r w:rsidRPr="00D0522C">
        <w:rPr>
          <w:rFonts w:ascii="Arial" w:hAnsi="Arial" w:cs="Arial"/>
          <w:sz w:val="20"/>
          <w:szCs w:val="20"/>
          <w:lang w:val="en-GB"/>
        </w:rPr>
        <w:tab/>
        <w:t xml:space="preserve">Russell V. Lenth. Response-Surface Methods in R, Using </w:t>
      </w:r>
      <w:proofErr w:type="spellStart"/>
      <w:r w:rsidRPr="00D0522C">
        <w:rPr>
          <w:rFonts w:ascii="Arial" w:hAnsi="Arial" w:cs="Arial"/>
          <w:sz w:val="20"/>
          <w:szCs w:val="20"/>
          <w:lang w:val="en-GB"/>
        </w:rPr>
        <w:t>rsm</w:t>
      </w:r>
      <w:proofErr w:type="spellEnd"/>
      <w:r w:rsidRPr="00D0522C">
        <w:rPr>
          <w:rFonts w:ascii="Arial" w:hAnsi="Arial" w:cs="Arial"/>
          <w:sz w:val="20"/>
          <w:szCs w:val="20"/>
          <w:lang w:val="en-GB"/>
        </w:rPr>
        <w:t xml:space="preserve">. </w:t>
      </w:r>
      <w:r w:rsidRPr="00D0522C">
        <w:rPr>
          <w:rFonts w:ascii="Arial" w:hAnsi="Arial" w:cs="Arial"/>
          <w:i/>
          <w:iCs/>
          <w:sz w:val="20"/>
          <w:szCs w:val="20"/>
          <w:lang w:val="en-GB"/>
        </w:rPr>
        <w:t>Journal of Statistical Software</w:t>
      </w:r>
      <w:r w:rsidRPr="00D0522C">
        <w:rPr>
          <w:rFonts w:ascii="Arial" w:hAnsi="Arial" w:cs="Arial"/>
          <w:sz w:val="20"/>
          <w:szCs w:val="20"/>
          <w:lang w:val="en-GB"/>
        </w:rPr>
        <w:t>, 32(7), 1-17. (2009)</w:t>
      </w:r>
    </w:p>
    <w:p w14:paraId="4ECEACA4" w14:textId="77777777" w:rsidR="00B334B8" w:rsidRPr="00D0522C" w:rsidRDefault="00B334B8" w:rsidP="00B334B8">
      <w:pPr>
        <w:spacing w:line="360" w:lineRule="auto"/>
        <w:rPr>
          <w:rFonts w:ascii="Arial" w:hAnsi="Arial" w:cs="Arial"/>
          <w:b/>
          <w:bCs/>
          <w:sz w:val="20"/>
          <w:szCs w:val="20"/>
          <w:lang w:val="en-GB"/>
        </w:rPr>
      </w:pPr>
      <w:r w:rsidRPr="00D0522C">
        <w:rPr>
          <w:rFonts w:ascii="Arial" w:hAnsi="Arial" w:cs="Arial"/>
          <w:b/>
          <w:bCs/>
          <w:sz w:val="20"/>
          <w:szCs w:val="20"/>
          <w:lang w:val="en-GB"/>
        </w:rPr>
        <w:lastRenderedPageBreak/>
        <w:t xml:space="preserve">Appendix S3. Comparison of </w:t>
      </w:r>
      <w:proofErr w:type="spellStart"/>
      <w:r w:rsidRPr="00D0522C">
        <w:rPr>
          <w:rFonts w:ascii="Arial" w:hAnsi="Arial" w:cs="Arial"/>
          <w:b/>
          <w:bCs/>
          <w:sz w:val="20"/>
          <w:szCs w:val="20"/>
          <w:lang w:val="en-GB"/>
        </w:rPr>
        <w:t>iNaturalist</w:t>
      </w:r>
      <w:proofErr w:type="spellEnd"/>
      <w:r w:rsidRPr="00D0522C">
        <w:rPr>
          <w:rFonts w:ascii="Arial" w:hAnsi="Arial" w:cs="Arial"/>
          <w:b/>
          <w:bCs/>
          <w:sz w:val="20"/>
          <w:szCs w:val="20"/>
          <w:lang w:val="en-GB"/>
        </w:rPr>
        <w:t xml:space="preserve"> and airborne eDNA datasets within an 18.6 km radius</w:t>
      </w:r>
    </w:p>
    <w:p w14:paraId="69C1EC30" w14:textId="75422FC6" w:rsidR="00B334B8" w:rsidRPr="00D0522C" w:rsidRDefault="00B334B8" w:rsidP="00B334B8">
      <w:pPr>
        <w:spacing w:line="360" w:lineRule="auto"/>
        <w:rPr>
          <w:rFonts w:ascii="Arial" w:hAnsi="Arial" w:cs="Arial"/>
          <w:sz w:val="20"/>
          <w:szCs w:val="20"/>
          <w:lang w:val="en-GB"/>
        </w:rPr>
      </w:pPr>
      <w:r w:rsidRPr="00D0522C">
        <w:rPr>
          <w:rFonts w:ascii="Arial" w:hAnsi="Arial" w:cs="Arial"/>
          <w:sz w:val="20"/>
          <w:szCs w:val="20"/>
          <w:lang w:val="en-GB"/>
        </w:rPr>
        <w:t xml:space="preserve">Similarly to eBird, the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dataset comprised more taxa than airborne eDNA, with 2,942 taxa from 17,078 observations compared to 1,227 taxa from 185 samples, respectively. However, the overlap in shared species-site detections between the two datasets was lower (7.4%) than when comparing eBird and eDNA with a higher overall detection rate by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than airborne eDNA (McNear’s Chi-squared </w:t>
      </w:r>
      <w:r w:rsidRPr="00D0522C">
        <w:rPr>
          <w:rFonts w:ascii="Cambria Math" w:hAnsi="Cambria Math" w:cs="Cambria Math"/>
          <w:sz w:val="20"/>
          <w:szCs w:val="20"/>
        </w:rPr>
        <w:t>𝜒</w:t>
      </w:r>
      <w:r w:rsidRPr="00D0522C">
        <w:rPr>
          <w:rFonts w:ascii="Arial" w:hAnsi="Arial" w:cs="Arial"/>
          <w:sz w:val="20"/>
          <w:szCs w:val="20"/>
          <w:lang w:val="en-GB"/>
        </w:rPr>
        <w:t xml:space="preserve"> = 6005.8, p &lt; </w:t>
      </w:r>
      <w:r w:rsidR="00A9775C" w:rsidRPr="00D0522C">
        <w:rPr>
          <w:rFonts w:ascii="Arial" w:hAnsi="Arial" w:cs="Arial"/>
          <w:sz w:val="20"/>
          <w:szCs w:val="20"/>
          <w:lang w:val="en-GB"/>
        </w:rPr>
        <w:t>0.001</w:t>
      </w:r>
      <w:r w:rsidRPr="00D0522C">
        <w:rPr>
          <w:rFonts w:ascii="Arial" w:hAnsi="Arial" w:cs="Arial"/>
          <w:sz w:val="20"/>
          <w:szCs w:val="20"/>
          <w:lang w:val="en-GB"/>
        </w:rPr>
        <w:t xml:space="preserve">), with 43.0% found only in the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dataset, and 49.9% found only in the eDNA dataset (</w:t>
      </w:r>
      <w:r w:rsidRPr="00D0522C">
        <w:rPr>
          <w:rFonts w:ascii="Arial" w:hAnsi="Arial" w:cs="Arial"/>
          <w:b/>
          <w:bCs/>
          <w:sz w:val="20"/>
          <w:szCs w:val="20"/>
          <w:lang w:val="en-GB"/>
        </w:rPr>
        <w:t>Appendix 3 Figure 1</w:t>
      </w:r>
      <w:r w:rsidRPr="00D0522C">
        <w:rPr>
          <w:rFonts w:ascii="Arial" w:hAnsi="Arial" w:cs="Arial"/>
          <w:sz w:val="20"/>
          <w:szCs w:val="20"/>
          <w:lang w:val="en-GB"/>
        </w:rPr>
        <w:t xml:space="preserve">). Airborne eDNA detected some taxa not recovered with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(Branchiopoda, </w:t>
      </w:r>
      <w:proofErr w:type="spellStart"/>
      <w:r w:rsidRPr="00D0522C">
        <w:rPr>
          <w:rFonts w:ascii="Arial" w:hAnsi="Arial" w:cs="Arial"/>
          <w:sz w:val="20"/>
          <w:szCs w:val="20"/>
          <w:lang w:val="en-GB"/>
        </w:rPr>
        <w:t>Copepoda</w:t>
      </w:r>
      <w:proofErr w:type="spellEnd"/>
      <w:r w:rsidRPr="00D0522C">
        <w:rPr>
          <w:rFonts w:ascii="Arial" w:hAnsi="Arial" w:cs="Arial"/>
          <w:sz w:val="20"/>
          <w:szCs w:val="20"/>
          <w:lang w:val="en-GB"/>
        </w:rPr>
        <w:t xml:space="preserve">, Nematoda, </w:t>
      </w:r>
      <w:proofErr w:type="spellStart"/>
      <w:r w:rsidRPr="00D0522C">
        <w:rPr>
          <w:rFonts w:ascii="Arial" w:hAnsi="Arial" w:cs="Arial"/>
          <w:sz w:val="20"/>
          <w:szCs w:val="20"/>
          <w:lang w:val="en-GB"/>
        </w:rPr>
        <w:t>Rotifera</w:t>
      </w:r>
      <w:proofErr w:type="spellEnd"/>
      <w:r w:rsidRPr="00D0522C">
        <w:rPr>
          <w:rFonts w:ascii="Arial" w:hAnsi="Arial" w:cs="Arial"/>
          <w:sz w:val="20"/>
          <w:szCs w:val="20"/>
          <w:lang w:val="en-GB"/>
        </w:rPr>
        <w:t xml:space="preserve">, Tardigrada, </w:t>
      </w:r>
      <w:proofErr w:type="spellStart"/>
      <w:r w:rsidRPr="00D0522C">
        <w:rPr>
          <w:rFonts w:ascii="Arial" w:hAnsi="Arial" w:cs="Arial"/>
          <w:sz w:val="20"/>
          <w:szCs w:val="20"/>
          <w:lang w:val="en-GB"/>
        </w:rPr>
        <w:t>Chytriomycota</w:t>
      </w:r>
      <w:proofErr w:type="spellEnd"/>
      <w:r w:rsidRPr="00D0522C">
        <w:rPr>
          <w:rFonts w:ascii="Arial" w:hAnsi="Arial" w:cs="Arial"/>
          <w:sz w:val="20"/>
          <w:szCs w:val="20"/>
          <w:lang w:val="en-GB"/>
        </w:rPr>
        <w:t xml:space="preserve">, Chlorophyta, Charophyta and </w:t>
      </w:r>
      <w:proofErr w:type="spellStart"/>
      <w:r w:rsidRPr="00D0522C">
        <w:rPr>
          <w:rFonts w:ascii="Arial" w:hAnsi="Arial" w:cs="Arial"/>
          <w:sz w:val="20"/>
          <w:szCs w:val="20"/>
          <w:lang w:val="en-GB"/>
        </w:rPr>
        <w:t>Cryptista</w:t>
      </w:r>
      <w:proofErr w:type="spellEnd"/>
      <w:r w:rsidRPr="00D0522C">
        <w:rPr>
          <w:rFonts w:ascii="Arial" w:hAnsi="Arial" w:cs="Arial"/>
          <w:sz w:val="20"/>
          <w:szCs w:val="20"/>
          <w:lang w:val="en-GB"/>
        </w:rPr>
        <w:t>) (</w:t>
      </w:r>
      <w:r w:rsidRPr="00D0522C">
        <w:rPr>
          <w:rFonts w:ascii="Arial" w:hAnsi="Arial" w:cs="Arial"/>
          <w:b/>
          <w:bCs/>
          <w:sz w:val="20"/>
          <w:szCs w:val="20"/>
          <w:lang w:val="en-GB"/>
        </w:rPr>
        <w:t>Appendix 3 Figure 1</w:t>
      </w:r>
      <w:r w:rsidRPr="00D0522C">
        <w:rPr>
          <w:rFonts w:ascii="Arial" w:hAnsi="Arial" w:cs="Arial"/>
          <w:sz w:val="20"/>
          <w:szCs w:val="20"/>
          <w:lang w:val="en-GB"/>
        </w:rPr>
        <w:t xml:space="preserve">, Table S4). Similarly,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detected some taxa not recovered with eDNA (Reptilia, Mollusca, Pycnogonida, Cnidaria, Porifera, Echinodermata, </w:t>
      </w:r>
      <w:proofErr w:type="spellStart"/>
      <w:r w:rsidRPr="00D0522C">
        <w:rPr>
          <w:rFonts w:ascii="Arial" w:hAnsi="Arial" w:cs="Arial"/>
          <w:sz w:val="20"/>
          <w:szCs w:val="20"/>
          <w:lang w:val="en-GB"/>
        </w:rPr>
        <w:t>platyhelminthes</w:t>
      </w:r>
      <w:proofErr w:type="spellEnd"/>
      <w:r w:rsidRPr="00D0522C">
        <w:rPr>
          <w:rFonts w:ascii="Arial" w:hAnsi="Arial" w:cs="Arial"/>
          <w:sz w:val="20"/>
          <w:szCs w:val="20"/>
          <w:lang w:val="en-GB"/>
        </w:rPr>
        <w:t xml:space="preserve">, tunicates, </w:t>
      </w:r>
      <w:proofErr w:type="spellStart"/>
      <w:r w:rsidRPr="00D0522C">
        <w:rPr>
          <w:rFonts w:ascii="Arial" w:hAnsi="Arial" w:cs="Arial"/>
          <w:sz w:val="20"/>
          <w:szCs w:val="20"/>
          <w:lang w:val="en-GB"/>
        </w:rPr>
        <w:t>Chromista</w:t>
      </w:r>
      <w:proofErr w:type="spellEnd"/>
      <w:r w:rsidRPr="00D0522C">
        <w:rPr>
          <w:rFonts w:ascii="Arial" w:hAnsi="Arial" w:cs="Arial"/>
          <w:sz w:val="20"/>
          <w:szCs w:val="20"/>
          <w:lang w:val="en-GB"/>
        </w:rPr>
        <w:t xml:space="preserve">, Protozoa, </w:t>
      </w:r>
      <w:proofErr w:type="spellStart"/>
      <w:r w:rsidRPr="00D0522C">
        <w:rPr>
          <w:rFonts w:ascii="Arial" w:hAnsi="Arial" w:cs="Arial"/>
          <w:sz w:val="20"/>
          <w:szCs w:val="20"/>
          <w:lang w:val="en-GB"/>
        </w:rPr>
        <w:t>Rodophyta</w:t>
      </w:r>
      <w:proofErr w:type="spellEnd"/>
      <w:r w:rsidRPr="00D0522C">
        <w:rPr>
          <w:rFonts w:ascii="Arial" w:hAnsi="Arial" w:cs="Arial"/>
          <w:sz w:val="20"/>
          <w:szCs w:val="20"/>
          <w:lang w:val="en-GB"/>
        </w:rPr>
        <w:t xml:space="preserve">, </w:t>
      </w:r>
      <w:proofErr w:type="spellStart"/>
      <w:r w:rsidRPr="00D0522C">
        <w:rPr>
          <w:rFonts w:ascii="Arial" w:hAnsi="Arial" w:cs="Arial"/>
          <w:sz w:val="20"/>
          <w:szCs w:val="20"/>
          <w:lang w:val="en-GB"/>
        </w:rPr>
        <w:t>Mucoromycota</w:t>
      </w:r>
      <w:proofErr w:type="spellEnd"/>
      <w:r w:rsidRPr="00D0522C">
        <w:rPr>
          <w:rFonts w:ascii="Arial" w:hAnsi="Arial" w:cs="Arial"/>
          <w:sz w:val="20"/>
          <w:szCs w:val="20"/>
          <w:lang w:val="en-GB"/>
        </w:rPr>
        <w:t xml:space="preserve">, </w:t>
      </w:r>
      <w:proofErr w:type="spellStart"/>
      <w:r w:rsidRPr="00D0522C">
        <w:rPr>
          <w:rFonts w:ascii="Arial" w:hAnsi="Arial" w:cs="Arial"/>
          <w:sz w:val="20"/>
          <w:szCs w:val="20"/>
          <w:lang w:val="en-GB"/>
        </w:rPr>
        <w:t>Polypodiopsida</w:t>
      </w:r>
      <w:proofErr w:type="spellEnd"/>
      <w:r w:rsidRPr="00D0522C">
        <w:rPr>
          <w:rFonts w:ascii="Arial" w:hAnsi="Arial" w:cs="Arial"/>
          <w:sz w:val="20"/>
          <w:szCs w:val="20"/>
          <w:lang w:val="en-GB"/>
        </w:rPr>
        <w:t xml:space="preserve">, </w:t>
      </w:r>
      <w:proofErr w:type="spellStart"/>
      <w:r w:rsidRPr="00D0522C">
        <w:rPr>
          <w:rFonts w:ascii="Arial" w:hAnsi="Arial" w:cs="Arial"/>
          <w:sz w:val="20"/>
          <w:szCs w:val="20"/>
          <w:lang w:val="en-GB"/>
        </w:rPr>
        <w:t>Ceratophyllales</w:t>
      </w:r>
      <w:proofErr w:type="spellEnd"/>
      <w:r w:rsidRPr="00D0522C">
        <w:rPr>
          <w:rFonts w:ascii="Arial" w:hAnsi="Arial" w:cs="Arial"/>
          <w:sz w:val="20"/>
          <w:szCs w:val="20"/>
          <w:lang w:val="en-GB"/>
        </w:rPr>
        <w:t xml:space="preserve">, </w:t>
      </w:r>
      <w:proofErr w:type="spellStart"/>
      <w:r w:rsidRPr="00D0522C">
        <w:rPr>
          <w:rFonts w:ascii="Arial" w:hAnsi="Arial" w:cs="Arial"/>
          <w:sz w:val="20"/>
          <w:szCs w:val="20"/>
          <w:lang w:val="en-GB"/>
        </w:rPr>
        <w:t>Eumagnoliids</w:t>
      </w:r>
      <w:proofErr w:type="spellEnd"/>
      <w:r w:rsidRPr="00D0522C">
        <w:rPr>
          <w:rFonts w:ascii="Arial" w:hAnsi="Arial" w:cs="Arial"/>
          <w:sz w:val="20"/>
          <w:szCs w:val="20"/>
          <w:lang w:val="en-GB"/>
        </w:rPr>
        <w:t xml:space="preserve">, </w:t>
      </w:r>
      <w:proofErr w:type="spellStart"/>
      <w:r w:rsidRPr="00D0522C">
        <w:rPr>
          <w:rFonts w:ascii="Arial" w:hAnsi="Arial" w:cs="Arial"/>
          <w:sz w:val="20"/>
          <w:szCs w:val="20"/>
          <w:lang w:val="en-GB"/>
        </w:rPr>
        <w:t>Nymphaeales</w:t>
      </w:r>
      <w:proofErr w:type="spellEnd"/>
      <w:r w:rsidRPr="00D0522C">
        <w:rPr>
          <w:rFonts w:ascii="Arial" w:hAnsi="Arial" w:cs="Arial"/>
          <w:sz w:val="20"/>
          <w:szCs w:val="20"/>
          <w:lang w:val="en-GB"/>
        </w:rPr>
        <w:t xml:space="preserve"> and Lycophytes) (</w:t>
      </w:r>
      <w:r w:rsidRPr="00D0522C">
        <w:rPr>
          <w:rFonts w:ascii="Arial" w:hAnsi="Arial" w:cs="Arial"/>
          <w:b/>
          <w:bCs/>
          <w:sz w:val="20"/>
          <w:szCs w:val="20"/>
          <w:lang w:val="en-GB"/>
        </w:rPr>
        <w:t>Appendix 3 Figure 1</w:t>
      </w:r>
      <w:r w:rsidRPr="00D0522C">
        <w:rPr>
          <w:rFonts w:ascii="Arial" w:hAnsi="Arial" w:cs="Arial"/>
          <w:sz w:val="20"/>
          <w:szCs w:val="20"/>
          <w:lang w:val="en-GB"/>
        </w:rPr>
        <w:t xml:space="preserve">, Table S4). </w:t>
      </w:r>
    </w:p>
    <w:p w14:paraId="4F8EDAC2" w14:textId="5D699905" w:rsidR="00B334B8" w:rsidRPr="00D0522C" w:rsidRDefault="00B334B8" w:rsidP="00B334B8">
      <w:pPr>
        <w:spacing w:line="360" w:lineRule="auto"/>
        <w:rPr>
          <w:rFonts w:ascii="Arial" w:hAnsi="Arial" w:cs="Arial"/>
          <w:sz w:val="20"/>
          <w:szCs w:val="20"/>
          <w:lang w:val="en-GB"/>
        </w:rPr>
      </w:pPr>
      <w:r w:rsidRPr="00D0522C">
        <w:rPr>
          <w:rFonts w:ascii="Arial" w:hAnsi="Arial" w:cs="Arial"/>
          <w:sz w:val="20"/>
          <w:szCs w:val="20"/>
          <w:lang w:val="en-GB"/>
        </w:rPr>
        <w:t>Airborne eDNA recovered more detections of Ascomycota (</w:t>
      </w:r>
      <w:r w:rsidRPr="00D0522C">
        <w:rPr>
          <w:rFonts w:ascii="Cambria Math" w:hAnsi="Cambria Math" w:cs="Cambria Math"/>
          <w:sz w:val="20"/>
          <w:szCs w:val="20"/>
        </w:rPr>
        <w:t>𝜒</w:t>
      </w:r>
      <w:r w:rsidRPr="00D0522C">
        <w:rPr>
          <w:rFonts w:ascii="Arial" w:hAnsi="Arial" w:cs="Arial"/>
          <w:sz w:val="20"/>
          <w:szCs w:val="20"/>
          <w:lang w:val="en-GB"/>
        </w:rPr>
        <w:t xml:space="preserve"> = 26, </w:t>
      </w:r>
      <w:r w:rsidR="00A9775C" w:rsidRPr="00D0522C">
        <w:rPr>
          <w:rFonts w:ascii="Arial" w:hAnsi="Arial" w:cs="Arial"/>
          <w:sz w:val="20"/>
          <w:szCs w:val="20"/>
          <w:lang w:val="en-GB"/>
        </w:rPr>
        <w:t>p &lt; 0.001</w:t>
      </w:r>
      <w:r w:rsidRPr="00D0522C">
        <w:rPr>
          <w:rFonts w:ascii="Arial" w:hAnsi="Arial" w:cs="Arial"/>
          <w:sz w:val="20"/>
          <w:szCs w:val="20"/>
          <w:lang w:val="en-GB"/>
        </w:rPr>
        <w:t>), Chlorophyta (</w:t>
      </w:r>
      <w:r w:rsidRPr="00D0522C">
        <w:rPr>
          <w:rFonts w:ascii="Cambria Math" w:hAnsi="Cambria Math" w:cs="Cambria Math"/>
          <w:sz w:val="20"/>
          <w:szCs w:val="20"/>
        </w:rPr>
        <w:t>𝜒</w:t>
      </w:r>
      <w:r w:rsidRPr="00D0522C">
        <w:rPr>
          <w:rFonts w:ascii="Arial" w:hAnsi="Arial" w:cs="Arial"/>
          <w:sz w:val="20"/>
          <w:szCs w:val="20"/>
          <w:lang w:val="en-GB"/>
        </w:rPr>
        <w:t xml:space="preserve"> = 101.4, </w:t>
      </w:r>
      <w:r w:rsidR="00A9775C" w:rsidRPr="00D0522C">
        <w:rPr>
          <w:rFonts w:ascii="Arial" w:hAnsi="Arial" w:cs="Arial"/>
          <w:sz w:val="20"/>
          <w:szCs w:val="20"/>
          <w:lang w:val="en-GB"/>
        </w:rPr>
        <w:t>p &lt; 0.001</w:t>
      </w:r>
      <w:r w:rsidRPr="00D0522C">
        <w:rPr>
          <w:rFonts w:ascii="Arial" w:hAnsi="Arial" w:cs="Arial"/>
          <w:sz w:val="20"/>
          <w:szCs w:val="20"/>
          <w:lang w:val="en-GB"/>
        </w:rPr>
        <w:t>) and mammals (</w:t>
      </w:r>
      <w:r w:rsidRPr="00D0522C">
        <w:rPr>
          <w:rFonts w:ascii="Cambria Math" w:hAnsi="Cambria Math" w:cs="Cambria Math"/>
          <w:sz w:val="20"/>
          <w:szCs w:val="20"/>
        </w:rPr>
        <w:t>𝜒</w:t>
      </w:r>
      <w:r w:rsidR="001C2F53" w:rsidRPr="001C2F53">
        <w:rPr>
          <w:rFonts w:ascii="Cambria Math" w:hAnsi="Cambria Math" w:cs="Cambria Math"/>
          <w:sz w:val="20"/>
          <w:szCs w:val="20"/>
          <w:lang w:val="en-GB"/>
        </w:rPr>
        <w:t xml:space="preserve"> </w:t>
      </w:r>
      <w:r w:rsidRPr="00D0522C">
        <w:rPr>
          <w:rFonts w:ascii="Arial" w:hAnsi="Arial" w:cs="Arial"/>
          <w:sz w:val="20"/>
          <w:szCs w:val="20"/>
          <w:lang w:val="en-GB"/>
        </w:rPr>
        <w:t xml:space="preserve">= 5.7, p = </w:t>
      </w:r>
      <w:r w:rsidR="00A9775C" w:rsidRPr="00D0522C">
        <w:rPr>
          <w:rFonts w:ascii="Arial" w:hAnsi="Arial" w:cs="Arial"/>
          <w:sz w:val="20"/>
          <w:szCs w:val="20"/>
          <w:lang w:val="en-GB"/>
        </w:rPr>
        <w:t>0.0</w:t>
      </w:r>
      <w:r w:rsidRPr="00D0522C">
        <w:rPr>
          <w:rFonts w:ascii="Arial" w:hAnsi="Arial" w:cs="Arial"/>
          <w:sz w:val="20"/>
          <w:szCs w:val="20"/>
          <w:lang w:val="en-GB"/>
        </w:rPr>
        <w:t xml:space="preserve">16).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recovered more detections of Basidiomycota (</w:t>
      </w:r>
      <w:r w:rsidRPr="00D0522C">
        <w:rPr>
          <w:rFonts w:ascii="Cambria Math" w:hAnsi="Cambria Math" w:cs="Cambria Math"/>
          <w:sz w:val="20"/>
          <w:szCs w:val="20"/>
        </w:rPr>
        <w:t>𝜒</w:t>
      </w:r>
      <w:r w:rsidRPr="00D0522C">
        <w:rPr>
          <w:rFonts w:ascii="Arial" w:hAnsi="Arial" w:cs="Arial"/>
          <w:sz w:val="20"/>
          <w:szCs w:val="20"/>
          <w:lang w:val="en-GB"/>
        </w:rPr>
        <w:t xml:space="preserve"> = 630.9, </w:t>
      </w:r>
      <w:r w:rsidR="00A9775C" w:rsidRPr="00D0522C">
        <w:rPr>
          <w:rFonts w:ascii="Arial" w:hAnsi="Arial" w:cs="Arial"/>
          <w:sz w:val="20"/>
          <w:szCs w:val="20"/>
          <w:lang w:val="en-GB"/>
        </w:rPr>
        <w:t>p &lt; 0.001</w:t>
      </w:r>
      <w:r w:rsidRPr="00D0522C">
        <w:rPr>
          <w:rFonts w:ascii="Arial" w:hAnsi="Arial" w:cs="Arial"/>
          <w:sz w:val="20"/>
          <w:szCs w:val="20"/>
          <w:lang w:val="en-GB"/>
        </w:rPr>
        <w:t>), Bryophyta (</w:t>
      </w:r>
      <w:r w:rsidRPr="00D0522C">
        <w:rPr>
          <w:rFonts w:ascii="Cambria Math" w:hAnsi="Cambria Math" w:cs="Cambria Math"/>
          <w:sz w:val="20"/>
          <w:szCs w:val="20"/>
        </w:rPr>
        <w:t>𝜒</w:t>
      </w:r>
      <w:r w:rsidRPr="00D0522C">
        <w:rPr>
          <w:rFonts w:ascii="Arial" w:hAnsi="Arial" w:cs="Arial"/>
          <w:sz w:val="20"/>
          <w:szCs w:val="20"/>
          <w:lang w:val="en-GB"/>
        </w:rPr>
        <w:t xml:space="preserve"> = 164.5, </w:t>
      </w:r>
      <w:r w:rsidR="00A9775C" w:rsidRPr="00D0522C">
        <w:rPr>
          <w:rFonts w:ascii="Arial" w:hAnsi="Arial" w:cs="Arial"/>
          <w:sz w:val="20"/>
          <w:szCs w:val="20"/>
          <w:lang w:val="en-GB"/>
        </w:rPr>
        <w:t>p &lt; 0.001</w:t>
      </w:r>
      <w:r w:rsidRPr="00D0522C">
        <w:rPr>
          <w:rFonts w:ascii="Arial" w:hAnsi="Arial" w:cs="Arial"/>
          <w:sz w:val="20"/>
          <w:szCs w:val="20"/>
          <w:lang w:val="en-GB"/>
        </w:rPr>
        <w:t>), Monocots (</w:t>
      </w:r>
      <w:r w:rsidRPr="00D0522C">
        <w:rPr>
          <w:rFonts w:ascii="Cambria Math" w:hAnsi="Cambria Math" w:cs="Cambria Math"/>
          <w:sz w:val="20"/>
          <w:szCs w:val="20"/>
        </w:rPr>
        <w:t>𝜒</w:t>
      </w:r>
      <w:r w:rsidRPr="00D0522C">
        <w:rPr>
          <w:rFonts w:ascii="Arial" w:hAnsi="Arial" w:cs="Arial"/>
          <w:sz w:val="20"/>
          <w:szCs w:val="20"/>
          <w:lang w:val="en-GB"/>
        </w:rPr>
        <w:t xml:space="preserve"> = 299.6, </w:t>
      </w:r>
      <w:r w:rsidR="00A9775C" w:rsidRPr="00D0522C">
        <w:rPr>
          <w:rFonts w:ascii="Arial" w:hAnsi="Arial" w:cs="Arial"/>
          <w:sz w:val="20"/>
          <w:szCs w:val="20"/>
          <w:lang w:val="en-GB"/>
        </w:rPr>
        <w:t>p &lt; 0.001</w:t>
      </w:r>
      <w:r w:rsidRPr="00D0522C">
        <w:rPr>
          <w:rFonts w:ascii="Arial" w:hAnsi="Arial" w:cs="Arial"/>
          <w:sz w:val="20"/>
          <w:szCs w:val="20"/>
          <w:lang w:val="en-GB"/>
        </w:rPr>
        <w:t>), Eudicots (</w:t>
      </w:r>
      <w:r w:rsidRPr="00D0522C">
        <w:rPr>
          <w:rFonts w:ascii="Cambria Math" w:hAnsi="Cambria Math" w:cs="Cambria Math"/>
          <w:sz w:val="20"/>
          <w:szCs w:val="20"/>
        </w:rPr>
        <w:t>𝜒</w:t>
      </w:r>
      <w:r w:rsidRPr="00D0522C">
        <w:rPr>
          <w:rFonts w:ascii="Arial" w:hAnsi="Arial" w:cs="Arial"/>
          <w:sz w:val="20"/>
          <w:szCs w:val="20"/>
          <w:lang w:val="en-GB"/>
        </w:rPr>
        <w:t xml:space="preserve"> = 2231.5, p = 0), </w:t>
      </w:r>
      <w:proofErr w:type="spellStart"/>
      <w:r w:rsidRPr="00D0522C">
        <w:rPr>
          <w:rFonts w:ascii="Arial" w:hAnsi="Arial" w:cs="Arial"/>
          <w:sz w:val="20"/>
          <w:szCs w:val="20"/>
          <w:lang w:val="en-GB"/>
        </w:rPr>
        <w:t>Marchantiophyta</w:t>
      </w:r>
      <w:proofErr w:type="spellEnd"/>
      <w:r w:rsidRPr="00D0522C">
        <w:rPr>
          <w:rFonts w:ascii="Arial" w:hAnsi="Arial" w:cs="Arial"/>
          <w:sz w:val="20"/>
          <w:szCs w:val="20"/>
          <w:lang w:val="en-GB"/>
        </w:rPr>
        <w:t xml:space="preserve"> (</w:t>
      </w:r>
      <w:r w:rsidRPr="00D0522C">
        <w:rPr>
          <w:rFonts w:ascii="Cambria Math" w:hAnsi="Cambria Math" w:cs="Cambria Math"/>
          <w:sz w:val="20"/>
          <w:szCs w:val="20"/>
        </w:rPr>
        <w:t>𝜒</w:t>
      </w:r>
      <w:r w:rsidRPr="00D0522C">
        <w:rPr>
          <w:rFonts w:ascii="Arial" w:hAnsi="Arial" w:cs="Arial"/>
          <w:sz w:val="20"/>
          <w:szCs w:val="20"/>
          <w:lang w:val="en-GB"/>
        </w:rPr>
        <w:t xml:space="preserve"> = 47.2, </w:t>
      </w:r>
      <w:r w:rsidR="00A9775C" w:rsidRPr="00D0522C">
        <w:rPr>
          <w:rFonts w:ascii="Arial" w:hAnsi="Arial" w:cs="Arial"/>
          <w:sz w:val="20"/>
          <w:szCs w:val="20"/>
          <w:lang w:val="en-GB"/>
        </w:rPr>
        <w:t>p &lt; 0.001</w:t>
      </w:r>
      <w:r w:rsidRPr="00D0522C">
        <w:rPr>
          <w:rFonts w:ascii="Arial" w:hAnsi="Arial" w:cs="Arial"/>
          <w:sz w:val="20"/>
          <w:szCs w:val="20"/>
          <w:lang w:val="en-GB"/>
        </w:rPr>
        <w:t xml:space="preserve">), </w:t>
      </w:r>
      <w:proofErr w:type="spellStart"/>
      <w:r w:rsidRPr="00D0522C">
        <w:rPr>
          <w:rFonts w:ascii="Arial" w:hAnsi="Arial" w:cs="Arial"/>
          <w:sz w:val="20"/>
          <w:szCs w:val="20"/>
          <w:lang w:val="en-GB"/>
        </w:rPr>
        <w:t>Insecta</w:t>
      </w:r>
      <w:proofErr w:type="spellEnd"/>
      <w:r w:rsidRPr="00D0522C">
        <w:rPr>
          <w:rFonts w:ascii="Arial" w:hAnsi="Arial" w:cs="Arial"/>
          <w:sz w:val="20"/>
          <w:szCs w:val="20"/>
          <w:lang w:val="en-GB"/>
        </w:rPr>
        <w:t xml:space="preserve"> (</w:t>
      </w:r>
      <w:r w:rsidRPr="00D0522C">
        <w:rPr>
          <w:rFonts w:ascii="Cambria Math" w:hAnsi="Cambria Math" w:cs="Cambria Math"/>
          <w:sz w:val="20"/>
          <w:szCs w:val="20"/>
        </w:rPr>
        <w:t>𝜒</w:t>
      </w:r>
      <w:r w:rsidRPr="00D0522C">
        <w:rPr>
          <w:rFonts w:ascii="Arial" w:hAnsi="Arial" w:cs="Arial"/>
          <w:sz w:val="20"/>
          <w:szCs w:val="20"/>
          <w:lang w:val="en-GB"/>
        </w:rPr>
        <w:t xml:space="preserve"> = 2424.8, p = 0), Arachnida (</w:t>
      </w:r>
      <w:r w:rsidRPr="00D0522C">
        <w:rPr>
          <w:rFonts w:ascii="Cambria Math" w:hAnsi="Cambria Math" w:cs="Cambria Math"/>
          <w:sz w:val="20"/>
          <w:szCs w:val="20"/>
        </w:rPr>
        <w:t>𝜒</w:t>
      </w:r>
      <w:r w:rsidRPr="00D0522C">
        <w:rPr>
          <w:rFonts w:ascii="Arial" w:hAnsi="Arial" w:cs="Arial"/>
          <w:sz w:val="20"/>
          <w:szCs w:val="20"/>
          <w:lang w:val="en-GB"/>
        </w:rPr>
        <w:t xml:space="preserve"> = 141.5, </w:t>
      </w:r>
      <w:r w:rsidR="00A9775C" w:rsidRPr="00D0522C">
        <w:rPr>
          <w:rFonts w:ascii="Arial" w:hAnsi="Arial" w:cs="Arial"/>
          <w:sz w:val="20"/>
          <w:szCs w:val="20"/>
          <w:lang w:val="en-GB"/>
        </w:rPr>
        <w:t>p &lt; 0.001</w:t>
      </w:r>
      <w:r w:rsidRPr="00D0522C">
        <w:rPr>
          <w:rFonts w:ascii="Arial" w:hAnsi="Arial" w:cs="Arial"/>
          <w:sz w:val="20"/>
          <w:szCs w:val="20"/>
          <w:lang w:val="en-GB"/>
        </w:rPr>
        <w:t>), Malacostraca (</w:t>
      </w:r>
      <w:r w:rsidRPr="00D0522C">
        <w:rPr>
          <w:rFonts w:ascii="Cambria Math" w:hAnsi="Cambria Math" w:cs="Cambria Math"/>
          <w:sz w:val="20"/>
          <w:szCs w:val="20"/>
        </w:rPr>
        <w:t>𝜒</w:t>
      </w:r>
      <w:r w:rsidRPr="00D0522C">
        <w:rPr>
          <w:rFonts w:ascii="Arial" w:hAnsi="Arial" w:cs="Arial"/>
          <w:sz w:val="20"/>
          <w:szCs w:val="20"/>
          <w:lang w:val="en-GB"/>
        </w:rPr>
        <w:t xml:space="preserve"> = 49.9, </w:t>
      </w:r>
      <w:r w:rsidR="00A9775C" w:rsidRPr="00D0522C">
        <w:rPr>
          <w:rFonts w:ascii="Arial" w:hAnsi="Arial" w:cs="Arial"/>
          <w:sz w:val="20"/>
          <w:szCs w:val="20"/>
          <w:lang w:val="en-GB"/>
        </w:rPr>
        <w:t>p &lt; 0.001</w:t>
      </w:r>
      <w:r w:rsidRPr="00D0522C">
        <w:rPr>
          <w:rFonts w:ascii="Arial" w:hAnsi="Arial" w:cs="Arial"/>
          <w:sz w:val="20"/>
          <w:szCs w:val="20"/>
          <w:lang w:val="en-GB"/>
        </w:rPr>
        <w:t>), Diplopoda (</w:t>
      </w:r>
      <w:r w:rsidRPr="00D0522C">
        <w:rPr>
          <w:rFonts w:ascii="Cambria Math" w:hAnsi="Cambria Math" w:cs="Cambria Math"/>
          <w:sz w:val="20"/>
          <w:szCs w:val="20"/>
        </w:rPr>
        <w:t>𝜒</w:t>
      </w:r>
      <w:r w:rsidRPr="00D0522C">
        <w:rPr>
          <w:rFonts w:ascii="Arial" w:hAnsi="Arial" w:cs="Arial"/>
          <w:sz w:val="20"/>
          <w:szCs w:val="20"/>
          <w:lang w:val="en-GB"/>
        </w:rPr>
        <w:t xml:space="preserve"> = 18.2, </w:t>
      </w:r>
      <w:r w:rsidR="00A9775C" w:rsidRPr="00D0522C">
        <w:rPr>
          <w:rFonts w:ascii="Arial" w:hAnsi="Arial" w:cs="Arial"/>
          <w:sz w:val="20"/>
          <w:szCs w:val="20"/>
          <w:lang w:val="en-GB"/>
        </w:rPr>
        <w:t>p &lt; 0.001</w:t>
      </w:r>
      <w:r w:rsidRPr="00D0522C">
        <w:rPr>
          <w:rFonts w:ascii="Arial" w:hAnsi="Arial" w:cs="Arial"/>
          <w:sz w:val="20"/>
          <w:szCs w:val="20"/>
          <w:lang w:val="en-GB"/>
        </w:rPr>
        <w:t>), Fish (</w:t>
      </w:r>
      <w:r w:rsidRPr="00D0522C">
        <w:rPr>
          <w:rFonts w:ascii="Cambria Math" w:hAnsi="Cambria Math" w:cs="Cambria Math"/>
          <w:sz w:val="20"/>
          <w:szCs w:val="20"/>
        </w:rPr>
        <w:t>𝜒</w:t>
      </w:r>
      <w:r w:rsidRPr="00D0522C">
        <w:rPr>
          <w:rFonts w:ascii="Arial" w:hAnsi="Arial" w:cs="Arial"/>
          <w:sz w:val="20"/>
          <w:szCs w:val="20"/>
          <w:lang w:val="en-GB"/>
        </w:rPr>
        <w:t xml:space="preserve"> = 54.8, </w:t>
      </w:r>
      <w:r w:rsidR="00A9775C" w:rsidRPr="00D0522C">
        <w:rPr>
          <w:rFonts w:ascii="Arial" w:hAnsi="Arial" w:cs="Arial"/>
          <w:sz w:val="20"/>
          <w:szCs w:val="20"/>
          <w:lang w:val="en-GB"/>
        </w:rPr>
        <w:t>p &lt; 0.001</w:t>
      </w:r>
      <w:r w:rsidRPr="00D0522C">
        <w:rPr>
          <w:rFonts w:ascii="Arial" w:hAnsi="Arial" w:cs="Arial"/>
          <w:sz w:val="20"/>
          <w:szCs w:val="20"/>
          <w:lang w:val="en-GB"/>
        </w:rPr>
        <w:t>), Bird (</w:t>
      </w:r>
      <w:r w:rsidRPr="00D0522C">
        <w:rPr>
          <w:rFonts w:ascii="Cambria Math" w:hAnsi="Cambria Math" w:cs="Cambria Math"/>
          <w:sz w:val="20"/>
          <w:szCs w:val="20"/>
        </w:rPr>
        <w:t>𝜒</w:t>
      </w:r>
      <w:r w:rsidRPr="00D0522C">
        <w:rPr>
          <w:rFonts w:ascii="Arial" w:hAnsi="Arial" w:cs="Arial"/>
          <w:sz w:val="20"/>
          <w:szCs w:val="20"/>
          <w:lang w:val="en-GB"/>
        </w:rPr>
        <w:t xml:space="preserve"> = 615.8, </w:t>
      </w:r>
      <w:r w:rsidR="00A9775C" w:rsidRPr="00D0522C">
        <w:rPr>
          <w:rFonts w:ascii="Arial" w:hAnsi="Arial" w:cs="Arial"/>
          <w:sz w:val="20"/>
          <w:szCs w:val="20"/>
          <w:lang w:val="en-GB"/>
        </w:rPr>
        <w:t>p &lt; 0.001</w:t>
      </w:r>
      <w:r w:rsidRPr="00D0522C">
        <w:rPr>
          <w:rFonts w:ascii="Arial" w:hAnsi="Arial" w:cs="Arial"/>
          <w:sz w:val="20"/>
          <w:szCs w:val="20"/>
          <w:lang w:val="en-GB"/>
        </w:rPr>
        <w:t>) and Amphibian (</w:t>
      </w:r>
      <w:r w:rsidRPr="00D0522C">
        <w:rPr>
          <w:rFonts w:ascii="Cambria Math" w:hAnsi="Cambria Math" w:cs="Cambria Math"/>
          <w:sz w:val="20"/>
          <w:szCs w:val="20"/>
        </w:rPr>
        <w:t>𝜒</w:t>
      </w:r>
      <w:r w:rsidRPr="00D0522C">
        <w:rPr>
          <w:rFonts w:ascii="Arial" w:hAnsi="Arial" w:cs="Arial"/>
          <w:sz w:val="20"/>
          <w:szCs w:val="20"/>
          <w:lang w:val="en-GB"/>
        </w:rPr>
        <w:t xml:space="preserve"> = 45.2, </w:t>
      </w:r>
      <w:r w:rsidR="00A9775C" w:rsidRPr="00D0522C">
        <w:rPr>
          <w:rFonts w:ascii="Arial" w:hAnsi="Arial" w:cs="Arial"/>
          <w:sz w:val="20"/>
          <w:szCs w:val="20"/>
          <w:lang w:val="en-GB"/>
        </w:rPr>
        <w:t>p &lt; 0.001</w:t>
      </w:r>
      <w:r w:rsidRPr="00D0522C">
        <w:rPr>
          <w:rFonts w:ascii="Arial" w:hAnsi="Arial" w:cs="Arial"/>
          <w:sz w:val="20"/>
          <w:szCs w:val="20"/>
          <w:lang w:val="en-GB"/>
        </w:rPr>
        <w:t>). No significant difference was observed for Bryozoa (p = 1.000), Ostracoda (p = 1</w:t>
      </w:r>
      <w:r w:rsidR="00A9775C" w:rsidRPr="00D0522C">
        <w:rPr>
          <w:rFonts w:ascii="Arial" w:hAnsi="Arial" w:cs="Arial"/>
          <w:sz w:val="20"/>
          <w:szCs w:val="20"/>
          <w:lang w:val="en-GB"/>
        </w:rPr>
        <w:t>.000</w:t>
      </w:r>
      <w:r w:rsidRPr="00D0522C">
        <w:rPr>
          <w:rFonts w:ascii="Arial" w:hAnsi="Arial" w:cs="Arial"/>
          <w:sz w:val="20"/>
          <w:szCs w:val="20"/>
          <w:lang w:val="en-GB"/>
        </w:rPr>
        <w:t>), Gymnosperm (p = 0.</w:t>
      </w:r>
      <w:r w:rsidR="00A9775C" w:rsidRPr="00D0522C">
        <w:rPr>
          <w:rFonts w:ascii="Arial" w:hAnsi="Arial" w:cs="Arial"/>
          <w:sz w:val="20"/>
          <w:szCs w:val="20"/>
          <w:lang w:val="en-GB"/>
        </w:rPr>
        <w:t>371</w:t>
      </w:r>
      <w:r w:rsidRPr="00D0522C">
        <w:rPr>
          <w:rFonts w:ascii="Arial" w:hAnsi="Arial" w:cs="Arial"/>
          <w:sz w:val="20"/>
          <w:szCs w:val="20"/>
          <w:lang w:val="en-GB"/>
        </w:rPr>
        <w:t xml:space="preserve">), </w:t>
      </w:r>
      <w:proofErr w:type="spellStart"/>
      <w:r w:rsidRPr="00D0522C">
        <w:rPr>
          <w:rFonts w:ascii="Arial" w:hAnsi="Arial" w:cs="Arial"/>
          <w:sz w:val="20"/>
          <w:szCs w:val="20"/>
          <w:lang w:val="en-GB"/>
        </w:rPr>
        <w:t>Thecostraca</w:t>
      </w:r>
      <w:proofErr w:type="spellEnd"/>
      <w:r w:rsidRPr="00D0522C">
        <w:rPr>
          <w:rFonts w:ascii="Arial" w:hAnsi="Arial" w:cs="Arial"/>
          <w:sz w:val="20"/>
          <w:szCs w:val="20"/>
          <w:lang w:val="en-GB"/>
        </w:rPr>
        <w:t xml:space="preserve"> (p = 0.6</w:t>
      </w:r>
      <w:r w:rsidR="00A9775C" w:rsidRPr="00D0522C">
        <w:rPr>
          <w:rFonts w:ascii="Arial" w:hAnsi="Arial" w:cs="Arial"/>
          <w:sz w:val="20"/>
          <w:szCs w:val="20"/>
          <w:lang w:val="en-GB"/>
        </w:rPr>
        <w:t>17</w:t>
      </w:r>
      <w:r w:rsidRPr="00D0522C">
        <w:rPr>
          <w:rFonts w:ascii="Arial" w:hAnsi="Arial" w:cs="Arial"/>
          <w:sz w:val="20"/>
          <w:szCs w:val="20"/>
          <w:lang w:val="en-GB"/>
        </w:rPr>
        <w:t xml:space="preserve">), </w:t>
      </w:r>
      <w:proofErr w:type="spellStart"/>
      <w:r w:rsidRPr="00D0522C">
        <w:rPr>
          <w:rFonts w:ascii="Arial" w:hAnsi="Arial" w:cs="Arial"/>
          <w:sz w:val="20"/>
          <w:szCs w:val="20"/>
          <w:lang w:val="en-GB"/>
        </w:rPr>
        <w:t>Entognatha</w:t>
      </w:r>
      <w:proofErr w:type="spellEnd"/>
      <w:r w:rsidRPr="00D0522C">
        <w:rPr>
          <w:rFonts w:ascii="Arial" w:hAnsi="Arial" w:cs="Arial"/>
          <w:sz w:val="20"/>
          <w:szCs w:val="20"/>
          <w:lang w:val="en-GB"/>
        </w:rPr>
        <w:t xml:space="preserve"> (p = 0.06</w:t>
      </w:r>
      <w:r w:rsidR="00A9775C" w:rsidRPr="00D0522C">
        <w:rPr>
          <w:rFonts w:ascii="Arial" w:hAnsi="Arial" w:cs="Arial"/>
          <w:sz w:val="20"/>
          <w:szCs w:val="20"/>
          <w:lang w:val="en-GB"/>
        </w:rPr>
        <w:t>5</w:t>
      </w:r>
      <w:r w:rsidRPr="00D0522C">
        <w:rPr>
          <w:rFonts w:ascii="Arial" w:hAnsi="Arial" w:cs="Arial"/>
          <w:sz w:val="20"/>
          <w:szCs w:val="20"/>
          <w:lang w:val="en-GB"/>
        </w:rPr>
        <w:t>) and Annelida (p = 0.7</w:t>
      </w:r>
      <w:r w:rsidR="00A9775C" w:rsidRPr="00D0522C">
        <w:rPr>
          <w:rFonts w:ascii="Arial" w:hAnsi="Arial" w:cs="Arial"/>
          <w:sz w:val="20"/>
          <w:szCs w:val="20"/>
          <w:lang w:val="en-GB"/>
        </w:rPr>
        <w:t>42</w:t>
      </w:r>
      <w:r w:rsidRPr="00D0522C">
        <w:rPr>
          <w:rFonts w:ascii="Arial" w:hAnsi="Arial" w:cs="Arial"/>
          <w:sz w:val="20"/>
          <w:szCs w:val="20"/>
          <w:lang w:val="en-GB"/>
        </w:rPr>
        <w:t>).</w:t>
      </w:r>
    </w:p>
    <w:p w14:paraId="366B1ED7" w14:textId="77777777" w:rsidR="00B334B8" w:rsidRPr="00D0522C" w:rsidRDefault="00B334B8" w:rsidP="00B334B8">
      <w:pPr>
        <w:spacing w:line="360" w:lineRule="auto"/>
        <w:rPr>
          <w:rFonts w:ascii="Arial" w:hAnsi="Arial" w:cs="Arial"/>
          <w:lang w:val="en-GB"/>
        </w:rPr>
      </w:pPr>
      <w:r w:rsidRPr="00D0522C">
        <w:rPr>
          <w:rFonts w:ascii="Arial" w:hAnsi="Arial" w:cs="Arial"/>
          <w:lang w:val="en-GB"/>
        </w:rPr>
        <w:br w:type="page"/>
      </w:r>
    </w:p>
    <w:p w14:paraId="468AFA31" w14:textId="77777777" w:rsidR="00B334B8" w:rsidRPr="00D0522C" w:rsidRDefault="00B334B8" w:rsidP="00B334B8">
      <w:pPr>
        <w:spacing w:line="360" w:lineRule="auto"/>
        <w:rPr>
          <w:rFonts w:ascii="Arial" w:hAnsi="Arial" w:cs="Arial"/>
          <w:lang w:val="en-GB"/>
        </w:rPr>
      </w:pPr>
      <w:r w:rsidRPr="00D0522C">
        <w:rPr>
          <w:rFonts w:ascii="Arial" w:hAnsi="Arial" w:cs="Arial"/>
          <w:noProof/>
          <w:lang w:val="en-GB"/>
        </w:rPr>
        <w:lastRenderedPageBreak/>
        <w:drawing>
          <wp:inline distT="0" distB="0" distL="0" distR="0" wp14:anchorId="75CD4C99" wp14:editId="60008968">
            <wp:extent cx="5760720" cy="6472555"/>
            <wp:effectExtent l="0" t="0" r="0" b="4445"/>
            <wp:docPr id="17593048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304895" name="Image 1759304895"/>
                    <pic:cNvPicPr/>
                  </pic:nvPicPr>
                  <pic:blipFill>
                    <a:blip r:embed="rId8">
                      <a:extLst>
                        <a:ext uri="{28A0092B-C50C-407E-A947-70E740481C1C}">
                          <a14:useLocalDpi xmlns:a14="http://schemas.microsoft.com/office/drawing/2010/main" val="0"/>
                        </a:ext>
                      </a:extLst>
                    </a:blip>
                    <a:stretch>
                      <a:fillRect/>
                    </a:stretch>
                  </pic:blipFill>
                  <pic:spPr>
                    <a:xfrm>
                      <a:off x="0" y="0"/>
                      <a:ext cx="5760720" cy="6472555"/>
                    </a:xfrm>
                    <a:prstGeom prst="rect">
                      <a:avLst/>
                    </a:prstGeom>
                  </pic:spPr>
                </pic:pic>
              </a:graphicData>
            </a:graphic>
          </wp:inline>
        </w:drawing>
      </w:r>
    </w:p>
    <w:p w14:paraId="5CAD0CB4" w14:textId="77777777" w:rsidR="00B334B8" w:rsidRPr="00D0522C" w:rsidRDefault="00B334B8" w:rsidP="00B334B8">
      <w:pPr>
        <w:spacing w:line="360" w:lineRule="auto"/>
        <w:rPr>
          <w:rFonts w:ascii="Arial" w:hAnsi="Arial" w:cs="Arial"/>
          <w:sz w:val="20"/>
          <w:szCs w:val="20"/>
          <w:lang w:val="en-GB"/>
        </w:rPr>
      </w:pPr>
      <w:r w:rsidRPr="00D0522C">
        <w:rPr>
          <w:rFonts w:ascii="Arial" w:hAnsi="Arial" w:cs="Arial"/>
          <w:b/>
          <w:bCs/>
          <w:sz w:val="20"/>
          <w:szCs w:val="20"/>
          <w:lang w:val="en-GB"/>
        </w:rPr>
        <w:lastRenderedPageBreak/>
        <w:t>Appendix 3 Figure 1.</w:t>
      </w:r>
      <w:r w:rsidRPr="00D0522C">
        <w:rPr>
          <w:rFonts w:ascii="Arial" w:hAnsi="Arial" w:cs="Arial"/>
          <w:sz w:val="20"/>
          <w:szCs w:val="20"/>
          <w:lang w:val="en-GB"/>
        </w:rPr>
        <w:t xml:space="preserve"> Detection source percentage per taxonomic group (vertebrates, arthropods, other invertebrates, fungi, plants, protists and algae) in </w:t>
      </w:r>
      <w:proofErr w:type="gramStart"/>
      <w:r w:rsidRPr="00D0522C">
        <w:rPr>
          <w:rFonts w:ascii="Arial" w:hAnsi="Arial" w:cs="Arial"/>
          <w:sz w:val="20"/>
          <w:szCs w:val="20"/>
          <w:lang w:val="en-GB"/>
        </w:rPr>
        <w:t>a</w:t>
      </w:r>
      <w:proofErr w:type="gramEnd"/>
      <w:r w:rsidRPr="00D0522C">
        <w:rPr>
          <w:rFonts w:ascii="Arial" w:hAnsi="Arial" w:cs="Arial"/>
          <w:sz w:val="20"/>
          <w:szCs w:val="20"/>
          <w:lang w:val="en-GB"/>
        </w:rPr>
        <w:t xml:space="preserve"> 18.6km radius around the sampling sites. “Both” = percentage of detections in both the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and eDNA datasets,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only” = percentage of detections in the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dataset only, and “eDNA only” = percentage of detections in the eDNA dataset only. The numbers of taxa in the </w:t>
      </w:r>
      <w:proofErr w:type="spellStart"/>
      <w:r w:rsidRPr="00D0522C">
        <w:rPr>
          <w:rFonts w:ascii="Arial" w:hAnsi="Arial" w:cs="Arial"/>
          <w:sz w:val="20"/>
          <w:szCs w:val="20"/>
          <w:lang w:val="en-GB"/>
        </w:rPr>
        <w:t>iNaturalist</w:t>
      </w:r>
      <w:proofErr w:type="spellEnd"/>
      <w:r w:rsidRPr="00D0522C">
        <w:rPr>
          <w:rFonts w:ascii="Arial" w:hAnsi="Arial" w:cs="Arial"/>
          <w:sz w:val="20"/>
          <w:szCs w:val="20"/>
          <w:lang w:val="en-GB"/>
        </w:rPr>
        <w:t xml:space="preserve"> checklists (total of 2,942 taxa from 17,078 observations) and the eDNA dataset (1,227 taxa from 185 samples) are indicated between brackets for each taxonomic group.</w:t>
      </w:r>
    </w:p>
    <w:p w14:paraId="0A7963DB" w14:textId="7B11ADFB" w:rsidR="00F400C1" w:rsidRPr="00D0522C" w:rsidRDefault="00F400C1">
      <w:pPr>
        <w:rPr>
          <w:rFonts w:ascii="Arial" w:hAnsi="Arial" w:cs="Arial"/>
          <w:sz w:val="20"/>
          <w:lang w:val="en-GB"/>
        </w:rPr>
      </w:pPr>
    </w:p>
    <w:p w14:paraId="3D108D34" w14:textId="4B2B5AEB" w:rsidR="00B334B8" w:rsidRPr="00D0522C" w:rsidRDefault="00B334B8">
      <w:pPr>
        <w:rPr>
          <w:rFonts w:ascii="Arial" w:hAnsi="Arial" w:cs="Arial"/>
          <w:sz w:val="20"/>
          <w:lang w:val="en-GB"/>
        </w:rPr>
      </w:pPr>
      <w:r w:rsidRPr="00D0522C">
        <w:rPr>
          <w:rFonts w:ascii="Arial" w:hAnsi="Arial" w:cs="Arial"/>
          <w:sz w:val="20"/>
          <w:lang w:val="en-GB"/>
        </w:rPr>
        <w:br w:type="page"/>
      </w:r>
    </w:p>
    <w:p w14:paraId="6363964C" w14:textId="64C6A507" w:rsidR="00795211" w:rsidRPr="00D0522C" w:rsidRDefault="00795211" w:rsidP="002179A2">
      <w:pPr>
        <w:spacing w:after="0" w:line="360" w:lineRule="auto"/>
        <w:jc w:val="both"/>
        <w:rPr>
          <w:rFonts w:ascii="Arial" w:hAnsi="Arial" w:cs="Arial"/>
          <w:sz w:val="20"/>
          <w:szCs w:val="20"/>
          <w:lang w:val="en-GB"/>
        </w:rPr>
      </w:pPr>
      <w:r w:rsidRPr="00D0522C">
        <w:rPr>
          <w:rFonts w:ascii="Arial" w:hAnsi="Arial" w:cs="Arial"/>
          <w:noProof/>
          <w:sz w:val="20"/>
          <w:szCs w:val="20"/>
          <w:lang w:val="en-GB"/>
        </w:rPr>
        <w:lastRenderedPageBreak/>
        <w:drawing>
          <wp:anchor distT="0" distB="0" distL="114300" distR="114300" simplePos="0" relativeHeight="251658240" behindDoc="0" locked="0" layoutInCell="1" allowOverlap="1" wp14:anchorId="25DD63C1" wp14:editId="4581D492">
            <wp:simplePos x="0" y="0"/>
            <wp:positionH relativeFrom="column">
              <wp:posOffset>-762635</wp:posOffset>
            </wp:positionH>
            <wp:positionV relativeFrom="paragraph">
              <wp:posOffset>0</wp:posOffset>
            </wp:positionV>
            <wp:extent cx="10500995" cy="4747260"/>
            <wp:effectExtent l="0" t="0" r="0" b="0"/>
            <wp:wrapSquare wrapText="bothSides"/>
            <wp:docPr id="823971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71033" name="Picture 823971033"/>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500995" cy="4747260"/>
                    </a:xfrm>
                    <a:prstGeom prst="rect">
                      <a:avLst/>
                    </a:prstGeom>
                  </pic:spPr>
                </pic:pic>
              </a:graphicData>
            </a:graphic>
            <wp14:sizeRelH relativeFrom="margin">
              <wp14:pctWidth>0</wp14:pctWidth>
            </wp14:sizeRelH>
            <wp14:sizeRelV relativeFrom="margin">
              <wp14:pctHeight>0</wp14:pctHeight>
            </wp14:sizeRelV>
          </wp:anchor>
        </w:drawing>
      </w:r>
    </w:p>
    <w:p w14:paraId="1E38EDEB" w14:textId="77777777" w:rsidR="002B6CCD" w:rsidRDefault="00795211" w:rsidP="002179A2">
      <w:pPr>
        <w:spacing w:after="0" w:line="360" w:lineRule="auto"/>
        <w:jc w:val="both"/>
        <w:rPr>
          <w:rFonts w:ascii="Arial" w:hAnsi="Arial" w:cs="Arial"/>
          <w:sz w:val="20"/>
          <w:szCs w:val="20"/>
          <w:lang w:val="en-GB"/>
        </w:rPr>
        <w:sectPr w:rsidR="002B6CCD" w:rsidSect="00795211">
          <w:pgSz w:w="16838" w:h="11906" w:orient="landscape"/>
          <w:pgMar w:top="1417" w:right="1417" w:bottom="1417" w:left="1417" w:header="708" w:footer="708" w:gutter="0"/>
          <w:cols w:space="708"/>
          <w:docGrid w:linePitch="360"/>
        </w:sectPr>
      </w:pPr>
      <w:r w:rsidRPr="00D0522C">
        <w:rPr>
          <w:rFonts w:ascii="Arial" w:hAnsi="Arial" w:cs="Arial"/>
          <w:b/>
          <w:bCs/>
          <w:sz w:val="20"/>
          <w:szCs w:val="20"/>
          <w:lang w:val="en-GB"/>
        </w:rPr>
        <w:t>Figure S</w:t>
      </w:r>
      <w:r w:rsidR="002B6CCD">
        <w:rPr>
          <w:rFonts w:ascii="Arial" w:hAnsi="Arial" w:cs="Arial"/>
          <w:b/>
          <w:bCs/>
          <w:sz w:val="20"/>
          <w:szCs w:val="20"/>
          <w:lang w:val="en-GB"/>
        </w:rPr>
        <w:t>1</w:t>
      </w:r>
      <w:r w:rsidRPr="00D0522C">
        <w:rPr>
          <w:rFonts w:ascii="Arial" w:hAnsi="Arial" w:cs="Arial"/>
          <w:sz w:val="20"/>
          <w:szCs w:val="20"/>
          <w:lang w:val="en-GB"/>
        </w:rPr>
        <w:t>. Detection counts (i.e. positive samples) of each A) plant (genus), B) vertebrate (genus and species), C) fungi (genus), D) arthropod (genus) and E) non-arthropod invertebrate (genus) taxa in the airborne eDNA dataset, sorted from the most to the least detected in our dataset. For more clarity, arthropod taxa with less than three detections are not represented here.</w:t>
      </w:r>
    </w:p>
    <w:p w14:paraId="090C093F" w14:textId="77777777" w:rsidR="002B6CCD" w:rsidRPr="00D0522C" w:rsidRDefault="002B6CCD" w:rsidP="002B6CCD">
      <w:pPr>
        <w:pStyle w:val="Bibliographie"/>
        <w:spacing w:line="360" w:lineRule="auto"/>
        <w:rPr>
          <w:rFonts w:ascii="Arial" w:hAnsi="Arial" w:cs="Arial"/>
          <w:sz w:val="20"/>
          <w:lang w:val="en-GB"/>
        </w:rPr>
      </w:pPr>
    </w:p>
    <w:p w14:paraId="2DCB6432" w14:textId="77777777" w:rsidR="002B6CCD" w:rsidRPr="00D0522C" w:rsidRDefault="002B6CCD" w:rsidP="002B6CCD">
      <w:pPr>
        <w:spacing w:line="360" w:lineRule="auto"/>
        <w:jc w:val="both"/>
        <w:rPr>
          <w:rFonts w:ascii="Arial" w:hAnsi="Arial" w:cs="Arial"/>
          <w:sz w:val="20"/>
          <w:szCs w:val="20"/>
          <w:lang w:val="en-GB"/>
        </w:rPr>
      </w:pPr>
    </w:p>
    <w:p w14:paraId="6ECF8F61" w14:textId="77777777" w:rsidR="002B6CCD" w:rsidRPr="00D0522C" w:rsidRDefault="002B6CCD" w:rsidP="002B6CCD">
      <w:pPr>
        <w:spacing w:after="0" w:line="360" w:lineRule="auto"/>
        <w:jc w:val="both"/>
        <w:rPr>
          <w:rFonts w:ascii="Arial" w:hAnsi="Arial" w:cs="Arial"/>
          <w:sz w:val="20"/>
          <w:szCs w:val="20"/>
          <w:lang w:val="en-GB"/>
        </w:rPr>
      </w:pPr>
      <w:r w:rsidRPr="00D0522C">
        <w:rPr>
          <w:rFonts w:ascii="Arial" w:hAnsi="Arial" w:cs="Arial"/>
          <w:noProof/>
          <w:sz w:val="20"/>
          <w:szCs w:val="20"/>
          <w:lang w:val="en-GB"/>
        </w:rPr>
        <w:drawing>
          <wp:inline distT="0" distB="0" distL="0" distR="0" wp14:anchorId="758C546C" wp14:editId="238FB22A">
            <wp:extent cx="5760720" cy="4445000"/>
            <wp:effectExtent l="0" t="0" r="0" b="0"/>
            <wp:docPr id="871597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97440" name="Picture 87159744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4445000"/>
                    </a:xfrm>
                    <a:prstGeom prst="rect">
                      <a:avLst/>
                    </a:prstGeom>
                  </pic:spPr>
                </pic:pic>
              </a:graphicData>
            </a:graphic>
          </wp:inline>
        </w:drawing>
      </w:r>
    </w:p>
    <w:p w14:paraId="1074E0AB" w14:textId="5B582862" w:rsidR="00795211" w:rsidRPr="00FF725C" w:rsidRDefault="002B6CCD" w:rsidP="002179A2">
      <w:pPr>
        <w:spacing w:after="0" w:line="360" w:lineRule="auto"/>
        <w:jc w:val="both"/>
        <w:rPr>
          <w:rFonts w:ascii="Arial" w:hAnsi="Arial" w:cs="Arial"/>
          <w:sz w:val="20"/>
          <w:szCs w:val="20"/>
          <w:lang w:val="en-GB"/>
        </w:rPr>
      </w:pPr>
      <w:r w:rsidRPr="00D0522C">
        <w:rPr>
          <w:rFonts w:ascii="Arial" w:hAnsi="Arial" w:cs="Arial"/>
          <w:b/>
          <w:sz w:val="20"/>
          <w:szCs w:val="20"/>
          <w:lang w:val="en-GB"/>
        </w:rPr>
        <w:t>Figure S</w:t>
      </w:r>
      <w:r>
        <w:rPr>
          <w:rFonts w:ascii="Arial" w:hAnsi="Arial" w:cs="Arial"/>
          <w:b/>
          <w:sz w:val="20"/>
          <w:szCs w:val="20"/>
          <w:lang w:val="en-GB"/>
        </w:rPr>
        <w:t>2</w:t>
      </w:r>
      <w:r w:rsidRPr="00D0522C">
        <w:rPr>
          <w:rFonts w:ascii="Arial" w:hAnsi="Arial" w:cs="Arial"/>
          <w:b/>
          <w:sz w:val="20"/>
          <w:szCs w:val="20"/>
          <w:lang w:val="en-GB"/>
        </w:rPr>
        <w:t xml:space="preserve">. </w:t>
      </w:r>
      <w:r w:rsidRPr="00D0522C">
        <w:rPr>
          <w:rFonts w:ascii="Arial" w:hAnsi="Arial" w:cs="Arial"/>
          <w:sz w:val="20"/>
          <w:szCs w:val="20"/>
          <w:lang w:val="en-GB"/>
        </w:rPr>
        <w:t>Overlap of A) vertebrate taxa at the species level (birds, mammals, fish, amphibians) based on two markers in three primer pairs: 12S birds (</w:t>
      </w:r>
      <w:proofErr w:type="spellStart"/>
      <w:r w:rsidRPr="00D0522C">
        <w:rPr>
          <w:rFonts w:ascii="Arial" w:hAnsi="Arial" w:cs="Arial"/>
          <w:sz w:val="20"/>
          <w:szCs w:val="20"/>
          <w:lang w:val="en-GB"/>
        </w:rPr>
        <w:t>birT</w:t>
      </w:r>
      <w:proofErr w:type="spellEnd"/>
      <w:r w:rsidRPr="00D0522C">
        <w:rPr>
          <w:rFonts w:ascii="Arial" w:hAnsi="Arial" w:cs="Arial"/>
          <w:sz w:val="20"/>
          <w:szCs w:val="20"/>
          <w:lang w:val="en-GB"/>
        </w:rPr>
        <w:t>-F/R), 12S mammals (</w:t>
      </w:r>
      <w:proofErr w:type="spellStart"/>
      <w:r w:rsidRPr="00D0522C">
        <w:rPr>
          <w:rFonts w:ascii="Arial" w:hAnsi="Arial" w:cs="Arial"/>
          <w:sz w:val="20"/>
          <w:szCs w:val="20"/>
          <w:lang w:val="en-GB"/>
        </w:rPr>
        <w:t>MiMammal</w:t>
      </w:r>
      <w:proofErr w:type="spellEnd"/>
      <w:r w:rsidRPr="00D0522C">
        <w:rPr>
          <w:rFonts w:ascii="Arial" w:hAnsi="Arial" w:cs="Arial"/>
          <w:sz w:val="20"/>
          <w:szCs w:val="20"/>
          <w:lang w:val="en-GB"/>
        </w:rPr>
        <w:t>-U-F/R), 16S vertebrates (mam1/2), and B) all taxa at the genus level (arthropods, other invertebrates, vertebrates, fungi, plants and protists) based on four markers in five primer pairs: 12S birds (</w:t>
      </w:r>
      <w:proofErr w:type="spellStart"/>
      <w:r w:rsidRPr="00D0522C">
        <w:rPr>
          <w:rFonts w:ascii="Arial" w:hAnsi="Arial" w:cs="Arial"/>
          <w:sz w:val="20"/>
          <w:szCs w:val="20"/>
          <w:lang w:val="en-GB"/>
        </w:rPr>
        <w:t>birT</w:t>
      </w:r>
      <w:proofErr w:type="spellEnd"/>
      <w:r w:rsidRPr="00D0522C">
        <w:rPr>
          <w:rFonts w:ascii="Arial" w:hAnsi="Arial" w:cs="Arial"/>
          <w:sz w:val="20"/>
          <w:szCs w:val="20"/>
          <w:lang w:val="en-GB"/>
        </w:rPr>
        <w:t>-F/R), 12S mammals (</w:t>
      </w:r>
      <w:proofErr w:type="spellStart"/>
      <w:r w:rsidRPr="00D0522C">
        <w:rPr>
          <w:rFonts w:ascii="Arial" w:hAnsi="Arial" w:cs="Arial"/>
          <w:sz w:val="20"/>
          <w:szCs w:val="20"/>
          <w:lang w:val="en-GB"/>
        </w:rPr>
        <w:t>MiMammal</w:t>
      </w:r>
      <w:proofErr w:type="spellEnd"/>
      <w:r w:rsidRPr="00D0522C">
        <w:rPr>
          <w:rFonts w:ascii="Arial" w:hAnsi="Arial" w:cs="Arial"/>
          <w:sz w:val="20"/>
          <w:szCs w:val="20"/>
          <w:lang w:val="en-GB"/>
        </w:rPr>
        <w:t>-U-F/R), 16S vertebrates (mam1/2), COI arthropods (ZBJ-ArtF1c/R2c), ITS2 plants/fungi (S2F/ITS4). Circle size is proportional to the number of taxa. Note that 12S birds (</w:t>
      </w:r>
      <w:proofErr w:type="spellStart"/>
      <w:r w:rsidRPr="00D0522C">
        <w:rPr>
          <w:rFonts w:ascii="Arial" w:hAnsi="Arial" w:cs="Arial"/>
          <w:sz w:val="20"/>
          <w:szCs w:val="20"/>
          <w:lang w:val="en-GB"/>
        </w:rPr>
        <w:t>birT</w:t>
      </w:r>
      <w:proofErr w:type="spellEnd"/>
      <w:r w:rsidRPr="00D0522C">
        <w:rPr>
          <w:rFonts w:ascii="Arial" w:hAnsi="Arial" w:cs="Arial"/>
          <w:sz w:val="20"/>
          <w:szCs w:val="20"/>
          <w:lang w:val="en-GB"/>
        </w:rPr>
        <w:t>-F/R) completely overlaps with the other primer</w:t>
      </w:r>
      <w:r w:rsidR="00880839">
        <w:rPr>
          <w:rFonts w:ascii="Arial" w:hAnsi="Arial" w:cs="Arial"/>
          <w:sz w:val="20"/>
          <w:szCs w:val="20"/>
          <w:lang w:val="en-GB"/>
        </w:rPr>
        <w:t>s</w:t>
      </w:r>
      <w:r w:rsidRPr="00D0522C">
        <w:rPr>
          <w:rFonts w:ascii="Arial" w:hAnsi="Arial" w:cs="Arial"/>
          <w:sz w:val="20"/>
          <w:szCs w:val="20"/>
          <w:lang w:val="en-GB"/>
        </w:rPr>
        <w:t xml:space="preserve"> pair</w:t>
      </w:r>
      <w:r w:rsidR="00880839">
        <w:rPr>
          <w:rFonts w:ascii="Arial" w:hAnsi="Arial" w:cs="Arial"/>
          <w:sz w:val="20"/>
          <w:szCs w:val="20"/>
          <w:lang w:val="en-GB"/>
        </w:rPr>
        <w:t>s</w:t>
      </w:r>
      <w:r w:rsidRPr="00D0522C">
        <w:rPr>
          <w:rFonts w:ascii="Arial" w:hAnsi="Arial" w:cs="Arial"/>
          <w:sz w:val="20"/>
          <w:szCs w:val="20"/>
          <w:lang w:val="en-GB"/>
        </w:rPr>
        <w:t xml:space="preserve"> at the genus level</w:t>
      </w:r>
      <w:r>
        <w:rPr>
          <w:rFonts w:ascii="Arial" w:hAnsi="Arial" w:cs="Arial"/>
          <w:sz w:val="20"/>
          <w:szCs w:val="20"/>
          <w:lang w:val="en-GB"/>
        </w:rPr>
        <w:t>.</w:t>
      </w:r>
      <w:r w:rsidRPr="00FF725C">
        <w:rPr>
          <w:rFonts w:ascii="Arial" w:hAnsi="Arial" w:cs="Arial"/>
          <w:sz w:val="20"/>
          <w:szCs w:val="20"/>
          <w:lang w:val="en-GB"/>
        </w:rPr>
        <w:t xml:space="preserve"> </w:t>
      </w:r>
    </w:p>
    <w:sectPr w:rsidR="00795211" w:rsidRPr="00FF725C" w:rsidSect="002B6C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CB3666"/>
    <w:multiLevelType w:val="hybridMultilevel"/>
    <w:tmpl w:val="93F49EF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19902A0"/>
    <w:multiLevelType w:val="multilevel"/>
    <w:tmpl w:val="DAF43A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2494580"/>
    <w:multiLevelType w:val="multilevel"/>
    <w:tmpl w:val="F71A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2B3AEC"/>
    <w:multiLevelType w:val="multilevel"/>
    <w:tmpl w:val="3C0E4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1733731">
    <w:abstractNumId w:val="2"/>
  </w:num>
  <w:num w:numId="2" w16cid:durableId="119151876">
    <w:abstractNumId w:val="1"/>
  </w:num>
  <w:num w:numId="3" w16cid:durableId="1062607454">
    <w:abstractNumId w:val="0"/>
  </w:num>
  <w:num w:numId="4" w16cid:durableId="1217475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211"/>
    <w:rsid w:val="00000CD0"/>
    <w:rsid w:val="00017824"/>
    <w:rsid w:val="00027DE7"/>
    <w:rsid w:val="00163DAF"/>
    <w:rsid w:val="001B69FE"/>
    <w:rsid w:val="001C2F53"/>
    <w:rsid w:val="001C4410"/>
    <w:rsid w:val="001D736F"/>
    <w:rsid w:val="001E716C"/>
    <w:rsid w:val="00201EF3"/>
    <w:rsid w:val="00210D4A"/>
    <w:rsid w:val="002179A2"/>
    <w:rsid w:val="0023259B"/>
    <w:rsid w:val="002605F0"/>
    <w:rsid w:val="002B6CCD"/>
    <w:rsid w:val="002F23EF"/>
    <w:rsid w:val="00340C06"/>
    <w:rsid w:val="003D1778"/>
    <w:rsid w:val="003E3F33"/>
    <w:rsid w:val="003E4746"/>
    <w:rsid w:val="00422D9C"/>
    <w:rsid w:val="00471B7B"/>
    <w:rsid w:val="00491A50"/>
    <w:rsid w:val="004B6721"/>
    <w:rsid w:val="00504C10"/>
    <w:rsid w:val="00533120"/>
    <w:rsid w:val="005D796B"/>
    <w:rsid w:val="006972F4"/>
    <w:rsid w:val="00795211"/>
    <w:rsid w:val="00817637"/>
    <w:rsid w:val="00850CC9"/>
    <w:rsid w:val="00880839"/>
    <w:rsid w:val="00936C96"/>
    <w:rsid w:val="00A6182E"/>
    <w:rsid w:val="00A74D72"/>
    <w:rsid w:val="00A9775C"/>
    <w:rsid w:val="00B334B8"/>
    <w:rsid w:val="00B56822"/>
    <w:rsid w:val="00B86967"/>
    <w:rsid w:val="00BB26DC"/>
    <w:rsid w:val="00C0266A"/>
    <w:rsid w:val="00C20409"/>
    <w:rsid w:val="00C24DCE"/>
    <w:rsid w:val="00CB7F83"/>
    <w:rsid w:val="00D0522C"/>
    <w:rsid w:val="00D1086E"/>
    <w:rsid w:val="00D428A3"/>
    <w:rsid w:val="00E77DE4"/>
    <w:rsid w:val="00E973E5"/>
    <w:rsid w:val="00EA00FB"/>
    <w:rsid w:val="00ED2FF2"/>
    <w:rsid w:val="00EF4D5B"/>
    <w:rsid w:val="00EF7453"/>
    <w:rsid w:val="00F1033A"/>
    <w:rsid w:val="00F400C1"/>
    <w:rsid w:val="00F52561"/>
    <w:rsid w:val="00FC6F16"/>
    <w:rsid w:val="00FF725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64AB"/>
  <w15:chartTrackingRefBased/>
  <w15:docId w15:val="{535A1E1E-5DF1-47FE-9A72-FC3BD34B2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21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10D4A"/>
    <w:pPr>
      <w:ind w:left="720"/>
      <w:contextualSpacing/>
    </w:pPr>
  </w:style>
  <w:style w:type="paragraph" w:styleId="Bibliographie">
    <w:name w:val="Bibliography"/>
    <w:basedOn w:val="Normal"/>
    <w:next w:val="Normal"/>
    <w:uiPriority w:val="37"/>
    <w:unhideWhenUsed/>
    <w:rsid w:val="00210D4A"/>
    <w:pPr>
      <w:tabs>
        <w:tab w:val="left" w:pos="264"/>
      </w:tabs>
      <w:spacing w:after="0" w:line="480" w:lineRule="auto"/>
      <w:ind w:left="264" w:hanging="264"/>
    </w:pPr>
  </w:style>
  <w:style w:type="character" w:styleId="Marquedecommentaire">
    <w:name w:val="annotation reference"/>
    <w:basedOn w:val="Policepardfaut"/>
    <w:uiPriority w:val="99"/>
    <w:semiHidden/>
    <w:unhideWhenUsed/>
    <w:rsid w:val="002605F0"/>
    <w:rPr>
      <w:sz w:val="16"/>
      <w:szCs w:val="16"/>
    </w:rPr>
  </w:style>
  <w:style w:type="paragraph" w:styleId="Commentaire">
    <w:name w:val="annotation text"/>
    <w:basedOn w:val="Normal"/>
    <w:link w:val="CommentaireCar"/>
    <w:uiPriority w:val="99"/>
    <w:semiHidden/>
    <w:unhideWhenUsed/>
    <w:rsid w:val="002605F0"/>
    <w:pPr>
      <w:spacing w:line="240" w:lineRule="auto"/>
    </w:pPr>
    <w:rPr>
      <w:sz w:val="20"/>
      <w:szCs w:val="20"/>
    </w:rPr>
  </w:style>
  <w:style w:type="character" w:customStyle="1" w:styleId="CommentaireCar">
    <w:name w:val="Commentaire Car"/>
    <w:basedOn w:val="Policepardfaut"/>
    <w:link w:val="Commentaire"/>
    <w:uiPriority w:val="99"/>
    <w:semiHidden/>
    <w:rsid w:val="002605F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157148">
      <w:bodyDiv w:val="1"/>
      <w:marLeft w:val="0"/>
      <w:marRight w:val="0"/>
      <w:marTop w:val="0"/>
      <w:marBottom w:val="0"/>
      <w:divBdr>
        <w:top w:val="none" w:sz="0" w:space="0" w:color="auto"/>
        <w:left w:val="none" w:sz="0" w:space="0" w:color="auto"/>
        <w:bottom w:val="none" w:sz="0" w:space="0" w:color="auto"/>
        <w:right w:val="none" w:sz="0" w:space="0" w:color="auto"/>
      </w:divBdr>
    </w:div>
    <w:div w:id="784348982">
      <w:bodyDiv w:val="1"/>
      <w:marLeft w:val="0"/>
      <w:marRight w:val="0"/>
      <w:marTop w:val="0"/>
      <w:marBottom w:val="0"/>
      <w:divBdr>
        <w:top w:val="none" w:sz="0" w:space="0" w:color="auto"/>
        <w:left w:val="none" w:sz="0" w:space="0" w:color="auto"/>
        <w:bottom w:val="none" w:sz="0" w:space="0" w:color="auto"/>
        <w:right w:val="none" w:sz="0" w:space="0" w:color="auto"/>
      </w:divBdr>
    </w:div>
    <w:div w:id="938099574">
      <w:bodyDiv w:val="1"/>
      <w:marLeft w:val="0"/>
      <w:marRight w:val="0"/>
      <w:marTop w:val="0"/>
      <w:marBottom w:val="0"/>
      <w:divBdr>
        <w:top w:val="none" w:sz="0" w:space="0" w:color="auto"/>
        <w:left w:val="none" w:sz="0" w:space="0" w:color="auto"/>
        <w:bottom w:val="none" w:sz="0" w:space="0" w:color="auto"/>
        <w:right w:val="none" w:sz="0" w:space="0" w:color="auto"/>
      </w:divBdr>
    </w:div>
    <w:div w:id="1566262223">
      <w:bodyDiv w:val="1"/>
      <w:marLeft w:val="0"/>
      <w:marRight w:val="0"/>
      <w:marTop w:val="0"/>
      <w:marBottom w:val="0"/>
      <w:divBdr>
        <w:top w:val="none" w:sz="0" w:space="0" w:color="auto"/>
        <w:left w:val="none" w:sz="0" w:space="0" w:color="auto"/>
        <w:bottom w:val="none" w:sz="0" w:space="0" w:color="auto"/>
        <w:right w:val="none" w:sz="0" w:space="0" w:color="auto"/>
      </w:divBdr>
    </w:div>
    <w:div w:id="198531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86F78-3F0F-4139-B131-61EE36A40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3152</Words>
  <Characters>17338</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Orianne</dc:creator>
  <cp:keywords/>
  <dc:description/>
  <cp:lastModifiedBy>Orianne</cp:lastModifiedBy>
  <cp:revision>6</cp:revision>
  <cp:lastPrinted>2024-08-26T14:08:00Z</cp:lastPrinted>
  <dcterms:created xsi:type="dcterms:W3CDTF">2025-03-28T14:17:00Z</dcterms:created>
  <dcterms:modified xsi:type="dcterms:W3CDTF">2025-05-14T14:24:00Z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id="CRD5N80S"/&gt;&lt;style id="http://www.zotero.org/styles/nature" hasBibliography="1" bibliographyStyleHasBeenSet="1"/&gt;&lt;prefs&gt;&lt;pref name="fieldType" value="Field"/&gt;&lt;/prefs&gt;&lt;/data&gt;</vt:lpwstr>
  </property>
</Properties>
</file>