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487B" w:rsidRDefault="0095487B" w:rsidP="0095487B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41A27">
        <w:rPr>
          <w:rFonts w:ascii="Times New Roman" w:hAnsi="Times New Roman"/>
          <w:b/>
          <w:bCs/>
          <w:i/>
          <w:sz w:val="24"/>
          <w:szCs w:val="24"/>
        </w:rPr>
        <w:t>Brucella abortus</w:t>
      </w:r>
      <w:r w:rsidRPr="00241A27">
        <w:rPr>
          <w:rFonts w:ascii="Times New Roman" w:hAnsi="Times New Roman"/>
          <w:b/>
          <w:bCs/>
          <w:sz w:val="24"/>
          <w:szCs w:val="24"/>
        </w:rPr>
        <w:t xml:space="preserve"> interferes with the inflammatory response and tissue repair in mice</w:t>
      </w:r>
    </w:p>
    <w:p w:rsidR="0095487B" w:rsidRPr="00241A27" w:rsidRDefault="0095487B" w:rsidP="0095487B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5487B" w:rsidRPr="00BF1659" w:rsidRDefault="0095487B" w:rsidP="0095487B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/>
          <w:bCs/>
          <w:sz w:val="24"/>
          <w:szCs w:val="24"/>
          <w:lang w:val="pt-BR"/>
        </w:rPr>
      </w:pPr>
      <w:r w:rsidRPr="00BF1659">
        <w:rPr>
          <w:rFonts w:ascii="Times New Roman" w:hAnsi="Times New Roman"/>
          <w:bCs/>
          <w:sz w:val="24"/>
          <w:szCs w:val="24"/>
          <w:lang w:val="pt-BR"/>
        </w:rPr>
        <w:t xml:space="preserve">Silva, M. </w:t>
      </w:r>
      <w:proofErr w:type="spellStart"/>
      <w:r w:rsidRPr="00BF1659">
        <w:rPr>
          <w:rFonts w:ascii="Times New Roman" w:hAnsi="Times New Roman"/>
          <w:bCs/>
          <w:sz w:val="24"/>
          <w:szCs w:val="24"/>
          <w:lang w:val="pt-BR"/>
        </w:rPr>
        <w:t>F.</w:t>
      </w:r>
      <w:r w:rsidRPr="00BF1659">
        <w:rPr>
          <w:rFonts w:ascii="Times New Roman" w:hAnsi="Times New Roman"/>
          <w:bCs/>
          <w:sz w:val="24"/>
          <w:szCs w:val="24"/>
          <w:vertAlign w:val="superscript"/>
          <w:lang w:val="pt-BR"/>
        </w:rPr>
        <w:t>a</w:t>
      </w:r>
      <w:proofErr w:type="spellEnd"/>
      <w:r w:rsidRPr="00BF1659">
        <w:rPr>
          <w:rFonts w:ascii="Times New Roman" w:hAnsi="Times New Roman"/>
          <w:bCs/>
          <w:sz w:val="24"/>
          <w:szCs w:val="24"/>
          <w:lang w:val="pt-BR"/>
        </w:rPr>
        <w:t xml:space="preserve">; Batista, D. F. </w:t>
      </w:r>
      <w:proofErr w:type="spellStart"/>
      <w:r w:rsidRPr="00BF1659">
        <w:rPr>
          <w:rFonts w:ascii="Times New Roman" w:hAnsi="Times New Roman"/>
          <w:bCs/>
          <w:sz w:val="24"/>
          <w:szCs w:val="24"/>
          <w:lang w:val="pt-BR"/>
        </w:rPr>
        <w:t>A.</w:t>
      </w:r>
      <w:r w:rsidRPr="00BF1659">
        <w:rPr>
          <w:rFonts w:ascii="Times New Roman" w:hAnsi="Times New Roman"/>
          <w:bCs/>
          <w:sz w:val="24"/>
          <w:szCs w:val="24"/>
          <w:vertAlign w:val="superscript"/>
          <w:lang w:val="pt-BR"/>
        </w:rPr>
        <w:t>b</w:t>
      </w:r>
      <w:proofErr w:type="spellEnd"/>
      <w:r w:rsidRPr="00BF1659">
        <w:rPr>
          <w:rFonts w:ascii="Times New Roman" w:hAnsi="Times New Roman"/>
          <w:bCs/>
          <w:sz w:val="24"/>
          <w:szCs w:val="24"/>
          <w:lang w:val="pt-BR"/>
        </w:rPr>
        <w:t xml:space="preserve">; </w:t>
      </w:r>
      <w:proofErr w:type="spellStart"/>
      <w:r w:rsidRPr="00BF1659">
        <w:rPr>
          <w:rFonts w:ascii="Times New Roman" w:hAnsi="Times New Roman"/>
          <w:bCs/>
          <w:sz w:val="24"/>
          <w:szCs w:val="24"/>
          <w:lang w:val="pt-BR"/>
        </w:rPr>
        <w:t>Eckstein</w:t>
      </w:r>
      <w:proofErr w:type="spellEnd"/>
      <w:r w:rsidRPr="00BF1659">
        <w:rPr>
          <w:rFonts w:ascii="Times New Roman" w:hAnsi="Times New Roman"/>
          <w:bCs/>
          <w:sz w:val="24"/>
          <w:szCs w:val="24"/>
          <w:lang w:val="pt-BR"/>
        </w:rPr>
        <w:t xml:space="preserve">, </w:t>
      </w:r>
      <w:proofErr w:type="spellStart"/>
      <w:r w:rsidRPr="00BF1659">
        <w:rPr>
          <w:rFonts w:ascii="Times New Roman" w:hAnsi="Times New Roman"/>
          <w:bCs/>
          <w:sz w:val="24"/>
          <w:szCs w:val="24"/>
          <w:lang w:val="pt-BR"/>
        </w:rPr>
        <w:t>C.</w:t>
      </w:r>
      <w:r w:rsidRPr="00BF1659">
        <w:rPr>
          <w:rFonts w:ascii="Times New Roman" w:hAnsi="Times New Roman"/>
          <w:bCs/>
          <w:sz w:val="24"/>
          <w:szCs w:val="24"/>
          <w:vertAlign w:val="superscript"/>
          <w:lang w:val="pt-BR"/>
        </w:rPr>
        <w:t>b</w:t>
      </w:r>
      <w:proofErr w:type="spellEnd"/>
      <w:r w:rsidRPr="00BF1659">
        <w:rPr>
          <w:rFonts w:ascii="Times New Roman" w:hAnsi="Times New Roman"/>
          <w:bCs/>
          <w:sz w:val="24"/>
          <w:szCs w:val="24"/>
          <w:lang w:val="pt-BR"/>
        </w:rPr>
        <w:t xml:space="preserve">; Costa, F. </w:t>
      </w:r>
      <w:proofErr w:type="spellStart"/>
      <w:r w:rsidRPr="00BF1659">
        <w:rPr>
          <w:rFonts w:ascii="Times New Roman" w:hAnsi="Times New Roman"/>
          <w:bCs/>
          <w:sz w:val="24"/>
          <w:szCs w:val="24"/>
          <w:lang w:val="pt-BR"/>
        </w:rPr>
        <w:t>B.</w:t>
      </w:r>
      <w:r w:rsidRPr="00BF1659">
        <w:rPr>
          <w:rFonts w:ascii="Times New Roman" w:hAnsi="Times New Roman"/>
          <w:bCs/>
          <w:sz w:val="24"/>
          <w:szCs w:val="24"/>
          <w:vertAlign w:val="superscript"/>
          <w:lang w:val="pt-BR"/>
        </w:rPr>
        <w:t>b</w:t>
      </w:r>
      <w:proofErr w:type="spellEnd"/>
      <w:r w:rsidRPr="00BF1659">
        <w:rPr>
          <w:rFonts w:ascii="Times New Roman" w:hAnsi="Times New Roman"/>
          <w:bCs/>
          <w:sz w:val="24"/>
          <w:szCs w:val="24"/>
          <w:lang w:val="pt-BR"/>
        </w:rPr>
        <w:t xml:space="preserve">; Campos, P. </w:t>
      </w:r>
      <w:proofErr w:type="spellStart"/>
      <w:r w:rsidRPr="00BF1659">
        <w:rPr>
          <w:rFonts w:ascii="Times New Roman" w:hAnsi="Times New Roman"/>
          <w:bCs/>
          <w:sz w:val="24"/>
          <w:szCs w:val="24"/>
          <w:lang w:val="pt-BR"/>
        </w:rPr>
        <w:t>P.</w:t>
      </w:r>
      <w:r w:rsidRPr="00BF1659">
        <w:rPr>
          <w:rFonts w:ascii="Times New Roman" w:hAnsi="Times New Roman"/>
          <w:bCs/>
          <w:sz w:val="24"/>
          <w:szCs w:val="24"/>
          <w:vertAlign w:val="superscript"/>
          <w:lang w:val="pt-BR"/>
        </w:rPr>
        <w:t>a</w:t>
      </w:r>
      <w:proofErr w:type="spellEnd"/>
      <w:r w:rsidRPr="00BF1659">
        <w:rPr>
          <w:rFonts w:ascii="Times New Roman" w:hAnsi="Times New Roman"/>
          <w:bCs/>
          <w:sz w:val="24"/>
          <w:szCs w:val="24"/>
          <w:lang w:val="pt-BR"/>
        </w:rPr>
        <w:t xml:space="preserve">; Ferreira, M. A. N. </w:t>
      </w:r>
      <w:proofErr w:type="spellStart"/>
      <w:r w:rsidRPr="00BF1659">
        <w:rPr>
          <w:rFonts w:ascii="Times New Roman" w:hAnsi="Times New Roman"/>
          <w:bCs/>
          <w:sz w:val="24"/>
          <w:szCs w:val="24"/>
          <w:lang w:val="pt-BR"/>
        </w:rPr>
        <w:t>D.</w:t>
      </w:r>
      <w:r w:rsidRPr="00BF1659">
        <w:rPr>
          <w:rFonts w:ascii="Times New Roman" w:hAnsi="Times New Roman"/>
          <w:bCs/>
          <w:sz w:val="24"/>
          <w:szCs w:val="24"/>
          <w:vertAlign w:val="superscript"/>
          <w:lang w:val="pt-BR"/>
        </w:rPr>
        <w:t>a</w:t>
      </w:r>
      <w:proofErr w:type="spellEnd"/>
      <w:r w:rsidRPr="00BF1659">
        <w:rPr>
          <w:rFonts w:ascii="Times New Roman" w:hAnsi="Times New Roman"/>
          <w:bCs/>
          <w:sz w:val="24"/>
          <w:szCs w:val="24"/>
          <w:lang w:val="pt-BR"/>
        </w:rPr>
        <w:t xml:space="preserve">; Araújo, M. S. </w:t>
      </w:r>
      <w:proofErr w:type="spellStart"/>
      <w:r w:rsidRPr="00BF1659">
        <w:rPr>
          <w:rFonts w:ascii="Times New Roman" w:hAnsi="Times New Roman"/>
          <w:bCs/>
          <w:sz w:val="24"/>
          <w:szCs w:val="24"/>
          <w:lang w:val="pt-BR"/>
        </w:rPr>
        <w:t>S.</w:t>
      </w:r>
      <w:r w:rsidRPr="00BF1659">
        <w:rPr>
          <w:rFonts w:ascii="Times New Roman" w:hAnsi="Times New Roman"/>
          <w:bCs/>
          <w:sz w:val="24"/>
          <w:szCs w:val="24"/>
          <w:vertAlign w:val="superscript"/>
          <w:lang w:val="pt-BR"/>
        </w:rPr>
        <w:t>c</w:t>
      </w:r>
      <w:proofErr w:type="spellEnd"/>
      <w:r w:rsidRPr="00BF1659">
        <w:rPr>
          <w:rFonts w:ascii="Times New Roman" w:hAnsi="Times New Roman"/>
          <w:bCs/>
          <w:sz w:val="24"/>
          <w:szCs w:val="24"/>
          <w:lang w:val="pt-BR"/>
        </w:rPr>
        <w:t xml:space="preserve">; </w:t>
      </w:r>
      <w:r w:rsidRPr="00BF1659">
        <w:rPr>
          <w:rFonts w:ascii="Times New Roman" w:hAnsi="Times New Roman"/>
          <w:spacing w:val="-2"/>
          <w:sz w:val="24"/>
          <w:szCs w:val="24"/>
          <w:lang w:val="pt-BR"/>
        </w:rPr>
        <w:t xml:space="preserve">Martins-Filho, O. </w:t>
      </w:r>
      <w:proofErr w:type="spellStart"/>
      <w:r w:rsidRPr="00BF1659">
        <w:rPr>
          <w:rFonts w:ascii="Times New Roman" w:hAnsi="Times New Roman"/>
          <w:spacing w:val="-2"/>
          <w:sz w:val="24"/>
          <w:szCs w:val="24"/>
          <w:lang w:val="pt-BR"/>
        </w:rPr>
        <w:t>A.</w:t>
      </w:r>
      <w:r w:rsidRPr="00BF1659">
        <w:rPr>
          <w:rFonts w:ascii="Times New Roman" w:hAnsi="Times New Roman"/>
          <w:bCs/>
          <w:sz w:val="24"/>
          <w:szCs w:val="24"/>
          <w:vertAlign w:val="superscript"/>
          <w:lang w:val="pt-BR"/>
        </w:rPr>
        <w:t>c</w:t>
      </w:r>
      <w:proofErr w:type="spellEnd"/>
      <w:r w:rsidRPr="00BF1659">
        <w:rPr>
          <w:rFonts w:ascii="Times New Roman" w:hAnsi="Times New Roman"/>
          <w:bCs/>
          <w:sz w:val="24"/>
          <w:szCs w:val="24"/>
          <w:lang w:val="pt-BR"/>
        </w:rPr>
        <w:t xml:space="preserve">; </w:t>
      </w:r>
      <w:proofErr w:type="spellStart"/>
      <w:r w:rsidRPr="00BF1659">
        <w:rPr>
          <w:rFonts w:ascii="Times New Roman" w:hAnsi="Times New Roman"/>
          <w:bCs/>
          <w:sz w:val="24"/>
          <w:szCs w:val="24"/>
          <w:lang w:val="pt-BR"/>
        </w:rPr>
        <w:t>Tsolis</w:t>
      </w:r>
      <w:proofErr w:type="spellEnd"/>
      <w:r w:rsidRPr="00BF1659">
        <w:rPr>
          <w:rFonts w:ascii="Times New Roman" w:hAnsi="Times New Roman"/>
          <w:bCs/>
          <w:sz w:val="24"/>
          <w:szCs w:val="24"/>
          <w:lang w:val="pt-BR"/>
        </w:rPr>
        <w:t xml:space="preserve">, R. </w:t>
      </w:r>
      <w:proofErr w:type="spellStart"/>
      <w:r w:rsidRPr="00BF1659">
        <w:rPr>
          <w:rFonts w:ascii="Times New Roman" w:hAnsi="Times New Roman"/>
          <w:bCs/>
          <w:sz w:val="24"/>
          <w:szCs w:val="24"/>
          <w:lang w:val="pt-BR"/>
        </w:rPr>
        <w:t>M.</w:t>
      </w:r>
      <w:r w:rsidRPr="00BF1659">
        <w:rPr>
          <w:rFonts w:ascii="Times New Roman" w:hAnsi="Times New Roman"/>
          <w:bCs/>
          <w:sz w:val="24"/>
          <w:szCs w:val="24"/>
          <w:vertAlign w:val="superscript"/>
          <w:lang w:val="pt-BR"/>
        </w:rPr>
        <w:t>d</w:t>
      </w:r>
      <w:proofErr w:type="spellEnd"/>
      <w:r w:rsidRPr="00BF1659">
        <w:rPr>
          <w:rFonts w:ascii="Times New Roman" w:hAnsi="Times New Roman"/>
          <w:bCs/>
          <w:sz w:val="24"/>
          <w:szCs w:val="24"/>
          <w:lang w:val="pt-BR"/>
        </w:rPr>
        <w:t xml:space="preserve">; Santos, R. </w:t>
      </w:r>
      <w:proofErr w:type="spellStart"/>
      <w:r w:rsidRPr="00BF1659">
        <w:rPr>
          <w:rFonts w:ascii="Times New Roman" w:hAnsi="Times New Roman"/>
          <w:bCs/>
          <w:sz w:val="24"/>
          <w:szCs w:val="24"/>
          <w:lang w:val="pt-BR"/>
        </w:rPr>
        <w:t>L.</w:t>
      </w:r>
      <w:r w:rsidRPr="00BF1659">
        <w:rPr>
          <w:rFonts w:ascii="Times New Roman" w:hAnsi="Times New Roman"/>
          <w:bCs/>
          <w:sz w:val="24"/>
          <w:szCs w:val="24"/>
          <w:vertAlign w:val="superscript"/>
          <w:lang w:val="pt-BR"/>
        </w:rPr>
        <w:t>b</w:t>
      </w:r>
      <w:proofErr w:type="spellEnd"/>
      <w:r w:rsidRPr="00BF1659">
        <w:rPr>
          <w:rFonts w:ascii="Times New Roman" w:hAnsi="Times New Roman"/>
          <w:bCs/>
          <w:sz w:val="24"/>
          <w:szCs w:val="24"/>
          <w:vertAlign w:val="superscript"/>
          <w:lang w:val="pt-BR"/>
        </w:rPr>
        <w:t>,</w:t>
      </w:r>
      <w:r w:rsidRPr="00BF1659">
        <w:rPr>
          <w:rFonts w:ascii="Times New Roman" w:hAnsi="Times New Roman"/>
          <w:bCs/>
          <w:sz w:val="24"/>
          <w:szCs w:val="24"/>
          <w:lang w:val="pt-BR"/>
        </w:rPr>
        <w:t xml:space="preserve"> Paixão, T. A</w:t>
      </w:r>
      <w:r w:rsidRPr="00BF1659">
        <w:rPr>
          <w:rFonts w:ascii="Times New Roman" w:hAnsi="Times New Roman"/>
          <w:bCs/>
          <w:sz w:val="24"/>
          <w:szCs w:val="24"/>
          <w:vertAlign w:val="superscript"/>
          <w:lang w:val="pt-BR"/>
        </w:rPr>
        <w:t>a</w:t>
      </w:r>
      <w:r w:rsidRPr="00BF1659">
        <w:rPr>
          <w:rFonts w:ascii="Times New Roman" w:hAnsi="Times New Roman"/>
          <w:bCs/>
          <w:sz w:val="24"/>
          <w:szCs w:val="24"/>
          <w:lang w:val="pt-BR"/>
        </w:rPr>
        <w:t>*.</w:t>
      </w:r>
    </w:p>
    <w:p w:rsidR="00A17A18" w:rsidRPr="00241A27" w:rsidRDefault="00A17A18" w:rsidP="00A17A18">
      <w:pPr>
        <w:tabs>
          <w:tab w:val="left" w:pos="5775"/>
        </w:tabs>
        <w:autoSpaceDE w:val="0"/>
        <w:autoSpaceDN w:val="0"/>
        <w:adjustRightInd w:val="0"/>
        <w:spacing w:after="0" w:line="480" w:lineRule="auto"/>
        <w:rPr>
          <w:rFonts w:ascii="Times New Roman" w:eastAsia="Times-New-Roman" w:hAnsi="Times New Roman"/>
          <w:b/>
          <w:sz w:val="24"/>
          <w:szCs w:val="24"/>
        </w:rPr>
      </w:pPr>
      <w:bookmarkStart w:id="0" w:name="_GoBack"/>
      <w:bookmarkEnd w:id="0"/>
      <w:r w:rsidRPr="00241A27">
        <w:rPr>
          <w:rFonts w:ascii="Times New Roman" w:eastAsia="Times-New-Roman" w:hAnsi="Times New Roman"/>
          <w:sz w:val="24"/>
          <w:szCs w:val="24"/>
        </w:rPr>
        <w:t>.</w:t>
      </w:r>
    </w:p>
    <w:p w:rsidR="00A17A18" w:rsidRPr="00241A27" w:rsidRDefault="00A17A18" w:rsidP="00A17A18">
      <w:pPr>
        <w:tabs>
          <w:tab w:val="left" w:pos="5775"/>
        </w:tabs>
        <w:autoSpaceDE w:val="0"/>
        <w:autoSpaceDN w:val="0"/>
        <w:adjustRightInd w:val="0"/>
        <w:spacing w:after="0" w:line="480" w:lineRule="auto"/>
        <w:rPr>
          <w:rFonts w:ascii="Times New Roman" w:eastAsia="Times-New-Roman" w:hAnsi="Times New Roman"/>
          <w:sz w:val="24"/>
          <w:szCs w:val="24"/>
        </w:rPr>
      </w:pPr>
    </w:p>
    <w:p w:rsidR="00A17A18" w:rsidRPr="00241A27" w:rsidRDefault="00A17A18" w:rsidP="00A17A18">
      <w:pPr>
        <w:tabs>
          <w:tab w:val="left" w:pos="5775"/>
        </w:tabs>
        <w:autoSpaceDE w:val="0"/>
        <w:autoSpaceDN w:val="0"/>
        <w:adjustRightInd w:val="0"/>
        <w:spacing w:after="0" w:line="480" w:lineRule="auto"/>
        <w:rPr>
          <w:rFonts w:ascii="Times New Roman" w:eastAsia="Times-New-Roman" w:hAnsi="Times New Roman"/>
          <w:b/>
          <w:sz w:val="24"/>
          <w:szCs w:val="24"/>
        </w:rPr>
      </w:pPr>
      <w:r w:rsidRPr="00241A27">
        <w:rPr>
          <w:rFonts w:ascii="Times New Roman" w:eastAsia="Times-New-Roman" w:hAnsi="Times New Roman"/>
          <w:b/>
          <w:sz w:val="24"/>
          <w:szCs w:val="24"/>
        </w:rPr>
        <w:t>Figure S1.</w:t>
      </w:r>
      <w:r w:rsidRPr="00241A27">
        <w:rPr>
          <w:rFonts w:ascii="Times New Roman" w:eastAsia="Times-New-Roman" w:hAnsi="Times New Roman"/>
          <w:sz w:val="24"/>
          <w:szCs w:val="24"/>
        </w:rPr>
        <w:t xml:space="preserve"> Gating strategy used to characterize the leukocyte subpopulations present in the sponge after </w:t>
      </w:r>
      <w:r w:rsidRPr="00241A27">
        <w:rPr>
          <w:rFonts w:ascii="Times New Roman" w:eastAsia="Times-New-Roman" w:hAnsi="Times New Roman"/>
          <w:i/>
          <w:sz w:val="24"/>
          <w:szCs w:val="24"/>
        </w:rPr>
        <w:t>Brucella</w:t>
      </w:r>
      <w:r w:rsidRPr="00241A27">
        <w:rPr>
          <w:rFonts w:ascii="Times New Roman" w:eastAsia="Times-New-Roman" w:hAnsi="Times New Roman"/>
          <w:sz w:val="24"/>
          <w:szCs w:val="24"/>
        </w:rPr>
        <w:t xml:space="preserve"> infection. Sponges implanted in mice (n = 5) were infected with 1 </w:t>
      </w:r>
      <w:r>
        <w:rPr>
          <w:rFonts w:ascii="Times New Roman" w:eastAsia="Times-New-Roman" w:hAnsi="Times New Roman"/>
          <w:sz w:val="24"/>
          <w:szCs w:val="24"/>
          <w:vertAlign w:val="superscript"/>
        </w:rPr>
        <w:t>× 104</w:t>
      </w:r>
      <w:r w:rsidRPr="00241A27">
        <w:rPr>
          <w:rFonts w:ascii="Times New Roman" w:eastAsia="Times-New-Roman" w:hAnsi="Times New Roman"/>
          <w:sz w:val="24"/>
          <w:szCs w:val="24"/>
          <w:vertAlign w:val="superscript"/>
        </w:rPr>
        <w:t xml:space="preserve"> </w:t>
      </w:r>
      <w:r w:rsidRPr="00241A27">
        <w:rPr>
          <w:rFonts w:ascii="Times New Roman" w:eastAsia="Times-New-Roman" w:hAnsi="Times New Roman"/>
          <w:sz w:val="24"/>
          <w:szCs w:val="24"/>
        </w:rPr>
        <w:t xml:space="preserve">CFU </w:t>
      </w:r>
      <w:r>
        <w:rPr>
          <w:rFonts w:ascii="Times New Roman" w:eastAsia="Times-New-Roman" w:hAnsi="Times New Roman"/>
          <w:sz w:val="24"/>
          <w:szCs w:val="24"/>
        </w:rPr>
        <w:t xml:space="preserve">of </w:t>
      </w:r>
      <w:r w:rsidRPr="00241A27">
        <w:rPr>
          <w:rFonts w:ascii="Times New Roman" w:eastAsia="Times-New-Roman" w:hAnsi="Times New Roman"/>
          <w:i/>
          <w:sz w:val="24"/>
          <w:szCs w:val="24"/>
        </w:rPr>
        <w:t>B. abortus</w:t>
      </w:r>
      <w:r w:rsidRPr="00241A27">
        <w:rPr>
          <w:rFonts w:ascii="Times New Roman" w:eastAsia="Times-New-Roman" w:hAnsi="Times New Roman"/>
          <w:sz w:val="24"/>
          <w:szCs w:val="24"/>
        </w:rPr>
        <w:t xml:space="preserve"> WT or PBS (control). </w:t>
      </w:r>
      <w:r>
        <w:rPr>
          <w:rFonts w:ascii="Times New Roman" w:eastAsia="Times-New-Roman" w:hAnsi="Times New Roman"/>
          <w:sz w:val="24"/>
          <w:szCs w:val="24"/>
        </w:rPr>
        <w:t>The mice</w:t>
      </w:r>
      <w:r w:rsidRPr="00241A27">
        <w:rPr>
          <w:rFonts w:ascii="Times New Roman" w:eastAsia="Times-New-Roman" w:hAnsi="Times New Roman"/>
          <w:sz w:val="24"/>
          <w:szCs w:val="24"/>
        </w:rPr>
        <w:t xml:space="preserve"> were euthanized at 14 </w:t>
      </w:r>
      <w:proofErr w:type="spellStart"/>
      <w:r w:rsidRPr="00241A27">
        <w:rPr>
          <w:rFonts w:ascii="Times New Roman" w:eastAsia="Times-New-Roman" w:hAnsi="Times New Roman"/>
          <w:sz w:val="24"/>
          <w:szCs w:val="24"/>
        </w:rPr>
        <w:t>dpsi</w:t>
      </w:r>
      <w:proofErr w:type="spellEnd"/>
      <w:r w:rsidRPr="00241A27">
        <w:rPr>
          <w:rFonts w:ascii="Times New Roman" w:eastAsia="Times-New-Roman" w:hAnsi="Times New Roman"/>
          <w:sz w:val="24"/>
          <w:szCs w:val="24"/>
        </w:rPr>
        <w:t xml:space="preserve">, </w:t>
      </w:r>
      <w:r>
        <w:rPr>
          <w:rFonts w:ascii="Times New Roman" w:eastAsia="Times-New-Roman" w:hAnsi="Times New Roman"/>
          <w:sz w:val="24"/>
          <w:szCs w:val="24"/>
        </w:rPr>
        <w:t>and the sponges were</w:t>
      </w:r>
      <w:r w:rsidRPr="00241A27">
        <w:rPr>
          <w:rFonts w:ascii="Times New Roman" w:eastAsia="Times-New-Roman" w:hAnsi="Times New Roman"/>
          <w:sz w:val="24"/>
          <w:szCs w:val="24"/>
        </w:rPr>
        <w:t xml:space="preserve"> collected and evaluated </w:t>
      </w:r>
      <w:r>
        <w:rPr>
          <w:rFonts w:ascii="Times New Roman" w:eastAsia="Times-New-Roman" w:hAnsi="Times New Roman"/>
          <w:sz w:val="24"/>
          <w:szCs w:val="24"/>
        </w:rPr>
        <w:t>via</w:t>
      </w:r>
      <w:r w:rsidRPr="00241A27">
        <w:rPr>
          <w:rFonts w:ascii="Times New Roman" w:eastAsia="Times-New-Roman" w:hAnsi="Times New Roman"/>
          <w:sz w:val="24"/>
          <w:szCs w:val="24"/>
        </w:rPr>
        <w:t xml:space="preserve"> flow cytometry. In the first step, the population of leukocytes was differentiated </w:t>
      </w:r>
      <w:r>
        <w:rPr>
          <w:rFonts w:ascii="Times New Roman" w:eastAsia="Times-New-Roman" w:hAnsi="Times New Roman"/>
          <w:sz w:val="24"/>
          <w:szCs w:val="24"/>
        </w:rPr>
        <w:t>via</w:t>
      </w:r>
      <w:r w:rsidRPr="00241A27">
        <w:rPr>
          <w:rFonts w:ascii="Times New Roman" w:eastAsia="Times-New-Roman" w:hAnsi="Times New Roman"/>
          <w:sz w:val="24"/>
          <w:szCs w:val="24"/>
        </w:rPr>
        <w:t xml:space="preserve"> the CD45 marker (A). Cell debris or other cells were excluded. </w:t>
      </w:r>
      <w:r>
        <w:rPr>
          <w:rFonts w:ascii="Times New Roman" w:eastAsia="Times-New-Roman" w:hAnsi="Times New Roman"/>
          <w:sz w:val="24"/>
          <w:szCs w:val="24"/>
        </w:rPr>
        <w:t>In the second</w:t>
      </w:r>
      <w:r w:rsidRPr="00241A27">
        <w:rPr>
          <w:rFonts w:ascii="Times New Roman" w:eastAsia="Times-New-Roman" w:hAnsi="Times New Roman"/>
          <w:sz w:val="24"/>
          <w:szCs w:val="24"/>
        </w:rPr>
        <w:t xml:space="preserve"> step, the characterization of leukocyte subpopulations was </w:t>
      </w:r>
      <w:r>
        <w:rPr>
          <w:rFonts w:ascii="Times New Roman" w:eastAsia="Times-New-Roman" w:hAnsi="Times New Roman"/>
          <w:sz w:val="24"/>
          <w:szCs w:val="24"/>
        </w:rPr>
        <w:t>performed</w:t>
      </w:r>
      <w:r w:rsidRPr="00241A27">
        <w:rPr>
          <w:rFonts w:ascii="Times New Roman" w:eastAsia="Times-New-Roman" w:hAnsi="Times New Roman"/>
          <w:sz w:val="24"/>
          <w:szCs w:val="24"/>
        </w:rPr>
        <w:t xml:space="preserve"> on the </w:t>
      </w:r>
      <w:r>
        <w:rPr>
          <w:rFonts w:ascii="Times New Roman" w:eastAsia="Times-New-Roman" w:hAnsi="Times New Roman"/>
          <w:sz w:val="24"/>
          <w:szCs w:val="24"/>
        </w:rPr>
        <w:t xml:space="preserve">basis of the </w:t>
      </w:r>
      <w:r w:rsidRPr="00241A27">
        <w:rPr>
          <w:rFonts w:ascii="Times New Roman" w:eastAsia="Times-New-Roman" w:hAnsi="Times New Roman"/>
          <w:sz w:val="24"/>
          <w:szCs w:val="24"/>
        </w:rPr>
        <w:t>labeling of neutrophils with Ly6G - APCCγ7, macrophages with CD11c - PE, CD206 - APC and F4/80 - PECy7 (B) and lymphocytes being the B lymphocytes marked with CD19 – FITC and T lymphocytes with CD3 - APCCγ7, CD4 - PERCPCy5.5 and CD8 - A700 (C). A total of 100,000 events were analyzed.</w:t>
      </w:r>
    </w:p>
    <w:p w:rsidR="008045DC" w:rsidRDefault="0095487B"/>
    <w:sectPr w:rsidR="008045DC" w:rsidSect="0095487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New-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A18"/>
    <w:rsid w:val="00130C59"/>
    <w:rsid w:val="0095487B"/>
    <w:rsid w:val="00A17A18"/>
    <w:rsid w:val="00B54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F18099-0ABC-41BE-964B-F8782AAA5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7A18"/>
    <w:rPr>
      <w:rFonts w:ascii="Calibri" w:eastAsia="Calibri" w:hAnsi="Calibri" w:cs="Times New Roman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Tatiane</dc:creator>
  <cp:keywords/>
  <dc:description/>
  <cp:lastModifiedBy>Tatiane</cp:lastModifiedBy>
  <cp:revision>1</cp:revision>
  <dcterms:created xsi:type="dcterms:W3CDTF">2025-05-13T12:56:00Z</dcterms:created>
  <dcterms:modified xsi:type="dcterms:W3CDTF">2025-05-13T13:28:00Z</dcterms:modified>
</cp:coreProperties>
</file>