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78974F" w14:textId="77777777" w:rsidR="00853694" w:rsidRDefault="00853694" w:rsidP="00853694">
      <w:pPr>
        <w:pStyle w:val="1"/>
        <w:adjustRightInd w:val="0"/>
        <w:snapToGrid w:val="0"/>
        <w:spacing w:before="0" w:after="0" w:line="480" w:lineRule="auto"/>
        <w:ind w:firstLine="0"/>
        <w:rPr>
          <w:rFonts w:ascii="Times New Roman" w:eastAsia="微软雅黑" w:hAnsi="Times New Roman"/>
          <w:b w:val="0"/>
          <w:bCs w:val="0"/>
          <w:kern w:val="32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Supplementary material </w:t>
      </w:r>
    </w:p>
    <w:p w14:paraId="7B517CB3" w14:textId="77777777" w:rsidR="00853694" w:rsidRDefault="00853694" w:rsidP="00853694">
      <w:pPr>
        <w:adjustRightInd w:val="0"/>
        <w:snapToGrid w:val="0"/>
        <w:spacing w:after="0" w:line="480" w:lineRule="auto"/>
        <w:rPr>
          <w:rFonts w:eastAsia="微软雅黑"/>
          <w:b/>
          <w:bCs/>
          <w:sz w:val="24"/>
          <w:szCs w:val="24"/>
          <w:lang w:val="en"/>
        </w:rPr>
      </w:pPr>
      <w:r>
        <w:rPr>
          <w:rFonts w:eastAsia="微软雅黑"/>
          <w:b/>
          <w:bCs/>
          <w:sz w:val="24"/>
          <w:szCs w:val="24"/>
        </w:rPr>
        <w:t xml:space="preserve">Supplementary Table 1 </w:t>
      </w:r>
      <w:r>
        <w:rPr>
          <w:rFonts w:eastAsia="微软雅黑"/>
          <w:b/>
          <w:bCs/>
          <w:sz w:val="24"/>
          <w:szCs w:val="24"/>
          <w:lang w:val="en"/>
        </w:rPr>
        <w:t xml:space="preserve">Knowledge </w:t>
      </w:r>
      <w:r>
        <w:rPr>
          <w:b/>
          <w:bCs/>
          <w:sz w:val="24"/>
          <w:szCs w:val="24"/>
        </w:rPr>
        <w:t>Dimension</w:t>
      </w:r>
    </w:p>
    <w:tbl>
      <w:tblPr>
        <w:tblW w:w="5000" w:type="pct"/>
        <w:jc w:val="center"/>
        <w:tblBorders>
          <w:top w:val="non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000" w:firstRow="0" w:lastRow="0" w:firstColumn="0" w:lastColumn="0" w:noHBand="0" w:noVBand="0"/>
      </w:tblPr>
      <w:tblGrid>
        <w:gridCol w:w="10462"/>
        <w:gridCol w:w="1748"/>
        <w:gridCol w:w="1748"/>
      </w:tblGrid>
      <w:tr w:rsidR="0025277A" w14:paraId="6180BD26" w14:textId="5855C351" w:rsidTr="0023513D">
        <w:trPr>
          <w:trHeight w:val="397"/>
          <w:jc w:val="center"/>
        </w:trPr>
        <w:tc>
          <w:tcPr>
            <w:tcW w:w="37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9D86A" w14:textId="77777777" w:rsidR="0025277A" w:rsidRDefault="0025277A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kern w:val="0"/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017DF" w14:textId="369924C3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 xml:space="preserve">Correct, </w:t>
            </w:r>
            <w:r w:rsidR="00AA69B8">
              <w:rPr>
                <w:rFonts w:eastAsia="微软雅黑" w:hint="eastAsia"/>
                <w:b/>
                <w:kern w:val="0"/>
                <w:sz w:val="24"/>
                <w:szCs w:val="24"/>
              </w:rPr>
              <w:t>n</w:t>
            </w:r>
            <w:r>
              <w:rPr>
                <w:rFonts w:eastAsia="微软雅黑"/>
                <w:b/>
                <w:kern w:val="0"/>
                <w:sz w:val="24"/>
                <w:szCs w:val="24"/>
              </w:rPr>
              <w:t xml:space="preserve"> (%)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2D503" w14:textId="2AB45F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b/>
                <w:kern w:val="0"/>
                <w:sz w:val="24"/>
                <w:szCs w:val="24"/>
              </w:rPr>
              <w:t>P</w:t>
            </w:r>
            <w:r w:rsidR="005E4806">
              <w:rPr>
                <w:rFonts w:eastAsia="微软雅黑" w:hint="eastAsia"/>
                <w:b/>
                <w:kern w:val="0"/>
                <w:sz w:val="24"/>
                <w:szCs w:val="24"/>
              </w:rPr>
              <w:t>*</w:t>
            </w:r>
          </w:p>
        </w:tc>
      </w:tr>
      <w:tr w:rsidR="0025277A" w14:paraId="719E9525" w14:textId="5222C515" w:rsidTr="0023513D">
        <w:trPr>
          <w:trHeight w:val="397"/>
          <w:jc w:val="center"/>
        </w:trPr>
        <w:tc>
          <w:tcPr>
            <w:tcW w:w="3748" w:type="pct"/>
          </w:tcPr>
          <w:p w14:paraId="22E53BB0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Sarcopenia refers to progressive, systemic muscle mass reduction and/or decline in muscle strength or physiological function associated with aging.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4F2FA375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/>
                <w:kern w:val="0"/>
                <w:sz w:val="24"/>
                <w:szCs w:val="24"/>
              </w:rPr>
              <w:t>480 (86.18)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1AEF8D2C" w14:textId="442369A2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0.002</w:t>
            </w:r>
          </w:p>
        </w:tc>
      </w:tr>
      <w:tr w:rsidR="0025277A" w14:paraId="40EF2EC8" w14:textId="7307A2F4" w:rsidTr="0023513D">
        <w:trPr>
          <w:trHeight w:val="397"/>
          <w:jc w:val="center"/>
        </w:trPr>
        <w:tc>
          <w:tcPr>
            <w:tcW w:w="3748" w:type="pct"/>
          </w:tcPr>
          <w:p w14:paraId="6BCC9DE1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>Sarcopenia is more prevalent in the elderly and increases the risk of falls, fractures, disability, impairment, hospitalization, and even death.</w:t>
            </w:r>
          </w:p>
        </w:tc>
        <w:tc>
          <w:tcPr>
            <w:tcW w:w="626" w:type="pct"/>
            <w:vAlign w:val="center"/>
          </w:tcPr>
          <w:p w14:paraId="23D1C13E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/>
                <w:kern w:val="0"/>
                <w:sz w:val="24"/>
                <w:szCs w:val="24"/>
              </w:rPr>
              <w:t>515 (92.46)</w:t>
            </w:r>
          </w:p>
        </w:tc>
        <w:tc>
          <w:tcPr>
            <w:tcW w:w="626" w:type="pct"/>
            <w:vAlign w:val="center"/>
          </w:tcPr>
          <w:p w14:paraId="07035FE8" w14:textId="448B1B11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&lt;0.001</w:t>
            </w:r>
          </w:p>
        </w:tc>
      </w:tr>
      <w:tr w:rsidR="0025277A" w14:paraId="0FA37822" w14:textId="27830519" w:rsidTr="0023513D">
        <w:trPr>
          <w:trHeight w:val="397"/>
          <w:jc w:val="center"/>
        </w:trPr>
        <w:tc>
          <w:tcPr>
            <w:tcW w:w="3748" w:type="pct"/>
          </w:tcPr>
          <w:p w14:paraId="32E27E88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>Malnutrition is the sole cause of sarcopenia and a primary target for intervention.</w:t>
            </w:r>
          </w:p>
        </w:tc>
        <w:tc>
          <w:tcPr>
            <w:tcW w:w="626" w:type="pct"/>
            <w:vAlign w:val="center"/>
          </w:tcPr>
          <w:p w14:paraId="361CF303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/>
                <w:kern w:val="0"/>
                <w:sz w:val="24"/>
                <w:szCs w:val="24"/>
              </w:rPr>
              <w:t>361 (64.81)</w:t>
            </w:r>
          </w:p>
        </w:tc>
        <w:tc>
          <w:tcPr>
            <w:tcW w:w="626" w:type="pct"/>
            <w:vAlign w:val="center"/>
          </w:tcPr>
          <w:p w14:paraId="6867644D" w14:textId="3B734E64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0.110</w:t>
            </w:r>
          </w:p>
        </w:tc>
      </w:tr>
      <w:tr w:rsidR="0025277A" w14:paraId="3D82D406" w14:textId="617FBE1B" w:rsidTr="0023513D">
        <w:trPr>
          <w:trHeight w:val="397"/>
          <w:jc w:val="center"/>
        </w:trPr>
        <w:tc>
          <w:tcPr>
            <w:tcW w:w="3748" w:type="pct"/>
          </w:tcPr>
          <w:p w14:paraId="0D44731E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>Sarcopenia is associated with age-related hormonal changes, such as insulin, estrogen, testosterone, growth hormone, and glucocorticoids.</w:t>
            </w:r>
          </w:p>
        </w:tc>
        <w:tc>
          <w:tcPr>
            <w:tcW w:w="626" w:type="pct"/>
            <w:vAlign w:val="center"/>
          </w:tcPr>
          <w:p w14:paraId="1600F34F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/>
                <w:kern w:val="0"/>
                <w:sz w:val="24"/>
                <w:szCs w:val="24"/>
              </w:rPr>
              <w:t>483 (86.71)</w:t>
            </w:r>
          </w:p>
        </w:tc>
        <w:tc>
          <w:tcPr>
            <w:tcW w:w="626" w:type="pct"/>
            <w:vAlign w:val="center"/>
          </w:tcPr>
          <w:p w14:paraId="7CACED5E" w14:textId="4CC39064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0.001</w:t>
            </w:r>
          </w:p>
        </w:tc>
      </w:tr>
      <w:tr w:rsidR="0025277A" w14:paraId="3E91612F" w14:textId="111B2E01" w:rsidTr="0023513D">
        <w:trPr>
          <w:trHeight w:val="397"/>
          <w:jc w:val="center"/>
        </w:trPr>
        <w:tc>
          <w:tcPr>
            <w:tcW w:w="3748" w:type="pct"/>
          </w:tcPr>
          <w:p w14:paraId="5F0CB81B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>Sarcopenia assessment involves considering muscle mass, muscle strength, and muscle function.</w:t>
            </w:r>
          </w:p>
        </w:tc>
        <w:tc>
          <w:tcPr>
            <w:tcW w:w="626" w:type="pct"/>
            <w:vAlign w:val="center"/>
          </w:tcPr>
          <w:p w14:paraId="05FFBA0E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/>
                <w:kern w:val="0"/>
                <w:sz w:val="24"/>
                <w:szCs w:val="24"/>
              </w:rPr>
              <w:t>508 (91.20)</w:t>
            </w:r>
          </w:p>
        </w:tc>
        <w:tc>
          <w:tcPr>
            <w:tcW w:w="626" w:type="pct"/>
            <w:vAlign w:val="center"/>
          </w:tcPr>
          <w:p w14:paraId="5AC0A3C5" w14:textId="308CB675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&lt;0.001</w:t>
            </w:r>
          </w:p>
        </w:tc>
      </w:tr>
      <w:tr w:rsidR="0025277A" w14:paraId="45038B82" w14:textId="2B579A61" w:rsidTr="0023513D">
        <w:trPr>
          <w:trHeight w:val="397"/>
          <w:jc w:val="center"/>
        </w:trPr>
        <w:tc>
          <w:tcPr>
            <w:tcW w:w="3748" w:type="pct"/>
          </w:tcPr>
          <w:p w14:paraId="6A4A2775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>Dual-Energy X-ray Absorptiometry (DXA) is the gold standard for measuring skeletal muscle mass in limbs.</w:t>
            </w:r>
          </w:p>
        </w:tc>
        <w:tc>
          <w:tcPr>
            <w:tcW w:w="626" w:type="pct"/>
            <w:vAlign w:val="center"/>
          </w:tcPr>
          <w:p w14:paraId="39D8961C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/>
                <w:kern w:val="0"/>
                <w:sz w:val="24"/>
                <w:szCs w:val="24"/>
              </w:rPr>
              <w:t>378 (67.86)</w:t>
            </w:r>
          </w:p>
        </w:tc>
        <w:tc>
          <w:tcPr>
            <w:tcW w:w="626" w:type="pct"/>
            <w:vAlign w:val="center"/>
          </w:tcPr>
          <w:p w14:paraId="5ACA3E99" w14:textId="6079A9EB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0.014</w:t>
            </w:r>
          </w:p>
        </w:tc>
      </w:tr>
      <w:tr w:rsidR="0025277A" w14:paraId="198089B7" w14:textId="1BD058BD" w:rsidTr="0023513D">
        <w:trPr>
          <w:trHeight w:val="397"/>
          <w:jc w:val="center"/>
        </w:trPr>
        <w:tc>
          <w:tcPr>
            <w:tcW w:w="3748" w:type="pct"/>
          </w:tcPr>
          <w:p w14:paraId="340BE42D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>Grip strength assessment using a dynamometer is the most common method for evaluating upper limb strength.</w:t>
            </w:r>
          </w:p>
        </w:tc>
        <w:tc>
          <w:tcPr>
            <w:tcW w:w="626" w:type="pct"/>
            <w:vAlign w:val="center"/>
          </w:tcPr>
          <w:p w14:paraId="473D660B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/>
                <w:kern w:val="0"/>
                <w:sz w:val="24"/>
                <w:szCs w:val="24"/>
              </w:rPr>
              <w:t>457 (82.05)</w:t>
            </w:r>
          </w:p>
        </w:tc>
        <w:tc>
          <w:tcPr>
            <w:tcW w:w="626" w:type="pct"/>
            <w:vAlign w:val="center"/>
          </w:tcPr>
          <w:p w14:paraId="22E90661" w14:textId="5743ECCC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&lt;0.001</w:t>
            </w:r>
          </w:p>
        </w:tc>
      </w:tr>
      <w:tr w:rsidR="0025277A" w14:paraId="7E7BF5C6" w14:textId="60A68829" w:rsidTr="0023513D">
        <w:trPr>
          <w:trHeight w:val="397"/>
          <w:jc w:val="center"/>
        </w:trPr>
        <w:tc>
          <w:tcPr>
            <w:tcW w:w="3748" w:type="pct"/>
          </w:tcPr>
          <w:p w14:paraId="73300386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lastRenderedPageBreak/>
              <w:t>Sarcopenia can be ruled out when walking speed is ≥0.8 m/s.</w:t>
            </w:r>
          </w:p>
        </w:tc>
        <w:tc>
          <w:tcPr>
            <w:tcW w:w="626" w:type="pct"/>
            <w:vAlign w:val="center"/>
          </w:tcPr>
          <w:p w14:paraId="140427EA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/>
                <w:kern w:val="0"/>
                <w:sz w:val="24"/>
                <w:szCs w:val="24"/>
              </w:rPr>
              <w:t>243 (43.63)</w:t>
            </w:r>
          </w:p>
        </w:tc>
        <w:tc>
          <w:tcPr>
            <w:tcW w:w="626" w:type="pct"/>
            <w:vAlign w:val="center"/>
          </w:tcPr>
          <w:p w14:paraId="6FC26D53" w14:textId="370F67B6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0.026</w:t>
            </w:r>
          </w:p>
        </w:tc>
      </w:tr>
      <w:tr w:rsidR="0025277A" w14:paraId="69F5D9DE" w14:textId="10E90097" w:rsidTr="0023513D">
        <w:trPr>
          <w:trHeight w:val="397"/>
          <w:jc w:val="center"/>
        </w:trPr>
        <w:tc>
          <w:tcPr>
            <w:tcW w:w="3748" w:type="pct"/>
          </w:tcPr>
          <w:p w14:paraId="7490AEDA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>A total score &gt;3 on the SARC-F questionnaire diagnoses sarcopenia.</w:t>
            </w:r>
          </w:p>
        </w:tc>
        <w:tc>
          <w:tcPr>
            <w:tcW w:w="626" w:type="pct"/>
            <w:vAlign w:val="center"/>
          </w:tcPr>
          <w:p w14:paraId="6D90E032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/>
                <w:kern w:val="0"/>
                <w:sz w:val="24"/>
                <w:szCs w:val="24"/>
              </w:rPr>
              <w:t>67 (12.03)</w:t>
            </w:r>
          </w:p>
        </w:tc>
        <w:tc>
          <w:tcPr>
            <w:tcW w:w="626" w:type="pct"/>
            <w:vAlign w:val="center"/>
          </w:tcPr>
          <w:p w14:paraId="55C86903" w14:textId="251CE257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rFonts w:eastAsia="微软雅黑"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0.028</w:t>
            </w:r>
          </w:p>
        </w:tc>
      </w:tr>
      <w:tr w:rsidR="0025277A" w14:paraId="5591A129" w14:textId="04716EDC" w:rsidTr="0023513D">
        <w:trPr>
          <w:trHeight w:val="397"/>
          <w:jc w:val="center"/>
        </w:trPr>
        <w:tc>
          <w:tcPr>
            <w:tcW w:w="3748" w:type="pct"/>
          </w:tcPr>
          <w:p w14:paraId="17B415A8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Sarcopenia is excluded if dominant hand grip strength in a resting state is normal (male grip strength ≥28 kg, female grip strength ≥18 kg).</w:t>
            </w:r>
          </w:p>
        </w:tc>
        <w:tc>
          <w:tcPr>
            <w:tcW w:w="626" w:type="pct"/>
            <w:vAlign w:val="center"/>
          </w:tcPr>
          <w:p w14:paraId="72AF991B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kern w:val="0"/>
                <w:sz w:val="24"/>
                <w:szCs w:val="24"/>
                <w:lang w:bidi="ar"/>
              </w:rPr>
              <w:t>279 (50.09)</w:t>
            </w:r>
          </w:p>
        </w:tc>
        <w:tc>
          <w:tcPr>
            <w:tcW w:w="626" w:type="pct"/>
            <w:vAlign w:val="center"/>
          </w:tcPr>
          <w:p w14:paraId="0EB6AE70" w14:textId="54C5546B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0.379</w:t>
            </w:r>
          </w:p>
        </w:tc>
      </w:tr>
      <w:tr w:rsidR="0025277A" w14:paraId="1627C2F5" w14:textId="114EC13A" w:rsidTr="0023513D">
        <w:trPr>
          <w:trHeight w:val="397"/>
          <w:jc w:val="center"/>
        </w:trPr>
        <w:tc>
          <w:tcPr>
            <w:tcW w:w="3748" w:type="pct"/>
          </w:tcPr>
          <w:p w14:paraId="4EE08194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>Measures for preventing and treating sarcopenia include exercise therapy, nutritional therapy, drug treatment, and surgical therapy.</w:t>
            </w:r>
          </w:p>
        </w:tc>
        <w:tc>
          <w:tcPr>
            <w:tcW w:w="626" w:type="pct"/>
            <w:vAlign w:val="center"/>
          </w:tcPr>
          <w:p w14:paraId="15D7E2E2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kern w:val="0"/>
                <w:sz w:val="24"/>
                <w:szCs w:val="24"/>
                <w:lang w:bidi="ar"/>
              </w:rPr>
              <w:t>91 (16.34)</w:t>
            </w:r>
          </w:p>
        </w:tc>
        <w:tc>
          <w:tcPr>
            <w:tcW w:w="626" w:type="pct"/>
            <w:vAlign w:val="center"/>
          </w:tcPr>
          <w:p w14:paraId="15578CF0" w14:textId="2E187356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0.269</w:t>
            </w:r>
          </w:p>
        </w:tc>
      </w:tr>
      <w:tr w:rsidR="0025277A" w14:paraId="22FCF4C2" w14:textId="5AC695DF" w:rsidTr="0023513D">
        <w:trPr>
          <w:trHeight w:val="397"/>
          <w:jc w:val="center"/>
        </w:trPr>
        <w:tc>
          <w:tcPr>
            <w:tcW w:w="3748" w:type="pct"/>
          </w:tcPr>
          <w:p w14:paraId="0E6EF617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Except for patients with renal insufficiency, sarcopenic patients with severe malnutrition may need protein supplementation of over 1.5 g·kg-1·d-1.</w:t>
            </w:r>
          </w:p>
        </w:tc>
        <w:tc>
          <w:tcPr>
            <w:tcW w:w="626" w:type="pct"/>
            <w:vAlign w:val="center"/>
          </w:tcPr>
          <w:p w14:paraId="51E395F7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kern w:val="0"/>
                <w:sz w:val="24"/>
                <w:szCs w:val="24"/>
                <w:lang w:bidi="ar"/>
              </w:rPr>
              <w:t>429 (77.02)</w:t>
            </w:r>
          </w:p>
        </w:tc>
        <w:tc>
          <w:tcPr>
            <w:tcW w:w="626" w:type="pct"/>
            <w:vAlign w:val="center"/>
          </w:tcPr>
          <w:p w14:paraId="0F707F2E" w14:textId="530F87A2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0.001</w:t>
            </w:r>
          </w:p>
        </w:tc>
      </w:tr>
      <w:tr w:rsidR="0025277A" w14:paraId="264939E4" w14:textId="69CBC227" w:rsidTr="0023513D">
        <w:trPr>
          <w:trHeight w:val="397"/>
          <w:jc w:val="center"/>
        </w:trPr>
        <w:tc>
          <w:tcPr>
            <w:tcW w:w="3748" w:type="pct"/>
          </w:tcPr>
          <w:p w14:paraId="5D4669A7" w14:textId="77777777" w:rsidR="0025277A" w:rsidRDefault="0025277A" w:rsidP="00C53C46">
            <w:pPr>
              <w:widowControl w:val="0"/>
              <w:numPr>
                <w:ilvl w:val="0"/>
                <w:numId w:val="1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Active vitamin D, β-adrenergic receptor agonists, angiotensin-converting enzyme inhibitors, growth hormone, etc., can be used for sarcopenia treatment.</w:t>
            </w:r>
          </w:p>
        </w:tc>
        <w:tc>
          <w:tcPr>
            <w:tcW w:w="626" w:type="pct"/>
            <w:vAlign w:val="center"/>
          </w:tcPr>
          <w:p w14:paraId="715007D4" w14:textId="77777777" w:rsidR="0025277A" w:rsidRDefault="0025277A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kern w:val="0"/>
                <w:sz w:val="24"/>
                <w:szCs w:val="24"/>
                <w:lang w:bidi="ar"/>
              </w:rPr>
              <w:t>382 (68.58)</w:t>
            </w:r>
          </w:p>
        </w:tc>
        <w:tc>
          <w:tcPr>
            <w:tcW w:w="626" w:type="pct"/>
            <w:vAlign w:val="center"/>
          </w:tcPr>
          <w:p w14:paraId="48E44615" w14:textId="22772773" w:rsidR="0025277A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0.068</w:t>
            </w:r>
          </w:p>
        </w:tc>
      </w:tr>
    </w:tbl>
    <w:p w14:paraId="5716C02B" w14:textId="24938A00" w:rsidR="005E4806" w:rsidRPr="005E4806" w:rsidRDefault="005E4806" w:rsidP="005E4806">
      <w:pPr>
        <w:adjustRightInd w:val="0"/>
        <w:snapToGrid w:val="0"/>
        <w:spacing w:after="0" w:line="480" w:lineRule="auto"/>
        <w:rPr>
          <w:rFonts w:eastAsia="微软雅黑"/>
          <w:b/>
          <w:bCs/>
          <w:sz w:val="24"/>
          <w:szCs w:val="24"/>
        </w:rPr>
      </w:pPr>
      <w:r>
        <w:rPr>
          <w:rFonts w:eastAsia="微软雅黑" w:hint="eastAsia"/>
          <w:b/>
          <w:bCs/>
          <w:sz w:val="24"/>
          <w:szCs w:val="24"/>
        </w:rPr>
        <w:t xml:space="preserve">*: </w:t>
      </w:r>
      <w:r w:rsidRPr="0023513D">
        <w:rPr>
          <w:rFonts w:eastAsia="微软雅黑"/>
          <w:sz w:val="24"/>
          <w:szCs w:val="24"/>
        </w:rPr>
        <w:t>Indicates whether there is a significant difference in scores between doctors and nurses on each question</w:t>
      </w:r>
    </w:p>
    <w:p w14:paraId="623EACA1" w14:textId="1ED706E4" w:rsidR="00853694" w:rsidRPr="005E4806" w:rsidRDefault="00853694" w:rsidP="00853694">
      <w:pPr>
        <w:adjustRightInd w:val="0"/>
        <w:snapToGrid w:val="0"/>
        <w:spacing w:after="0" w:line="480" w:lineRule="auto"/>
        <w:rPr>
          <w:rFonts w:eastAsia="微软雅黑"/>
          <w:b/>
          <w:bCs/>
          <w:sz w:val="24"/>
          <w:szCs w:val="24"/>
        </w:rPr>
        <w:sectPr w:rsidR="00853694" w:rsidRPr="005E4806" w:rsidSect="00853694">
          <w:pgSz w:w="16838" w:h="11906" w:orient="landscape"/>
          <w:pgMar w:top="1797" w:right="1440" w:bottom="1797" w:left="1440" w:header="851" w:footer="680" w:gutter="0"/>
          <w:pgNumType w:start="1"/>
          <w:cols w:space="720"/>
          <w:docGrid w:type="linesAndChars" w:linePitch="312"/>
        </w:sectPr>
      </w:pPr>
    </w:p>
    <w:p w14:paraId="19717D4C" w14:textId="77777777" w:rsidR="00853694" w:rsidRDefault="00853694" w:rsidP="00853694">
      <w:pPr>
        <w:adjustRightInd w:val="0"/>
        <w:snapToGrid w:val="0"/>
        <w:spacing w:after="0" w:line="480" w:lineRule="auto"/>
        <w:rPr>
          <w:rFonts w:eastAsia="微软雅黑"/>
          <w:b/>
          <w:bCs/>
          <w:sz w:val="24"/>
          <w:szCs w:val="24"/>
          <w:lang w:val="en"/>
        </w:rPr>
      </w:pPr>
      <w:r>
        <w:rPr>
          <w:rFonts w:eastAsia="微软雅黑"/>
          <w:b/>
          <w:bCs/>
          <w:sz w:val="24"/>
          <w:szCs w:val="24"/>
        </w:rPr>
        <w:lastRenderedPageBreak/>
        <w:br w:type="page"/>
      </w:r>
      <w:r>
        <w:rPr>
          <w:rFonts w:eastAsia="微软雅黑"/>
          <w:b/>
          <w:bCs/>
          <w:sz w:val="24"/>
          <w:szCs w:val="24"/>
        </w:rPr>
        <w:lastRenderedPageBreak/>
        <w:t xml:space="preserve">Supplementary Table 2 </w:t>
      </w:r>
      <w:r>
        <w:rPr>
          <w:rFonts w:eastAsia="微软雅黑"/>
          <w:b/>
          <w:sz w:val="24"/>
          <w:szCs w:val="24"/>
        </w:rPr>
        <w:t>Attitude</w:t>
      </w:r>
    </w:p>
    <w:tbl>
      <w:tblPr>
        <w:tblW w:w="5000" w:type="pct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6523"/>
        <w:gridCol w:w="1237"/>
        <w:gridCol w:w="1237"/>
        <w:gridCol w:w="1237"/>
        <w:gridCol w:w="1237"/>
        <w:gridCol w:w="1245"/>
        <w:gridCol w:w="1242"/>
      </w:tblGrid>
      <w:tr w:rsidR="005E4806" w14:paraId="794C4EC0" w14:textId="4E475BDB" w:rsidTr="005E4806">
        <w:trPr>
          <w:trHeight w:val="20"/>
        </w:trPr>
        <w:tc>
          <w:tcPr>
            <w:tcW w:w="2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7FF298" w14:textId="64D4EF96" w:rsidR="005E4806" w:rsidRDefault="00AA69B8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 w:rsidRPr="00AA69B8">
              <w:rPr>
                <w:rFonts w:eastAsia="微软雅黑"/>
                <w:b/>
                <w:kern w:val="0"/>
                <w:sz w:val="24"/>
                <w:szCs w:val="24"/>
              </w:rPr>
              <w:t>Items, n (%)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A7F12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Strongly Agree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9A4CF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Agree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74A025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Neutral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308A86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Disagree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3F23C7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Strongly Disagree</w:t>
            </w:r>
          </w:p>
        </w:tc>
        <w:tc>
          <w:tcPr>
            <w:tcW w:w="44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9BCE1B" w14:textId="742F1112" w:rsidR="005E4806" w:rsidRDefault="00AA69B8" w:rsidP="0023513D">
            <w:pPr>
              <w:adjustRightInd w:val="0"/>
              <w:snapToGrid w:val="0"/>
              <w:spacing w:after="0" w:line="480" w:lineRule="auto"/>
              <w:jc w:val="center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b/>
                <w:kern w:val="0"/>
                <w:sz w:val="24"/>
                <w:szCs w:val="24"/>
              </w:rPr>
              <w:t>P*</w:t>
            </w:r>
          </w:p>
        </w:tc>
      </w:tr>
      <w:tr w:rsidR="005E4806" w14:paraId="3CDDBF7F" w14:textId="4E3EAAB7" w:rsidTr="0023513D">
        <w:trPr>
          <w:trHeight w:val="20"/>
        </w:trPr>
        <w:tc>
          <w:tcPr>
            <w:tcW w:w="2337" w:type="pct"/>
          </w:tcPr>
          <w:p w14:paraId="7F760432" w14:textId="77777777" w:rsidR="005E4806" w:rsidRDefault="005E4806" w:rsidP="00C53C46">
            <w:pPr>
              <w:widowControl w:val="0"/>
              <w:numPr>
                <w:ilvl w:val="0"/>
                <w:numId w:val="2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Consuming a sufficient amount of protein is crucial for maintaining muscle mass and strength.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BFA75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438 (78.64)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43EE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103 (18.49)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ECAD0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16 (2.87)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78719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/>
                <w:bCs/>
                <w:sz w:val="24"/>
                <w:szCs w:val="24"/>
              </w:rPr>
              <w:t>/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69562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/>
                <w:bCs/>
                <w:sz w:val="24"/>
                <w:szCs w:val="24"/>
              </w:rPr>
              <w:t>/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7FE34" w14:textId="79A848E8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 w:hint="eastAsia"/>
                <w:bCs/>
                <w:sz w:val="24"/>
                <w:szCs w:val="24"/>
              </w:rPr>
              <w:t>0.358</w:t>
            </w:r>
          </w:p>
        </w:tc>
      </w:tr>
      <w:tr w:rsidR="005E4806" w14:paraId="756CD711" w14:textId="7A4FF4EB" w:rsidTr="0023513D">
        <w:trPr>
          <w:trHeight w:val="20"/>
        </w:trPr>
        <w:tc>
          <w:tcPr>
            <w:tcW w:w="2337" w:type="pct"/>
          </w:tcPr>
          <w:p w14:paraId="22083E62" w14:textId="77777777" w:rsidR="005E4806" w:rsidRDefault="005E4806" w:rsidP="00C53C46">
            <w:pPr>
              <w:widowControl w:val="0"/>
              <w:numPr>
                <w:ilvl w:val="0"/>
                <w:numId w:val="2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For elderly individuals with sarcopenia, amino acid nutritional supplementation may be considered when necessary.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E07E0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338 (60.68)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0E0CA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164 (29.44)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C52A3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47 (8.44)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2C55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8 (1.44)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068AE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/>
                <w:bCs/>
                <w:sz w:val="24"/>
                <w:szCs w:val="24"/>
              </w:rPr>
              <w:t>/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3C804" w14:textId="0C40F7CE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 w:hint="eastAsia"/>
                <w:bCs/>
                <w:sz w:val="24"/>
                <w:szCs w:val="24"/>
              </w:rPr>
              <w:t>0.110</w:t>
            </w:r>
          </w:p>
        </w:tc>
      </w:tr>
      <w:tr w:rsidR="005E4806" w14:paraId="067D130A" w14:textId="3CCD29FB" w:rsidTr="0023513D">
        <w:trPr>
          <w:trHeight w:val="20"/>
        </w:trPr>
        <w:tc>
          <w:tcPr>
            <w:tcW w:w="2337" w:type="pct"/>
          </w:tcPr>
          <w:p w14:paraId="6B83A1AE" w14:textId="77777777" w:rsidR="005E4806" w:rsidRDefault="005E4806" w:rsidP="00C53C46">
            <w:pPr>
              <w:widowControl w:val="0"/>
              <w:numPr>
                <w:ilvl w:val="0"/>
                <w:numId w:val="2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Elderly individuals with sarcopenia and no apparent contraindications should engage in regular exercise training. P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E8FD1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414 (74.33)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00549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123 (22.08)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7C2D9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19 (3.41)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AC618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 (0.18)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E303C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/>
                <w:bCs/>
                <w:sz w:val="24"/>
                <w:szCs w:val="24"/>
              </w:rPr>
              <w:t>/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04492" w14:textId="66943907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 w:hint="eastAsia"/>
                <w:bCs/>
                <w:sz w:val="24"/>
                <w:szCs w:val="24"/>
              </w:rPr>
              <w:t>0.078</w:t>
            </w:r>
          </w:p>
        </w:tc>
      </w:tr>
      <w:tr w:rsidR="005E4806" w14:paraId="111C94A7" w14:textId="41E36C55" w:rsidTr="0023513D">
        <w:trPr>
          <w:trHeight w:val="20"/>
        </w:trPr>
        <w:tc>
          <w:tcPr>
            <w:tcW w:w="2337" w:type="pct"/>
          </w:tcPr>
          <w:p w14:paraId="075024AD" w14:textId="77777777" w:rsidR="005E4806" w:rsidRDefault="005E4806" w:rsidP="00C53C46">
            <w:pPr>
              <w:widowControl w:val="0"/>
              <w:numPr>
                <w:ilvl w:val="0"/>
                <w:numId w:val="2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Resistance training, aerobic exercises, stretching, and balance activities contribute to improving physical function in sarcopenic patients. P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BC39C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418 (75.04)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C0B70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122 (21.9)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FCABD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17 (3.05)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182A8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/>
                <w:bCs/>
                <w:sz w:val="24"/>
                <w:szCs w:val="24"/>
              </w:rPr>
              <w:t>/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E6A9B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/>
                <w:bCs/>
                <w:sz w:val="24"/>
                <w:szCs w:val="24"/>
              </w:rPr>
              <w:t>/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FC3CF" w14:textId="7CAA4AE9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 w:hint="eastAsia"/>
                <w:bCs/>
                <w:sz w:val="24"/>
                <w:szCs w:val="24"/>
              </w:rPr>
              <w:t>0.033</w:t>
            </w:r>
          </w:p>
        </w:tc>
      </w:tr>
      <w:tr w:rsidR="005E4806" w14:paraId="5F6A75CD" w14:textId="73C7A840" w:rsidTr="0023513D">
        <w:trPr>
          <w:trHeight w:val="20"/>
        </w:trPr>
        <w:tc>
          <w:tcPr>
            <w:tcW w:w="2337" w:type="pct"/>
          </w:tcPr>
          <w:p w14:paraId="107F8411" w14:textId="77777777" w:rsidR="005E4806" w:rsidRDefault="005E4806" w:rsidP="00C53C46">
            <w:pPr>
              <w:widowControl w:val="0"/>
              <w:numPr>
                <w:ilvl w:val="0"/>
                <w:numId w:val="2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lastRenderedPageBreak/>
              <w:t xml:space="preserve">Medication treatment for sarcopenia may have certain adverse reactions and should be used cautiously.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A38E6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226 (40.57)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59649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227 (40.75)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35A57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82 (14.72)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DA40E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19 (3.41)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B8F05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3 (0.54)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E871A" w14:textId="794EF98A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0.548</w:t>
            </w:r>
          </w:p>
        </w:tc>
      </w:tr>
      <w:tr w:rsidR="005E4806" w14:paraId="5D6889A4" w14:textId="6FE1C0FE" w:rsidTr="0023513D">
        <w:trPr>
          <w:trHeight w:val="20"/>
        </w:trPr>
        <w:tc>
          <w:tcPr>
            <w:tcW w:w="2337" w:type="pct"/>
            <w:tcBorders>
              <w:bottom w:val="single" w:sz="4" w:space="0" w:color="auto"/>
            </w:tcBorders>
          </w:tcPr>
          <w:p w14:paraId="12362227" w14:textId="77777777" w:rsidR="005E4806" w:rsidRDefault="005E4806" w:rsidP="00C53C46">
            <w:pPr>
              <w:widowControl w:val="0"/>
              <w:numPr>
                <w:ilvl w:val="0"/>
                <w:numId w:val="2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Early screening for sarcopenia in the elderly is crucial, and efforts should be intensified in community healthcare facilities and large comprehensive hospitals for early detection.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C8DC21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437 (78.46)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B1AD09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102 (18.31)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482450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17 (3.05)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A5D612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 (0.18)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12558A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/>
                <w:bCs/>
                <w:sz w:val="24"/>
                <w:szCs w:val="24"/>
              </w:rPr>
              <w:t>/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B5B43A" w14:textId="2C0141CB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rPr>
                <w:rFonts w:eastAsia="微软雅黑"/>
                <w:bCs/>
                <w:sz w:val="24"/>
                <w:szCs w:val="24"/>
              </w:rPr>
            </w:pPr>
            <w:r>
              <w:rPr>
                <w:rFonts w:eastAsia="微软雅黑" w:hint="eastAsia"/>
                <w:bCs/>
                <w:sz w:val="24"/>
                <w:szCs w:val="24"/>
              </w:rPr>
              <w:t>0.625</w:t>
            </w:r>
          </w:p>
        </w:tc>
      </w:tr>
    </w:tbl>
    <w:p w14:paraId="320D71B0" w14:textId="77777777" w:rsidR="005E4806" w:rsidRPr="005E4806" w:rsidRDefault="005E4806" w:rsidP="005E4806">
      <w:pPr>
        <w:adjustRightInd w:val="0"/>
        <w:snapToGrid w:val="0"/>
        <w:spacing w:after="0" w:line="480" w:lineRule="auto"/>
        <w:rPr>
          <w:rFonts w:eastAsia="微软雅黑"/>
          <w:b/>
          <w:bCs/>
          <w:sz w:val="24"/>
          <w:szCs w:val="24"/>
        </w:rPr>
      </w:pPr>
      <w:r>
        <w:rPr>
          <w:rFonts w:eastAsia="微软雅黑" w:hint="eastAsia"/>
          <w:b/>
          <w:bCs/>
          <w:sz w:val="24"/>
          <w:szCs w:val="24"/>
        </w:rPr>
        <w:t xml:space="preserve">*: </w:t>
      </w:r>
      <w:r w:rsidRPr="002A6120">
        <w:rPr>
          <w:rFonts w:eastAsia="微软雅黑"/>
          <w:sz w:val="24"/>
          <w:szCs w:val="24"/>
        </w:rPr>
        <w:t>Indicates whether there is a significant difference in scores between doctors and nurses on each question</w:t>
      </w:r>
    </w:p>
    <w:p w14:paraId="0E7531BF" w14:textId="77777777" w:rsidR="00853694" w:rsidRPr="005E4806" w:rsidRDefault="00853694" w:rsidP="00853694">
      <w:pPr>
        <w:adjustRightInd w:val="0"/>
        <w:snapToGrid w:val="0"/>
        <w:spacing w:after="0" w:line="480" w:lineRule="auto"/>
        <w:rPr>
          <w:sz w:val="24"/>
          <w:szCs w:val="24"/>
        </w:rPr>
        <w:sectPr w:rsidR="00853694" w:rsidRPr="005E4806" w:rsidSect="00853694">
          <w:type w:val="continuous"/>
          <w:pgSz w:w="16838" w:h="11906" w:orient="landscape"/>
          <w:pgMar w:top="1797" w:right="1440" w:bottom="1797" w:left="1440" w:header="851" w:footer="680" w:gutter="0"/>
          <w:pgNumType w:start="1"/>
          <w:cols w:space="720"/>
          <w:docGrid w:type="linesAndChars" w:linePitch="312"/>
        </w:sectPr>
      </w:pPr>
    </w:p>
    <w:p w14:paraId="410225B5" w14:textId="7FEA2A07" w:rsidR="00853694" w:rsidRDefault="00853694" w:rsidP="00853694">
      <w:pPr>
        <w:adjustRightInd w:val="0"/>
        <w:snapToGrid w:val="0"/>
        <w:spacing w:after="0" w:line="480" w:lineRule="auto"/>
        <w:rPr>
          <w:rFonts w:eastAsia="微软雅黑"/>
          <w:b/>
          <w:bCs/>
          <w:sz w:val="24"/>
          <w:szCs w:val="24"/>
          <w:lang w:val="en"/>
        </w:rPr>
      </w:pPr>
      <w:r>
        <w:rPr>
          <w:rFonts w:eastAsia="微软雅黑"/>
          <w:b/>
          <w:bCs/>
          <w:sz w:val="24"/>
          <w:szCs w:val="24"/>
        </w:rPr>
        <w:lastRenderedPageBreak/>
        <w:t>Supplementary Table 3 Practice</w:t>
      </w:r>
      <w:r>
        <w:rPr>
          <w:b/>
          <w:bCs/>
          <w:sz w:val="24"/>
          <w:szCs w:val="24"/>
        </w:rPr>
        <w:t xml:space="preserve"> Dimension</w:t>
      </w:r>
    </w:p>
    <w:tbl>
      <w:tblPr>
        <w:tblW w:w="5000" w:type="pct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7410"/>
        <w:gridCol w:w="999"/>
        <w:gridCol w:w="1030"/>
        <w:gridCol w:w="1323"/>
        <w:gridCol w:w="999"/>
        <w:gridCol w:w="1103"/>
        <w:gridCol w:w="1094"/>
      </w:tblGrid>
      <w:tr w:rsidR="005E4806" w14:paraId="65EA9229" w14:textId="15BA1384" w:rsidTr="0023513D">
        <w:trPr>
          <w:trHeight w:val="20"/>
        </w:trPr>
        <w:tc>
          <w:tcPr>
            <w:tcW w:w="26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03DBE8" w14:textId="5E1A5CD7" w:rsidR="005E4806" w:rsidRDefault="00AA69B8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 w:rsidRPr="00AA69B8">
              <w:rPr>
                <w:rFonts w:eastAsia="微软雅黑"/>
                <w:b/>
                <w:kern w:val="0"/>
                <w:sz w:val="24"/>
                <w:szCs w:val="24"/>
              </w:rPr>
              <w:t>Items, n (%)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18234D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Always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F40E0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Often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38AD9E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Sometimes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692A83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Rarely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90D290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/>
                <w:b/>
                <w:kern w:val="0"/>
                <w:sz w:val="24"/>
                <w:szCs w:val="24"/>
              </w:rPr>
              <w:t>Never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B5E89" w14:textId="660F2E04" w:rsidR="005E4806" w:rsidRDefault="00AA69B8" w:rsidP="0023513D">
            <w:pPr>
              <w:adjustRightInd w:val="0"/>
              <w:snapToGrid w:val="0"/>
              <w:spacing w:after="0" w:line="480" w:lineRule="auto"/>
              <w:jc w:val="center"/>
              <w:rPr>
                <w:rFonts w:eastAsia="微软雅黑"/>
                <w:b/>
                <w:kern w:val="0"/>
                <w:sz w:val="24"/>
                <w:szCs w:val="24"/>
              </w:rPr>
            </w:pPr>
            <w:r>
              <w:rPr>
                <w:rFonts w:eastAsia="微软雅黑" w:hint="eastAsia"/>
                <w:b/>
                <w:kern w:val="0"/>
                <w:sz w:val="24"/>
                <w:szCs w:val="24"/>
              </w:rPr>
              <w:t>P*</w:t>
            </w:r>
          </w:p>
        </w:tc>
      </w:tr>
      <w:tr w:rsidR="005E4806" w14:paraId="5CBB8854" w14:textId="63B66E5B" w:rsidTr="0023513D">
        <w:trPr>
          <w:trHeight w:val="20"/>
        </w:trPr>
        <w:tc>
          <w:tcPr>
            <w:tcW w:w="2654" w:type="pct"/>
          </w:tcPr>
          <w:p w14:paraId="72F62368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I can accurately diagnose patients with sarcopenia.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B937ED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31 (5.57)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A375B6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132 (23.7)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E78F32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159 (28.55)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6D6754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108 (19.39)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21C626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127 (22.8)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B488ED" w14:textId="32F5F755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&lt;0.001</w:t>
            </w:r>
          </w:p>
        </w:tc>
      </w:tr>
      <w:tr w:rsidR="005E4806" w14:paraId="075B77DF" w14:textId="70F5CD34" w:rsidTr="0023513D">
        <w:trPr>
          <w:trHeight w:val="20"/>
        </w:trPr>
        <w:tc>
          <w:tcPr>
            <w:tcW w:w="2654" w:type="pct"/>
          </w:tcPr>
          <w:p w14:paraId="2169E744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I can develop comprehensive diagnosis and treatment plans for patients with sarcopenia.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9F2FE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38 (6.82)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BEB91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115 (20.65)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E5BA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137 (24.6)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1F86B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118 (21.18)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17A1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149 (26.75)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E2D51" w14:textId="5B6FBF4A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&lt;0.001</w:t>
            </w:r>
          </w:p>
        </w:tc>
      </w:tr>
      <w:tr w:rsidR="005E4806" w14:paraId="7049CF1F" w14:textId="20AD45C8" w:rsidTr="0023513D">
        <w:trPr>
          <w:trHeight w:val="20"/>
        </w:trPr>
        <w:tc>
          <w:tcPr>
            <w:tcW w:w="2654" w:type="pct"/>
          </w:tcPr>
          <w:p w14:paraId="5B126D91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I am proficient in using sarcopenia assessment tools such as DXA, BIA, SPPB, SARC-F, etc.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3F6C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33 (5.92)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7F3B8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70 (12.57)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9976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124 (22.26)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4FF82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153 (27.47)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B0E8B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177 (31.78)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ADCD4" w14:textId="46DA8CF9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0.007</w:t>
            </w:r>
          </w:p>
        </w:tc>
      </w:tr>
      <w:tr w:rsidR="005E4806" w14:paraId="40E01A73" w14:textId="62D67C51" w:rsidTr="0023513D">
        <w:trPr>
          <w:trHeight w:val="20"/>
        </w:trPr>
        <w:tc>
          <w:tcPr>
            <w:tcW w:w="2654" w:type="pct"/>
          </w:tcPr>
          <w:p w14:paraId="5A9BD65D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For elderly patients with sarcopenia, I will adequately inform them about the types of complications, risks, and preventive measures to minimize adverse events.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BA29A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115 (20.65)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9A83D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120 (21.54)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81223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119 (21.36)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CAABA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97 (17.41)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E452A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106 (19.03)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C1E52" w14:textId="20C8F5B0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0.002</w:t>
            </w:r>
          </w:p>
        </w:tc>
      </w:tr>
      <w:tr w:rsidR="005E4806" w14:paraId="38EE13D5" w14:textId="23D40309" w:rsidTr="0023513D">
        <w:trPr>
          <w:trHeight w:val="20"/>
        </w:trPr>
        <w:tc>
          <w:tcPr>
            <w:tcW w:w="2654" w:type="pct"/>
          </w:tcPr>
          <w:p w14:paraId="70637E79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I will advise patients to increase the intake of high-protein foods in their daily meals.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7D9D9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242 (43.45)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D3744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177 (31.78)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E18F2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78 (14)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FF5AC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23 (4.13)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0A7B1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37 (6.64)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5428B" w14:textId="2DA192C3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0.011</w:t>
            </w:r>
          </w:p>
        </w:tc>
      </w:tr>
      <w:tr w:rsidR="005E4806" w14:paraId="54018E70" w14:textId="6E5692E7" w:rsidTr="0023513D">
        <w:trPr>
          <w:trHeight w:val="20"/>
        </w:trPr>
        <w:tc>
          <w:tcPr>
            <w:tcW w:w="2654" w:type="pct"/>
          </w:tcPr>
          <w:p w14:paraId="207BA6C0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lastRenderedPageBreak/>
              <w:t>For elderly patients with sarcopenia, I will suggest the supplementation of protein powder. P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8DB75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161 (28.9)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7EAD3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166 (29.8)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879E5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141 (25.31)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9067A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40 (7.18)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A70AD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49 (8.8)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EA1E8" w14:textId="0D1E5207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0.021</w:t>
            </w:r>
          </w:p>
        </w:tc>
      </w:tr>
      <w:tr w:rsidR="005E4806" w14:paraId="2C185A78" w14:textId="05A5E9AC" w:rsidTr="0023513D">
        <w:trPr>
          <w:trHeight w:val="20"/>
        </w:trPr>
        <w:tc>
          <w:tcPr>
            <w:tcW w:w="2654" w:type="pct"/>
          </w:tcPr>
          <w:p w14:paraId="5AC2469D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I will prescribe vitamin D supplements for elderly patients with sarcopenia.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BCC66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113 (20.29)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D5D51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153 (27.47)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1B45C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136 (24.42)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0EF49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62 (11.13)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89065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93 (16.7)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21B4A" w14:textId="26A50E01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&lt;0.001</w:t>
            </w:r>
          </w:p>
        </w:tc>
      </w:tr>
      <w:tr w:rsidR="005E4806" w14:paraId="0CF01043" w14:textId="70DDBB60" w:rsidTr="0023513D">
        <w:trPr>
          <w:trHeight w:val="20"/>
        </w:trPr>
        <w:tc>
          <w:tcPr>
            <w:tcW w:w="2654" w:type="pct"/>
          </w:tcPr>
          <w:p w14:paraId="3D537706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For elderly patients with sarcopenia, I will recommend supplementation with ß-hydroxy-ß-methylbutyrate (HMB).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9FB52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79 (14.18)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B3FFA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94 (16.88)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1FC5D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116 (20.83)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B4B83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112 (20.11)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C9E41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156 (28.01)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A3562" w14:textId="72CBFB2E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0.062</w:t>
            </w:r>
          </w:p>
        </w:tc>
      </w:tr>
      <w:tr w:rsidR="005E4806" w14:paraId="5F354F9E" w14:textId="568EAC78" w:rsidTr="0023513D">
        <w:trPr>
          <w:trHeight w:val="20"/>
        </w:trPr>
        <w:tc>
          <w:tcPr>
            <w:tcW w:w="2654" w:type="pct"/>
          </w:tcPr>
          <w:p w14:paraId="70AC9C59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I will introduce resistance training and other exercise interventions for sarcopenia and advise patients to increase physical activity based on their individual conditions.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70383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167 (29.98)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E71C3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183 (32.85)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F1006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109 (19.57)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662E9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43 (7.72)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D6F58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55 (9.87)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B5674" w14:textId="0D6F901E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eastAsia="微软雅黑" w:hint="eastAsia"/>
                <w:kern w:val="0"/>
                <w:sz w:val="24"/>
                <w:szCs w:val="24"/>
              </w:rPr>
              <w:t>&lt;0.001</w:t>
            </w:r>
          </w:p>
        </w:tc>
      </w:tr>
      <w:tr w:rsidR="005E4806" w14:paraId="14ADC8EC" w14:textId="28B07855" w:rsidTr="0023513D">
        <w:trPr>
          <w:trHeight w:val="20"/>
        </w:trPr>
        <w:tc>
          <w:tcPr>
            <w:tcW w:w="2654" w:type="pct"/>
          </w:tcPr>
          <w:p w14:paraId="1B3C59A3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I will recommend patients to undergo rehabilitation training in the physiotherapy department.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771A4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122 (21.9)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F9FF5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161 (28.9)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84BC1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139 (24.96)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EE51C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69 (12.39)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82D46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66 (11.85)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526B4" w14:textId="30A659CF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0.001</w:t>
            </w:r>
          </w:p>
        </w:tc>
      </w:tr>
      <w:tr w:rsidR="005E4806" w14:paraId="4C3A29EB" w14:textId="01AA885C" w:rsidTr="0023513D">
        <w:trPr>
          <w:trHeight w:val="20"/>
        </w:trPr>
        <w:tc>
          <w:tcPr>
            <w:tcW w:w="2654" w:type="pct"/>
            <w:tcBorders>
              <w:bottom w:val="single" w:sz="4" w:space="0" w:color="auto"/>
            </w:tcBorders>
          </w:tcPr>
          <w:p w14:paraId="6A01CE30" w14:textId="77777777" w:rsidR="005E4806" w:rsidRDefault="005E4806" w:rsidP="00C53C46">
            <w:pPr>
              <w:widowControl w:val="0"/>
              <w:numPr>
                <w:ilvl w:val="0"/>
                <w:numId w:val="3"/>
              </w:numPr>
              <w:adjustRightInd w:val="0"/>
              <w:snapToGrid w:val="0"/>
              <w:spacing w:after="0" w:line="480" w:lineRule="auto"/>
              <w:ind w:left="0" w:firstLine="0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  <w:lang w:eastAsia="zh-Hans"/>
              </w:rPr>
              <w:t xml:space="preserve">I will engage in communication and collaboration with doctors from other relevant departments (such as nutrition, preventive healthcare, etc.) involved in sarcopenia diagnosis and treatment. </w:t>
            </w:r>
            <w:r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4FFA13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144 (25.85)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39A7A9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137 (24.6)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E1C26F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135 (24.24)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ECCD1A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78 (14)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8541CE" w14:textId="77777777" w:rsidR="005E4806" w:rsidRDefault="005E4806" w:rsidP="00C53C46">
            <w:pPr>
              <w:adjustRightInd w:val="0"/>
              <w:snapToGrid w:val="0"/>
              <w:spacing w:after="0" w:line="480" w:lineRule="auto"/>
              <w:textAlignment w:val="center"/>
              <w:rPr>
                <w:rFonts w:eastAsia="微软雅黑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"/>
              </w:rPr>
              <w:t>63 (11.31)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3DD10C" w14:textId="79870461" w:rsidR="005E4806" w:rsidRDefault="005E4806" w:rsidP="0023513D">
            <w:pPr>
              <w:adjustRightInd w:val="0"/>
              <w:snapToGrid w:val="0"/>
              <w:spacing w:after="0" w:line="48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0.012</w:t>
            </w:r>
          </w:p>
        </w:tc>
      </w:tr>
    </w:tbl>
    <w:p w14:paraId="6E66EB0B" w14:textId="57EF76A3" w:rsidR="00853694" w:rsidRPr="0023513D" w:rsidRDefault="005E4806" w:rsidP="00853694">
      <w:pPr>
        <w:adjustRightInd w:val="0"/>
        <w:snapToGrid w:val="0"/>
        <w:spacing w:after="0" w:line="480" w:lineRule="auto"/>
        <w:rPr>
          <w:rFonts w:eastAsia="微软雅黑"/>
          <w:b/>
          <w:bCs/>
          <w:sz w:val="24"/>
          <w:szCs w:val="24"/>
        </w:rPr>
      </w:pPr>
      <w:r>
        <w:rPr>
          <w:rFonts w:eastAsia="微软雅黑" w:hint="eastAsia"/>
          <w:b/>
          <w:bCs/>
          <w:sz w:val="24"/>
          <w:szCs w:val="24"/>
        </w:rPr>
        <w:t xml:space="preserve">*: </w:t>
      </w:r>
      <w:r w:rsidRPr="002A6120">
        <w:rPr>
          <w:rFonts w:eastAsia="微软雅黑"/>
          <w:sz w:val="24"/>
          <w:szCs w:val="24"/>
        </w:rPr>
        <w:t>Indicates whether there is a significant difference in scores between doctors and nurses on each question</w:t>
      </w:r>
    </w:p>
    <w:p w14:paraId="7D53FA8E" w14:textId="77777777" w:rsidR="00853694" w:rsidRPr="00550C84" w:rsidRDefault="00853694" w:rsidP="00853694">
      <w:pPr>
        <w:adjustRightInd w:val="0"/>
        <w:snapToGrid w:val="0"/>
        <w:spacing w:after="0" w:line="48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  <w:r w:rsidRPr="00550C84">
        <w:rPr>
          <w:b/>
          <w:bCs/>
          <w:sz w:val="24"/>
          <w:szCs w:val="24"/>
        </w:rPr>
        <w:lastRenderedPageBreak/>
        <w:t>Supplementary Table 4. Structural equation model fit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4" w:space="0" w:color="auto"/>
          <w:insideV w:val="none" w:sz="4" w:space="0" w:color="auto"/>
        </w:tblBorders>
        <w:tblLook w:val="0000" w:firstRow="0" w:lastRow="0" w:firstColumn="0" w:lastColumn="0" w:noHBand="0" w:noVBand="0"/>
      </w:tblPr>
      <w:tblGrid>
        <w:gridCol w:w="3208"/>
        <w:gridCol w:w="5812"/>
        <w:gridCol w:w="4938"/>
      </w:tblGrid>
      <w:tr w:rsidR="00853694" w14:paraId="0C3F5609" w14:textId="77777777" w:rsidTr="00C53C46">
        <w:tc>
          <w:tcPr>
            <w:tcW w:w="11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019A4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Model 1</w:t>
            </w:r>
          </w:p>
        </w:tc>
        <w:tc>
          <w:tcPr>
            <w:tcW w:w="20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46C63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Ref.</w:t>
            </w:r>
          </w:p>
        </w:tc>
        <w:tc>
          <w:tcPr>
            <w:tcW w:w="17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DEFA91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Measured results</w:t>
            </w:r>
          </w:p>
        </w:tc>
      </w:tr>
      <w:tr w:rsidR="00853694" w14:paraId="629FE727" w14:textId="77777777" w:rsidTr="00C53C46">
        <w:tc>
          <w:tcPr>
            <w:tcW w:w="11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D44413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CMIN/DF</w:t>
            </w:r>
          </w:p>
        </w:tc>
        <w:tc>
          <w:tcPr>
            <w:tcW w:w="20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447E92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1-3 excellent</w:t>
            </w:r>
            <w:r>
              <w:rPr>
                <w:rFonts w:eastAsia="微软雅黑"/>
                <w:sz w:val="24"/>
                <w:szCs w:val="24"/>
              </w:rPr>
              <w:t>，</w:t>
            </w:r>
            <w:r>
              <w:rPr>
                <w:rFonts w:eastAsia="微软雅黑"/>
                <w:sz w:val="24"/>
                <w:szCs w:val="24"/>
              </w:rPr>
              <w:t>3-5 good</w:t>
            </w:r>
          </w:p>
        </w:tc>
        <w:tc>
          <w:tcPr>
            <w:tcW w:w="176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B86FA4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5.078</w:t>
            </w:r>
          </w:p>
        </w:tc>
      </w:tr>
      <w:tr w:rsidR="00853694" w14:paraId="18DE64D4" w14:textId="77777777" w:rsidTr="00C53C46"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3B7AF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RMSEA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A795D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&lt;0.08 good</w:t>
            </w:r>
          </w:p>
        </w:tc>
        <w:tc>
          <w:tcPr>
            <w:tcW w:w="17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E8E85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0.086</w:t>
            </w:r>
          </w:p>
        </w:tc>
      </w:tr>
      <w:tr w:rsidR="00853694" w14:paraId="4CAC2532" w14:textId="77777777" w:rsidTr="00C53C46">
        <w:trPr>
          <w:trHeight w:val="346"/>
        </w:trPr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ECAB2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IFI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2D28C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&gt;0.8 good</w:t>
            </w:r>
          </w:p>
        </w:tc>
        <w:tc>
          <w:tcPr>
            <w:tcW w:w="17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4346E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0.809</w:t>
            </w:r>
          </w:p>
        </w:tc>
      </w:tr>
      <w:tr w:rsidR="00853694" w14:paraId="3D89B697" w14:textId="77777777" w:rsidTr="00C53C46"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BC2B7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TLI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987E6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&gt;0.8 good</w:t>
            </w:r>
          </w:p>
        </w:tc>
        <w:tc>
          <w:tcPr>
            <w:tcW w:w="17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F5CD9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0.793</w:t>
            </w:r>
          </w:p>
        </w:tc>
      </w:tr>
      <w:tr w:rsidR="00853694" w14:paraId="297C823C" w14:textId="77777777" w:rsidTr="00C53C46"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2E9CD0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b/>
                <w:sz w:val="24"/>
                <w:szCs w:val="24"/>
              </w:rPr>
            </w:pPr>
            <w:r>
              <w:rPr>
                <w:rFonts w:eastAsia="微软雅黑"/>
                <w:b/>
                <w:sz w:val="24"/>
                <w:szCs w:val="24"/>
              </w:rPr>
              <w:t>CFI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42CF3A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&gt;0.8 good</w:t>
            </w:r>
          </w:p>
        </w:tc>
        <w:tc>
          <w:tcPr>
            <w:tcW w:w="17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149A9E" w14:textId="77777777" w:rsidR="00853694" w:rsidRDefault="00853694" w:rsidP="00C53C46">
            <w:pPr>
              <w:widowControl w:val="0"/>
              <w:adjustRightInd w:val="0"/>
              <w:snapToGrid w:val="0"/>
              <w:spacing w:after="0" w:line="480" w:lineRule="auto"/>
              <w:rPr>
                <w:rFonts w:eastAsia="微软雅黑"/>
                <w:sz w:val="24"/>
                <w:szCs w:val="24"/>
              </w:rPr>
            </w:pPr>
            <w:r>
              <w:rPr>
                <w:rFonts w:eastAsia="微软雅黑"/>
                <w:sz w:val="24"/>
                <w:szCs w:val="24"/>
              </w:rPr>
              <w:t>0.808</w:t>
            </w:r>
          </w:p>
        </w:tc>
      </w:tr>
    </w:tbl>
    <w:p w14:paraId="289CF251" w14:textId="77777777" w:rsidR="00BD73CB" w:rsidRDefault="00BD73CB"/>
    <w:sectPr w:rsidR="00BD73CB" w:rsidSect="008536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392333" w14:textId="77777777" w:rsidR="00446722" w:rsidRDefault="00446722" w:rsidP="00853694">
      <w:pPr>
        <w:spacing w:after="0" w:line="240" w:lineRule="auto"/>
      </w:pPr>
      <w:r>
        <w:separator/>
      </w:r>
    </w:p>
  </w:endnote>
  <w:endnote w:type="continuationSeparator" w:id="0">
    <w:p w14:paraId="6AF52DE1" w14:textId="77777777" w:rsidR="00446722" w:rsidRDefault="00446722" w:rsidP="00853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BFBFDB" w14:textId="77777777" w:rsidR="00446722" w:rsidRDefault="00446722" w:rsidP="00853694">
      <w:pPr>
        <w:spacing w:after="0" w:line="240" w:lineRule="auto"/>
      </w:pPr>
      <w:r>
        <w:separator/>
      </w:r>
    </w:p>
  </w:footnote>
  <w:footnote w:type="continuationSeparator" w:id="0">
    <w:p w14:paraId="4EB66FF3" w14:textId="77777777" w:rsidR="00446722" w:rsidRDefault="00446722" w:rsidP="00853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F1FB698"/>
    <w:multiLevelType w:val="singleLevel"/>
    <w:tmpl w:val="AF1FB69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FAF89218"/>
    <w:multiLevelType w:val="singleLevel"/>
    <w:tmpl w:val="FAF8921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3CFFF673"/>
    <w:multiLevelType w:val="singleLevel"/>
    <w:tmpl w:val="3CFFF673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BE"/>
    <w:rsid w:val="0023513D"/>
    <w:rsid w:val="0025277A"/>
    <w:rsid w:val="00446722"/>
    <w:rsid w:val="00590A92"/>
    <w:rsid w:val="005E4806"/>
    <w:rsid w:val="00671C82"/>
    <w:rsid w:val="00853694"/>
    <w:rsid w:val="00873242"/>
    <w:rsid w:val="00932975"/>
    <w:rsid w:val="009C100E"/>
    <w:rsid w:val="00A612C5"/>
    <w:rsid w:val="00A6231D"/>
    <w:rsid w:val="00A836BE"/>
    <w:rsid w:val="00AA69B8"/>
    <w:rsid w:val="00BD73CB"/>
    <w:rsid w:val="00E245B1"/>
    <w:rsid w:val="00FA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515B9A"/>
  <w15:chartTrackingRefBased/>
  <w15:docId w15:val="{C6145A10-4675-435B-B361-D5E7E022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694"/>
    <w:pPr>
      <w:spacing w:after="160" w:line="259" w:lineRule="auto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1"/>
    <w:qFormat/>
    <w:rsid w:val="00853694"/>
    <w:pPr>
      <w:keepNext/>
      <w:keepLines/>
      <w:spacing w:before="340" w:after="330" w:line="578" w:lineRule="auto"/>
      <w:ind w:firstLine="414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6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69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6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694"/>
    <w:rPr>
      <w:sz w:val="18"/>
      <w:szCs w:val="18"/>
    </w:rPr>
  </w:style>
  <w:style w:type="character" w:customStyle="1" w:styleId="1Char">
    <w:name w:val="标题 1 Char"/>
    <w:basedOn w:val="a0"/>
    <w:uiPriority w:val="9"/>
    <w:rsid w:val="008536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1Char1">
    <w:name w:val="标题 1 Char1"/>
    <w:link w:val="1"/>
    <w:qFormat/>
    <w:rsid w:val="00853694"/>
    <w:rPr>
      <w:rFonts w:ascii="Calibri" w:eastAsia="宋体" w:hAnsi="Calibri" w:cs="Times New Roman"/>
      <w:b/>
      <w:bCs/>
      <w:kern w:val="44"/>
      <w:sz w:val="44"/>
      <w:szCs w:val="44"/>
    </w:rPr>
  </w:style>
  <w:style w:type="character" w:styleId="a5">
    <w:name w:val="line number"/>
    <w:basedOn w:val="a0"/>
    <w:uiPriority w:val="99"/>
    <w:semiHidden/>
    <w:unhideWhenUsed/>
    <w:rsid w:val="00853694"/>
  </w:style>
  <w:style w:type="paragraph" w:styleId="a6">
    <w:name w:val="Revision"/>
    <w:hidden/>
    <w:uiPriority w:val="99"/>
    <w:semiHidden/>
    <w:rsid w:val="0025277A"/>
    <w:rPr>
      <w:rFonts w:ascii="Times New Roman" w:eastAsia="宋体" w:hAnsi="Times New Roman" w:cs="Times New Roman"/>
    </w:rPr>
  </w:style>
  <w:style w:type="paragraph" w:styleId="HTML">
    <w:name w:val="HTML Preformatted"/>
    <w:basedOn w:val="a"/>
    <w:link w:val="HTMLChar"/>
    <w:uiPriority w:val="99"/>
    <w:semiHidden/>
    <w:unhideWhenUsed/>
    <w:rsid w:val="005E4806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semiHidden/>
    <w:rsid w:val="005E4806"/>
    <w:rPr>
      <w:rFonts w:ascii="Courier New" w:eastAsia="宋体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835</Words>
  <Characters>4761</Characters>
  <Application>Microsoft Office Word</Application>
  <DocSecurity>0</DocSecurity>
  <Lines>39</Lines>
  <Paragraphs>11</Paragraphs>
  <ScaleCrop>false</ScaleCrop>
  <Company/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6</cp:revision>
  <dcterms:created xsi:type="dcterms:W3CDTF">2025-03-21T05:16:00Z</dcterms:created>
  <dcterms:modified xsi:type="dcterms:W3CDTF">2025-04-14T05:09:00Z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f4cae3ab9e8c8d45ff6316aeb9343b9515b5b89621cfe150460687e242161d89</vt:lpwstr>
  </property>
</Properties>
</file>