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31EC" w14:textId="25A83A74" w:rsidR="008755AA" w:rsidRDefault="008755AA" w:rsidP="008755AA">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1D73B8C" wp14:editId="7A5F9B98">
            <wp:extent cx="5274310" cy="3596640"/>
            <wp:effectExtent l="0" t="0" r="2540" b="3810"/>
            <wp:docPr id="1436389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89879" name="图片 143638987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96640"/>
                    </a:xfrm>
                    <a:prstGeom prst="rect">
                      <a:avLst/>
                    </a:prstGeom>
                  </pic:spPr>
                </pic:pic>
              </a:graphicData>
            </a:graphic>
          </wp:inline>
        </w:drawing>
      </w:r>
    </w:p>
    <w:p w14:paraId="3A5CADE0" w14:textId="56038946" w:rsidR="008755AA" w:rsidRPr="00F5204F" w:rsidRDefault="008755AA" w:rsidP="008755AA">
      <w:pPr>
        <w:rPr>
          <w:rFonts w:ascii="Times New Roman" w:hAnsi="Times New Roman" w:cs="Times New Roman"/>
          <w:sz w:val="20"/>
          <w:szCs w:val="20"/>
        </w:rPr>
      </w:pPr>
      <w:r w:rsidRPr="00F5204F">
        <w:rPr>
          <w:rFonts w:ascii="Times New Roman" w:hAnsi="Times New Roman" w:cs="Times New Roman"/>
          <w:sz w:val="20"/>
          <w:szCs w:val="20"/>
        </w:rPr>
        <w:t>Figure S1. Heatmap shows somatic large-scale chromosomal copy number variation scores in normal cells and cancer cells</w:t>
      </w:r>
    </w:p>
    <w:p w14:paraId="10872CD7" w14:textId="77777777" w:rsidR="008755AA" w:rsidRDefault="008755AA" w:rsidP="008755AA">
      <w:pPr>
        <w:rPr>
          <w:rFonts w:ascii="Times New Roman" w:hAnsi="Times New Roman" w:cs="Times New Roman"/>
          <w:sz w:val="20"/>
          <w:szCs w:val="20"/>
        </w:rPr>
      </w:pPr>
    </w:p>
    <w:p w14:paraId="4DF83FF7" w14:textId="60A307EB" w:rsidR="008755AA" w:rsidRPr="00F5204F" w:rsidRDefault="008755AA" w:rsidP="008755AA">
      <w:pPr>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0" distR="0" wp14:anchorId="6973B370" wp14:editId="54C08FF5">
            <wp:extent cx="5274310" cy="4712970"/>
            <wp:effectExtent l="0" t="0" r="2540" b="0"/>
            <wp:docPr id="8435485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48588" name="图片 8435485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712970"/>
                    </a:xfrm>
                    <a:prstGeom prst="rect">
                      <a:avLst/>
                    </a:prstGeom>
                  </pic:spPr>
                </pic:pic>
              </a:graphicData>
            </a:graphic>
          </wp:inline>
        </w:drawing>
      </w:r>
    </w:p>
    <w:p w14:paraId="2CCFEC01" w14:textId="77777777" w:rsidR="008755AA" w:rsidRPr="00F5204F" w:rsidRDefault="008755AA" w:rsidP="008755AA">
      <w:pPr>
        <w:rPr>
          <w:rFonts w:ascii="Times New Roman" w:hAnsi="Times New Roman" w:cs="Times New Roman"/>
          <w:sz w:val="20"/>
          <w:szCs w:val="20"/>
        </w:rPr>
      </w:pPr>
      <w:r w:rsidRPr="00F5204F">
        <w:rPr>
          <w:rFonts w:ascii="Times New Roman" w:hAnsi="Times New Roman" w:cs="Times New Roman"/>
          <w:sz w:val="20"/>
          <w:szCs w:val="20"/>
        </w:rPr>
        <w:t>Figure S2. The heterogeneity of T/NK cell subtypes in the TME of ccRCC. (A) UMAP plot for the T/NK cell subclusters. (B) The distribution of representative marker of each cell subtypes were shown by UMAP plot. (C) The gene expression of markers of cell subtypes were shown by Heatmap</w:t>
      </w:r>
    </w:p>
    <w:p w14:paraId="3F9DA92C" w14:textId="77777777" w:rsidR="008755AA" w:rsidRDefault="008755AA" w:rsidP="008755AA">
      <w:pPr>
        <w:rPr>
          <w:rFonts w:ascii="Times New Roman" w:hAnsi="Times New Roman" w:cs="Times New Roman"/>
          <w:sz w:val="20"/>
          <w:szCs w:val="20"/>
        </w:rPr>
      </w:pPr>
    </w:p>
    <w:p w14:paraId="223AB959" w14:textId="166771AE" w:rsidR="008755AA" w:rsidRPr="00F5204F" w:rsidRDefault="008755AA" w:rsidP="008755AA">
      <w:pPr>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0" distR="0" wp14:anchorId="1980D7E3" wp14:editId="2B5E1E63">
            <wp:extent cx="5274310" cy="3465195"/>
            <wp:effectExtent l="0" t="0" r="2540" b="1905"/>
            <wp:docPr id="5933404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40444" name="图片 59334044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465195"/>
                    </a:xfrm>
                    <a:prstGeom prst="rect">
                      <a:avLst/>
                    </a:prstGeom>
                  </pic:spPr>
                </pic:pic>
              </a:graphicData>
            </a:graphic>
          </wp:inline>
        </w:drawing>
      </w:r>
    </w:p>
    <w:p w14:paraId="1E6FC96A" w14:textId="77777777" w:rsidR="008755AA" w:rsidRPr="00F5204F" w:rsidRDefault="008755AA" w:rsidP="008755AA">
      <w:pPr>
        <w:rPr>
          <w:rFonts w:ascii="Times New Roman" w:hAnsi="Times New Roman" w:cs="Times New Roman"/>
          <w:sz w:val="20"/>
          <w:szCs w:val="20"/>
        </w:rPr>
      </w:pPr>
      <w:r w:rsidRPr="00F5204F">
        <w:rPr>
          <w:rFonts w:ascii="Times New Roman" w:hAnsi="Times New Roman" w:cs="Times New Roman"/>
          <w:sz w:val="20"/>
          <w:szCs w:val="20"/>
        </w:rPr>
        <w:t>Figure S3. The heterogeneity of CAF subtypes in the TME of ccRCC. (A) UMAP plot for the CAF subclusters. (B) The distribution of representative marker of each cell subtypes were shown by UMAP plot. (C) The gene expression of markers of cell subtypes were shown by Heatmap</w:t>
      </w:r>
    </w:p>
    <w:p w14:paraId="418EA579" w14:textId="77777777" w:rsidR="008755AA" w:rsidRDefault="008755AA" w:rsidP="008755AA">
      <w:pPr>
        <w:rPr>
          <w:rFonts w:ascii="Times New Roman" w:hAnsi="Times New Roman" w:cs="Times New Roman"/>
          <w:sz w:val="20"/>
          <w:szCs w:val="20"/>
        </w:rPr>
      </w:pPr>
    </w:p>
    <w:p w14:paraId="6DF6570B" w14:textId="39821558" w:rsidR="008755AA" w:rsidRPr="00F5204F" w:rsidRDefault="008755AA" w:rsidP="008755AA">
      <w:pPr>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0" distR="0" wp14:anchorId="4E79A689" wp14:editId="2B13A2ED">
            <wp:extent cx="4350385" cy="8863330"/>
            <wp:effectExtent l="0" t="0" r="0" b="0"/>
            <wp:docPr id="11854148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14893" name="图片 11854148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0385" cy="8863330"/>
                    </a:xfrm>
                    <a:prstGeom prst="rect">
                      <a:avLst/>
                    </a:prstGeom>
                  </pic:spPr>
                </pic:pic>
              </a:graphicData>
            </a:graphic>
          </wp:inline>
        </w:drawing>
      </w:r>
    </w:p>
    <w:p w14:paraId="186EF51E" w14:textId="77777777" w:rsidR="008755AA" w:rsidRPr="00F5204F" w:rsidRDefault="008755AA" w:rsidP="008755AA">
      <w:pPr>
        <w:rPr>
          <w:rFonts w:ascii="Times New Roman" w:hAnsi="Times New Roman" w:cs="Times New Roman"/>
          <w:sz w:val="20"/>
          <w:szCs w:val="20"/>
        </w:rPr>
      </w:pPr>
      <w:r w:rsidRPr="00F5204F">
        <w:rPr>
          <w:rFonts w:ascii="Times New Roman" w:hAnsi="Times New Roman" w:cs="Times New Roman"/>
          <w:sz w:val="20"/>
          <w:szCs w:val="20"/>
        </w:rPr>
        <w:lastRenderedPageBreak/>
        <w:t>Figure S4. The heterogeneity of Scissor+ cancer cell subtypes in ccRCC. (A) UMAP plot for the cancer cell subclusters. (B) The pseudotime heatmap displayed the gene changes of the three cancer cell subtypes. (C) Heatmap showed the activated TFs determined by pySCENIC in each Scissor+ cancer cell subtypes.</w:t>
      </w:r>
    </w:p>
    <w:p w14:paraId="73BE316C" w14:textId="77777777" w:rsidR="008755AA" w:rsidRDefault="008755AA" w:rsidP="008755AA">
      <w:pPr>
        <w:rPr>
          <w:rFonts w:ascii="Times New Roman" w:hAnsi="Times New Roman" w:cs="Times New Roman"/>
          <w:sz w:val="20"/>
          <w:szCs w:val="20"/>
        </w:rPr>
      </w:pPr>
    </w:p>
    <w:p w14:paraId="665C34F9" w14:textId="2DA390C5" w:rsidR="008755AA" w:rsidRPr="00F5204F" w:rsidRDefault="008755AA" w:rsidP="008755AA">
      <w:pPr>
        <w:rPr>
          <w:rFonts w:ascii="Times New Roman" w:hAnsi="Times New Roman" w:cs="Times New Roman"/>
          <w:sz w:val="20"/>
          <w:szCs w:val="20"/>
        </w:rPr>
      </w:pPr>
      <w:r>
        <w:rPr>
          <w:rFonts w:ascii="Times New Roman" w:hAnsi="Times New Roman" w:cs="Times New Roman" w:hint="eastAsia"/>
          <w:noProof/>
          <w:sz w:val="20"/>
          <w:szCs w:val="20"/>
        </w:rPr>
        <w:drawing>
          <wp:inline distT="0" distB="0" distL="0" distR="0" wp14:anchorId="76F5AE34" wp14:editId="326A177B">
            <wp:extent cx="5274310" cy="7682865"/>
            <wp:effectExtent l="0" t="0" r="2540" b="0"/>
            <wp:docPr id="1439300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0004" name="图片 1439300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682865"/>
                    </a:xfrm>
                    <a:prstGeom prst="rect">
                      <a:avLst/>
                    </a:prstGeom>
                  </pic:spPr>
                </pic:pic>
              </a:graphicData>
            </a:graphic>
          </wp:inline>
        </w:drawing>
      </w:r>
    </w:p>
    <w:p w14:paraId="627AFEE8" w14:textId="77777777" w:rsidR="008755AA" w:rsidRPr="00F5204F" w:rsidRDefault="008755AA" w:rsidP="008755AA">
      <w:pPr>
        <w:rPr>
          <w:rFonts w:ascii="Times New Roman" w:hAnsi="Times New Roman" w:cs="Times New Roman"/>
          <w:sz w:val="20"/>
          <w:szCs w:val="20"/>
        </w:rPr>
      </w:pPr>
      <w:r w:rsidRPr="00F5204F">
        <w:rPr>
          <w:rFonts w:ascii="Times New Roman" w:hAnsi="Times New Roman" w:cs="Times New Roman"/>
          <w:sz w:val="20"/>
          <w:szCs w:val="20"/>
        </w:rPr>
        <w:lastRenderedPageBreak/>
        <w:t>Figure S5. Interactions of cells in the ccRCC and the specific function of apCAFs. (A-B) The weights and numbers of cell-cell interaction via CellChat. (C-D) The interaction between apCAFs and other cells when apCAFs were sources or receivers. (E) Selected L-R interaction between apCAFs and T/NK cell subtypes were shown in the bubble plot.</w:t>
      </w:r>
    </w:p>
    <w:p w14:paraId="23920218" w14:textId="77777777" w:rsidR="008755AA" w:rsidRDefault="008755AA" w:rsidP="008755AA">
      <w:pPr>
        <w:rPr>
          <w:rFonts w:ascii="Times New Roman" w:hAnsi="Times New Roman" w:cs="Times New Roman"/>
          <w:sz w:val="20"/>
          <w:szCs w:val="20"/>
        </w:rPr>
      </w:pPr>
    </w:p>
    <w:p w14:paraId="455355AB" w14:textId="7D3E09FB" w:rsidR="008755AA" w:rsidRPr="00F5204F" w:rsidRDefault="002B16CB" w:rsidP="008755AA">
      <w:pPr>
        <w:rPr>
          <w:rFonts w:ascii="Times New Roman" w:hAnsi="Times New Roman" w:cs="Times New Roman"/>
          <w:sz w:val="20"/>
          <w:szCs w:val="20"/>
        </w:rPr>
      </w:pPr>
      <w:r>
        <w:rPr>
          <w:rFonts w:ascii="Times New Roman" w:hAnsi="Times New Roman" w:cs="Times New Roman" w:hint="eastAsia"/>
          <w:noProof/>
          <w:sz w:val="20"/>
          <w:szCs w:val="20"/>
        </w:rPr>
        <w:drawing>
          <wp:inline distT="0" distB="0" distL="0" distR="0" wp14:anchorId="5011EBC0" wp14:editId="7C63E9F5">
            <wp:extent cx="5274310" cy="5866765"/>
            <wp:effectExtent l="0" t="0" r="2540" b="635"/>
            <wp:docPr id="11341407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40777" name="图片 11341407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866765"/>
                    </a:xfrm>
                    <a:prstGeom prst="rect">
                      <a:avLst/>
                    </a:prstGeom>
                  </pic:spPr>
                </pic:pic>
              </a:graphicData>
            </a:graphic>
          </wp:inline>
        </w:drawing>
      </w:r>
    </w:p>
    <w:p w14:paraId="33671734" w14:textId="77777777" w:rsidR="008755AA" w:rsidRPr="00F5204F" w:rsidRDefault="008755AA" w:rsidP="008755AA">
      <w:pPr>
        <w:rPr>
          <w:rFonts w:ascii="Times New Roman" w:hAnsi="Times New Roman" w:cs="Times New Roman"/>
          <w:sz w:val="20"/>
          <w:szCs w:val="20"/>
        </w:rPr>
      </w:pPr>
      <w:r w:rsidRPr="00F5204F">
        <w:rPr>
          <w:rFonts w:ascii="Times New Roman" w:hAnsi="Times New Roman" w:cs="Times New Roman"/>
          <w:sz w:val="20"/>
          <w:szCs w:val="20"/>
        </w:rPr>
        <w:t>Figure S6. Identification of the gene modules co-expressed with Scissor+ cancer cells by hdWGCNA. (A) The selection of soft-thresholding powers. (B) The activity of gene modules in each cancer cell subtypes. (C) UMAP plots with the MEs for the 5 gene modules. (D) Gene overlap between the selected gene modules and cell-type markers. (E) The correlation among each gene modules. (F) The top 10 hub genes in each gene modules.</w:t>
      </w:r>
    </w:p>
    <w:p w14:paraId="2006508D" w14:textId="77777777" w:rsidR="00774E33" w:rsidRDefault="00774E33"/>
    <w:p w14:paraId="501F8A56" w14:textId="77777777" w:rsidR="008560B1" w:rsidRDefault="008560B1"/>
    <w:p w14:paraId="6D9B749C" w14:textId="77777777" w:rsidR="008560B1" w:rsidRDefault="008560B1"/>
    <w:p w14:paraId="3918C802" w14:textId="77777777" w:rsidR="008560B1" w:rsidRDefault="008560B1"/>
    <w:p w14:paraId="0EC5DD25" w14:textId="77777777" w:rsidR="008560B1" w:rsidRDefault="008560B1">
      <w:pPr>
        <w:rPr>
          <w:rFonts w:ascii="Times New Roman" w:hAnsi="Times New Roman" w:cs="Times New Roman"/>
          <w:sz w:val="20"/>
          <w:szCs w:val="20"/>
        </w:rPr>
      </w:pPr>
    </w:p>
    <w:p w14:paraId="451D8282" w14:textId="751E8CAA" w:rsidR="008560B1" w:rsidRDefault="008560B1">
      <w:pPr>
        <w:rPr>
          <w:rFonts w:ascii="Times New Roman" w:hAnsi="Times New Roman" w:cs="Times New Roman" w:hint="eastAsia"/>
          <w:sz w:val="20"/>
          <w:szCs w:val="20"/>
        </w:rPr>
      </w:pPr>
      <w:r>
        <w:rPr>
          <w:rFonts w:ascii="Times New Roman" w:hAnsi="Times New Roman" w:cs="Times New Roman"/>
          <w:noProof/>
          <w:sz w:val="20"/>
          <w:szCs w:val="20"/>
        </w:rPr>
        <w:drawing>
          <wp:inline distT="0" distB="0" distL="0" distR="0" wp14:anchorId="27918FF6" wp14:editId="4E8433B6">
            <wp:extent cx="2711486" cy="2643699"/>
            <wp:effectExtent l="0" t="0" r="0" b="4445"/>
            <wp:docPr id="9672919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91966" name="图片 9672919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4702" cy="2656585"/>
                    </a:xfrm>
                    <a:prstGeom prst="rect">
                      <a:avLst/>
                    </a:prstGeom>
                  </pic:spPr>
                </pic:pic>
              </a:graphicData>
            </a:graphic>
          </wp:inline>
        </w:drawing>
      </w:r>
    </w:p>
    <w:p w14:paraId="3962B117" w14:textId="72F02DC1" w:rsidR="008560B1" w:rsidRPr="008560B1" w:rsidRDefault="008560B1">
      <w:pPr>
        <w:rPr>
          <w:rFonts w:hint="eastAsia"/>
        </w:rPr>
      </w:pPr>
      <w:r w:rsidRPr="00F5204F">
        <w:rPr>
          <w:rFonts w:ascii="Times New Roman" w:hAnsi="Times New Roman" w:cs="Times New Roman"/>
          <w:sz w:val="20"/>
          <w:szCs w:val="20"/>
        </w:rPr>
        <w:t>Figure S</w:t>
      </w:r>
      <w:r>
        <w:rPr>
          <w:rFonts w:ascii="Times New Roman" w:hAnsi="Times New Roman" w:cs="Times New Roman" w:hint="eastAsia"/>
          <w:sz w:val="20"/>
          <w:szCs w:val="20"/>
        </w:rPr>
        <w:t>7</w:t>
      </w:r>
      <w:r w:rsidRPr="00F5204F">
        <w:rPr>
          <w:rFonts w:ascii="Times New Roman" w:hAnsi="Times New Roman" w:cs="Times New Roman"/>
          <w:sz w:val="20"/>
          <w:szCs w:val="20"/>
        </w:rPr>
        <w:t xml:space="preserve">. </w:t>
      </w:r>
      <w:r w:rsidRPr="008560B1">
        <w:rPr>
          <w:rFonts w:ascii="Times New Roman" w:hAnsi="Times New Roman" w:cs="Times New Roman" w:hint="eastAsia"/>
          <w:sz w:val="20"/>
          <w:szCs w:val="20"/>
        </w:rPr>
        <w:t xml:space="preserve">Comparison of gene expression-based prognostic signatures in </w:t>
      </w:r>
      <w:r>
        <w:rPr>
          <w:rFonts w:ascii="Times New Roman" w:hAnsi="Times New Roman" w:cs="Times New Roman" w:hint="eastAsia"/>
          <w:sz w:val="20"/>
          <w:szCs w:val="20"/>
        </w:rPr>
        <w:t xml:space="preserve">ccRCC. </w:t>
      </w:r>
      <w:r w:rsidRPr="008560B1">
        <w:rPr>
          <w:rFonts w:ascii="Times New Roman" w:hAnsi="Times New Roman" w:cs="Times New Roman" w:hint="eastAsia"/>
          <w:sz w:val="20"/>
          <w:szCs w:val="20"/>
        </w:rPr>
        <w:t>C-index analysis</w:t>
      </w:r>
      <w:r>
        <w:rPr>
          <w:rFonts w:ascii="Times New Roman" w:hAnsi="Times New Roman" w:cs="Times New Roman" w:hint="eastAsia"/>
          <w:sz w:val="20"/>
          <w:szCs w:val="20"/>
        </w:rPr>
        <w:t xml:space="preserve"> our predictive model</w:t>
      </w:r>
      <w:r w:rsidRPr="008560B1">
        <w:rPr>
          <w:rFonts w:ascii="Times New Roman" w:hAnsi="Times New Roman" w:cs="Times New Roman" w:hint="eastAsia"/>
          <w:sz w:val="20"/>
          <w:szCs w:val="20"/>
        </w:rPr>
        <w:t xml:space="preserve"> and </w:t>
      </w:r>
      <w:r>
        <w:rPr>
          <w:rFonts w:ascii="Times New Roman" w:hAnsi="Times New Roman" w:cs="Times New Roman" w:hint="eastAsia"/>
          <w:sz w:val="20"/>
          <w:szCs w:val="20"/>
        </w:rPr>
        <w:t>other 4</w:t>
      </w:r>
      <w:r w:rsidRPr="008560B1">
        <w:rPr>
          <w:rFonts w:ascii="Times New Roman" w:hAnsi="Times New Roman" w:cs="Times New Roman" w:hint="eastAsia"/>
          <w:sz w:val="20"/>
          <w:szCs w:val="20"/>
        </w:rPr>
        <w:t xml:space="preserve"> published signatures in TCGA. Statistic tests: two-sided z-score test. Data are presented as mean </w:t>
      </w:r>
      <w:r w:rsidRPr="008560B1">
        <w:rPr>
          <w:rFonts w:ascii="Times New Roman" w:hAnsi="Times New Roman" w:cs="Times New Roman" w:hint="eastAsia"/>
          <w:sz w:val="20"/>
          <w:szCs w:val="20"/>
        </w:rPr>
        <w:t>±</w:t>
      </w:r>
      <w:r w:rsidRPr="008560B1">
        <w:rPr>
          <w:rFonts w:ascii="Times New Roman" w:hAnsi="Times New Roman" w:cs="Times New Roman" w:hint="eastAsia"/>
          <w:sz w:val="20"/>
          <w:szCs w:val="20"/>
        </w:rPr>
        <w:t xml:space="preserve"> 95% confidence interval. ****</w:t>
      </w:r>
      <w:r w:rsidR="00F64850">
        <w:rPr>
          <w:rFonts w:ascii="Times New Roman" w:hAnsi="Times New Roman" w:cs="Times New Roman" w:hint="eastAsia"/>
          <w:sz w:val="20"/>
          <w:szCs w:val="20"/>
        </w:rPr>
        <w:t xml:space="preserve">: </w:t>
      </w:r>
      <w:r w:rsidRPr="008560B1">
        <w:rPr>
          <w:rFonts w:ascii="Times New Roman" w:hAnsi="Times New Roman" w:cs="Times New Roman" w:hint="eastAsia"/>
          <w:sz w:val="20"/>
          <w:szCs w:val="20"/>
        </w:rPr>
        <w:t>P &lt; 0.0001.</w:t>
      </w:r>
    </w:p>
    <w:sectPr w:rsidR="008560B1" w:rsidRPr="008560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3442" w14:textId="77777777" w:rsidR="00A035D8" w:rsidRDefault="00A035D8" w:rsidP="008755AA">
      <w:pPr>
        <w:rPr>
          <w:rFonts w:hint="eastAsia"/>
        </w:rPr>
      </w:pPr>
      <w:r>
        <w:separator/>
      </w:r>
    </w:p>
  </w:endnote>
  <w:endnote w:type="continuationSeparator" w:id="0">
    <w:p w14:paraId="5E0BC1E0" w14:textId="77777777" w:rsidR="00A035D8" w:rsidRDefault="00A035D8" w:rsidP="008755A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869E" w14:textId="77777777" w:rsidR="00A035D8" w:rsidRDefault="00A035D8" w:rsidP="008755AA">
      <w:pPr>
        <w:rPr>
          <w:rFonts w:hint="eastAsia"/>
        </w:rPr>
      </w:pPr>
      <w:r>
        <w:separator/>
      </w:r>
    </w:p>
  </w:footnote>
  <w:footnote w:type="continuationSeparator" w:id="0">
    <w:p w14:paraId="22561CEA" w14:textId="77777777" w:rsidR="00A035D8" w:rsidRDefault="00A035D8" w:rsidP="008755A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CD"/>
    <w:rsid w:val="00023622"/>
    <w:rsid w:val="002B16CB"/>
    <w:rsid w:val="004C7BCD"/>
    <w:rsid w:val="00500802"/>
    <w:rsid w:val="00573FB8"/>
    <w:rsid w:val="00774E33"/>
    <w:rsid w:val="008560B1"/>
    <w:rsid w:val="008755AA"/>
    <w:rsid w:val="00A035D8"/>
    <w:rsid w:val="00BC485A"/>
    <w:rsid w:val="00C20C94"/>
    <w:rsid w:val="00EA43BB"/>
    <w:rsid w:val="00F64850"/>
    <w:rsid w:val="00FD4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C4BC5"/>
  <w15:chartTrackingRefBased/>
  <w15:docId w15:val="{070BC500-6AB0-4481-8431-BB526662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5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BC485A"/>
    <w:rPr>
      <w:rFonts w:ascii="Arial" w:hAnsi="Arial"/>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4">
    <w:name w:val="header"/>
    <w:basedOn w:val="a"/>
    <w:link w:val="a5"/>
    <w:uiPriority w:val="99"/>
    <w:unhideWhenUsed/>
    <w:rsid w:val="008755AA"/>
    <w:pPr>
      <w:tabs>
        <w:tab w:val="center" w:pos="4153"/>
        <w:tab w:val="right" w:pos="8306"/>
      </w:tabs>
      <w:snapToGrid w:val="0"/>
      <w:jc w:val="center"/>
    </w:pPr>
    <w:rPr>
      <w:sz w:val="18"/>
      <w:szCs w:val="18"/>
    </w:rPr>
  </w:style>
  <w:style w:type="character" w:customStyle="1" w:styleId="a5">
    <w:name w:val="页眉 字符"/>
    <w:basedOn w:val="a0"/>
    <w:link w:val="a4"/>
    <w:uiPriority w:val="99"/>
    <w:rsid w:val="008755AA"/>
    <w:rPr>
      <w:sz w:val="18"/>
      <w:szCs w:val="18"/>
    </w:rPr>
  </w:style>
  <w:style w:type="paragraph" w:styleId="a6">
    <w:name w:val="footer"/>
    <w:basedOn w:val="a"/>
    <w:link w:val="a7"/>
    <w:uiPriority w:val="99"/>
    <w:unhideWhenUsed/>
    <w:rsid w:val="008755AA"/>
    <w:pPr>
      <w:tabs>
        <w:tab w:val="center" w:pos="4153"/>
        <w:tab w:val="right" w:pos="8306"/>
      </w:tabs>
      <w:snapToGrid w:val="0"/>
      <w:jc w:val="left"/>
    </w:pPr>
    <w:rPr>
      <w:sz w:val="18"/>
      <w:szCs w:val="18"/>
    </w:rPr>
  </w:style>
  <w:style w:type="character" w:customStyle="1" w:styleId="a7">
    <w:name w:val="页脚 字符"/>
    <w:basedOn w:val="a0"/>
    <w:link w:val="a6"/>
    <w:uiPriority w:val="99"/>
    <w:rsid w:val="008755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333</Words>
  <Characters>1713</Characters>
  <Application>Microsoft Office Word</Application>
  <DocSecurity>0</DocSecurity>
  <Lines>38</Lines>
  <Paragraphs>8</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一粟 宋</dc:creator>
  <cp:keywords/>
  <dc:description/>
  <cp:lastModifiedBy>一粟 宋</cp:lastModifiedBy>
  <cp:revision>5</cp:revision>
  <dcterms:created xsi:type="dcterms:W3CDTF">2024-10-11T06:52:00Z</dcterms:created>
  <dcterms:modified xsi:type="dcterms:W3CDTF">2025-04-24T13:14:00Z</dcterms:modified>
</cp:coreProperties>
</file>