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b w:val="1"/>
        </w:rPr>
      </w:pPr>
      <w:r w:rsidDel="00000000" w:rsidR="00000000" w:rsidRPr="00000000">
        <w:rPr>
          <w:b w:val="1"/>
          <w:rtl w:val="0"/>
        </w:rPr>
        <w:t xml:space="preserve">Supplementary Material</w:t>
      </w:r>
    </w:p>
    <w:p w:rsidR="00000000" w:rsidDel="00000000" w:rsidP="00000000" w:rsidRDefault="00000000" w:rsidRPr="00000000" w14:paraId="00000002">
      <w:pPr>
        <w:spacing w:before="280" w:line="480" w:lineRule="auto"/>
        <w:jc w:val="both"/>
        <w:rPr/>
      </w:pPr>
      <w:r w:rsidDel="00000000" w:rsidR="00000000" w:rsidRPr="00000000">
        <w:rPr>
          <w:b w:val="1"/>
          <w:rtl w:val="0"/>
        </w:rPr>
        <w:t xml:space="preserve">Table S1.</w:t>
      </w:r>
      <w:r w:rsidDel="00000000" w:rsidR="00000000" w:rsidRPr="00000000">
        <w:rPr>
          <w:rtl w:val="0"/>
        </w:rPr>
        <w:t xml:space="preserve"> Bias posterior weights (mean ± SD) showing the relative importance of anthropic accessibility factors (roads, ports/airports, cities, and waterbodies) on sampling efforts in both marine and terrestrial ecosystems. </w:t>
      </w:r>
    </w:p>
    <w:tbl>
      <w:tblPr>
        <w:tblStyle w:val="Table1"/>
        <w:tblW w:w="637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701"/>
        <w:gridCol w:w="2552"/>
        <w:gridCol w:w="2126"/>
        <w:tblGridChange w:id="0">
          <w:tblGrid>
            <w:gridCol w:w="1701"/>
            <w:gridCol w:w="2552"/>
            <w:gridCol w:w="2126"/>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03">
            <w:pPr>
              <w:spacing w:before="280" w:line="480" w:lineRule="auto"/>
              <w:jc w:val="both"/>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04">
            <w:pPr>
              <w:spacing w:before="280" w:line="480" w:lineRule="auto"/>
              <w:jc w:val="center"/>
              <w:rPr/>
            </w:pPr>
            <w:r w:rsidDel="00000000" w:rsidR="00000000" w:rsidRPr="00000000">
              <w:rPr>
                <w:rtl w:val="0"/>
              </w:rPr>
              <w:t xml:space="preserve">Marine</w:t>
            </w:r>
          </w:p>
        </w:tc>
        <w:tc>
          <w:tcPr>
            <w:tcBorders>
              <w:top w:color="000000" w:space="0" w:sz="4" w:val="single"/>
              <w:bottom w:color="000000" w:space="0" w:sz="4" w:val="single"/>
            </w:tcBorders>
          </w:tcPr>
          <w:p w:rsidR="00000000" w:rsidDel="00000000" w:rsidP="00000000" w:rsidRDefault="00000000" w:rsidRPr="00000000" w14:paraId="00000005">
            <w:pPr>
              <w:spacing w:before="280" w:line="480" w:lineRule="auto"/>
              <w:jc w:val="center"/>
              <w:rPr/>
            </w:pPr>
            <w:r w:rsidDel="00000000" w:rsidR="00000000" w:rsidRPr="00000000">
              <w:rPr>
                <w:rtl w:val="0"/>
              </w:rPr>
              <w:t xml:space="preserve">Terrestrial</w:t>
            </w:r>
          </w:p>
        </w:tc>
      </w:tr>
      <w:tr>
        <w:trPr>
          <w:cantSplit w:val="0"/>
          <w:tblHeader w:val="0"/>
        </w:trPr>
        <w:tc>
          <w:tcPr>
            <w:tcBorders>
              <w:top w:color="000000" w:space="0" w:sz="4" w:val="single"/>
            </w:tcBorders>
          </w:tcPr>
          <w:p w:rsidR="00000000" w:rsidDel="00000000" w:rsidP="00000000" w:rsidRDefault="00000000" w:rsidRPr="00000000" w14:paraId="00000006">
            <w:pPr>
              <w:spacing w:before="280" w:line="480" w:lineRule="auto"/>
              <w:jc w:val="both"/>
              <w:rPr/>
            </w:pPr>
            <w:r w:rsidDel="00000000" w:rsidR="00000000" w:rsidRPr="00000000">
              <w:rPr>
                <w:rtl w:val="0"/>
              </w:rPr>
              <w:t xml:space="preserve">Cities</w:t>
            </w:r>
          </w:p>
        </w:tc>
        <w:tc>
          <w:tcPr>
            <w:tcBorders>
              <w:top w:color="000000" w:space="0" w:sz="4" w:val="single"/>
            </w:tcBorders>
          </w:tcPr>
          <w:p w:rsidR="00000000" w:rsidDel="00000000" w:rsidP="00000000" w:rsidRDefault="00000000" w:rsidRPr="00000000" w14:paraId="00000007">
            <w:pPr>
              <w:spacing w:before="280" w:line="480" w:lineRule="auto"/>
              <w:jc w:val="both"/>
              <w:rPr/>
            </w:pPr>
            <w:r w:rsidDel="00000000" w:rsidR="00000000" w:rsidRPr="00000000">
              <w:rPr>
                <w:rtl w:val="0"/>
              </w:rPr>
              <w:t xml:space="preserve">0.00138 ± 0.00002</w:t>
            </w:r>
          </w:p>
        </w:tc>
        <w:tc>
          <w:tcPr>
            <w:tcBorders>
              <w:top w:color="000000" w:space="0" w:sz="4" w:val="single"/>
            </w:tcBorders>
          </w:tcPr>
          <w:p w:rsidR="00000000" w:rsidDel="00000000" w:rsidP="00000000" w:rsidRDefault="00000000" w:rsidRPr="00000000" w14:paraId="00000008">
            <w:pPr>
              <w:spacing w:before="280" w:line="480" w:lineRule="auto"/>
              <w:jc w:val="both"/>
              <w:rPr/>
            </w:pPr>
            <w:r w:rsidDel="00000000" w:rsidR="00000000" w:rsidRPr="00000000">
              <w:rPr>
                <w:rtl w:val="0"/>
              </w:rPr>
              <w:t xml:space="preserve">0.00368 ± 0.00008</w:t>
            </w:r>
          </w:p>
        </w:tc>
      </w:tr>
      <w:tr>
        <w:trPr>
          <w:cantSplit w:val="0"/>
          <w:tblHeader w:val="0"/>
        </w:trPr>
        <w:tc>
          <w:tcPr/>
          <w:p w:rsidR="00000000" w:rsidDel="00000000" w:rsidP="00000000" w:rsidRDefault="00000000" w:rsidRPr="00000000" w14:paraId="00000009">
            <w:pPr>
              <w:spacing w:before="280" w:line="480" w:lineRule="auto"/>
              <w:jc w:val="both"/>
              <w:rPr/>
            </w:pPr>
            <w:r w:rsidDel="00000000" w:rsidR="00000000" w:rsidRPr="00000000">
              <w:rPr>
                <w:rtl w:val="0"/>
              </w:rPr>
              <w:t xml:space="preserve">Roads</w:t>
            </w:r>
          </w:p>
        </w:tc>
        <w:tc>
          <w:tcPr/>
          <w:p w:rsidR="00000000" w:rsidDel="00000000" w:rsidP="00000000" w:rsidRDefault="00000000" w:rsidRPr="00000000" w14:paraId="0000000A">
            <w:pPr>
              <w:spacing w:before="280" w:line="480" w:lineRule="auto"/>
              <w:jc w:val="both"/>
              <w:rPr/>
            </w:pPr>
            <w:r w:rsidDel="00000000" w:rsidR="00000000" w:rsidRPr="00000000">
              <w:rPr>
                <w:rtl w:val="0"/>
              </w:rPr>
              <w:t xml:space="preserve">0.0626 ± 0.00017</w:t>
            </w:r>
          </w:p>
        </w:tc>
        <w:tc>
          <w:tcPr/>
          <w:p w:rsidR="00000000" w:rsidDel="00000000" w:rsidP="00000000" w:rsidRDefault="00000000" w:rsidRPr="00000000" w14:paraId="0000000B">
            <w:pPr>
              <w:spacing w:before="280" w:line="480" w:lineRule="auto"/>
              <w:jc w:val="both"/>
              <w:rPr/>
            </w:pPr>
            <w:r w:rsidDel="00000000" w:rsidR="00000000" w:rsidRPr="00000000">
              <w:rPr>
                <w:rtl w:val="0"/>
              </w:rPr>
              <w:t xml:space="preserve">0.0603 ± 0.00086</w:t>
            </w:r>
          </w:p>
        </w:tc>
      </w:tr>
      <w:tr>
        <w:trPr>
          <w:cantSplit w:val="0"/>
          <w:tblHeader w:val="0"/>
        </w:trPr>
        <w:tc>
          <w:tcPr/>
          <w:p w:rsidR="00000000" w:rsidDel="00000000" w:rsidP="00000000" w:rsidRDefault="00000000" w:rsidRPr="00000000" w14:paraId="0000000C">
            <w:pPr>
              <w:spacing w:before="280" w:line="480" w:lineRule="auto"/>
              <w:jc w:val="both"/>
              <w:rPr/>
            </w:pPr>
            <w:r w:rsidDel="00000000" w:rsidR="00000000" w:rsidRPr="00000000">
              <w:rPr>
                <w:rtl w:val="0"/>
              </w:rPr>
              <w:t xml:space="preserve">Waterbodies</w:t>
            </w:r>
          </w:p>
        </w:tc>
        <w:tc>
          <w:tcPr/>
          <w:p w:rsidR="00000000" w:rsidDel="00000000" w:rsidP="00000000" w:rsidRDefault="00000000" w:rsidRPr="00000000" w14:paraId="0000000D">
            <w:pPr>
              <w:spacing w:before="280" w:line="480" w:lineRule="auto"/>
              <w:jc w:val="both"/>
              <w:rPr/>
            </w:pPr>
            <w:r w:rsidDel="00000000" w:rsidR="00000000" w:rsidRPr="00000000">
              <w:rPr>
                <w:rtl w:val="0"/>
              </w:rPr>
              <w:t xml:space="preserve">0.00050 ± 0.00002</w:t>
            </w:r>
          </w:p>
        </w:tc>
        <w:tc>
          <w:tcPr/>
          <w:p w:rsidR="00000000" w:rsidDel="00000000" w:rsidP="00000000" w:rsidRDefault="00000000" w:rsidRPr="00000000" w14:paraId="0000000E">
            <w:pPr>
              <w:spacing w:before="280" w:line="480" w:lineRule="auto"/>
              <w:jc w:val="both"/>
              <w:rPr/>
            </w:pPr>
            <w:r w:rsidDel="00000000" w:rsidR="00000000" w:rsidRPr="00000000">
              <w:rPr>
                <w:rtl w:val="0"/>
              </w:rPr>
              <w:t xml:space="preserve">0.00117 ± 0.00012</w:t>
            </w:r>
          </w:p>
        </w:tc>
      </w:tr>
      <w:tr>
        <w:trPr>
          <w:cantSplit w:val="0"/>
          <w:tblHeader w:val="0"/>
        </w:trPr>
        <w:tc>
          <w:tcPr>
            <w:tcBorders>
              <w:bottom w:color="000000" w:space="0" w:sz="4" w:val="single"/>
            </w:tcBorders>
          </w:tcPr>
          <w:p w:rsidR="00000000" w:rsidDel="00000000" w:rsidP="00000000" w:rsidRDefault="00000000" w:rsidRPr="00000000" w14:paraId="0000000F">
            <w:pPr>
              <w:spacing w:before="280" w:line="480" w:lineRule="auto"/>
              <w:jc w:val="both"/>
              <w:rPr/>
            </w:pPr>
            <w:r w:rsidDel="00000000" w:rsidR="00000000" w:rsidRPr="00000000">
              <w:rPr>
                <w:rtl w:val="0"/>
              </w:rPr>
              <w:t xml:space="preserve">Airports</w:t>
            </w:r>
          </w:p>
        </w:tc>
        <w:tc>
          <w:tcPr>
            <w:tcBorders>
              <w:bottom w:color="000000" w:space="0" w:sz="4" w:val="single"/>
            </w:tcBorders>
          </w:tcPr>
          <w:p w:rsidR="00000000" w:rsidDel="00000000" w:rsidP="00000000" w:rsidRDefault="00000000" w:rsidRPr="00000000" w14:paraId="00000010">
            <w:pPr>
              <w:spacing w:before="280" w:line="480" w:lineRule="auto"/>
              <w:jc w:val="both"/>
              <w:rPr/>
            </w:pPr>
            <w:r w:rsidDel="00000000" w:rsidR="00000000" w:rsidRPr="00000000">
              <w:rPr>
                <w:rtl w:val="0"/>
              </w:rPr>
              <w:t xml:space="preserve">0.00813 ± 0.00009</w:t>
            </w:r>
          </w:p>
        </w:tc>
        <w:tc>
          <w:tcPr>
            <w:tcBorders>
              <w:bottom w:color="000000" w:space="0" w:sz="4" w:val="single"/>
            </w:tcBorders>
          </w:tcPr>
          <w:p w:rsidR="00000000" w:rsidDel="00000000" w:rsidP="00000000" w:rsidRDefault="00000000" w:rsidRPr="00000000" w14:paraId="00000011">
            <w:pPr>
              <w:spacing w:before="280" w:line="480" w:lineRule="auto"/>
              <w:jc w:val="both"/>
              <w:rPr/>
            </w:pPr>
            <w:r w:rsidDel="00000000" w:rsidR="00000000" w:rsidRPr="00000000">
              <w:rPr>
                <w:rtl w:val="0"/>
              </w:rPr>
              <w:t xml:space="preserve">0.0310 ± 0.00066</w:t>
            </w:r>
          </w:p>
        </w:tc>
      </w:tr>
    </w:tbl>
    <w:p w:rsidR="00000000" w:rsidDel="00000000" w:rsidP="00000000" w:rsidRDefault="00000000" w:rsidRPr="00000000" w14:paraId="00000012">
      <w:pPr>
        <w:spacing w:before="280" w:line="480" w:lineRule="auto"/>
        <w:jc w:val="both"/>
        <w:rPr/>
      </w:pPr>
      <w:r w:rsidDel="00000000" w:rsidR="00000000" w:rsidRPr="00000000">
        <w:br w:type="page"/>
      </w:r>
      <w:r w:rsidDel="00000000" w:rsidR="00000000" w:rsidRPr="00000000">
        <w:rPr/>
        <w:drawing>
          <wp:inline distB="114300" distT="114300" distL="114300" distR="114300">
            <wp:extent cx="6629400" cy="3975100"/>
            <wp:effectExtent b="0" l="0" r="0" t="0"/>
            <wp:docPr id="1350908304"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6629400" cy="397510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spacing w:before="280" w:line="480" w:lineRule="auto"/>
        <w:jc w:val="both"/>
        <w:rPr/>
      </w:pPr>
      <w:bookmarkStart w:colFirst="0" w:colLast="0" w:name="_heading=h.8wo24t7kg7m1" w:id="0"/>
      <w:bookmarkEnd w:id="0"/>
      <w:r w:rsidDel="00000000" w:rsidR="00000000" w:rsidRPr="00000000">
        <w:rPr>
          <w:b w:val="1"/>
          <w:rtl w:val="0"/>
        </w:rPr>
        <w:t xml:space="preserve">Figure S1.</w:t>
      </w:r>
      <w:r w:rsidDel="00000000" w:rsidR="00000000" w:rsidRPr="00000000">
        <w:rPr>
          <w:rtl w:val="0"/>
        </w:rPr>
        <w:t xml:space="preserve"> Number of GBIF (Global Biodiversity Information Facility) records for fauna in French Polynesia between 1950 and 2023.</w:t>
      </w:r>
    </w:p>
    <w:p w:rsidR="00000000" w:rsidDel="00000000" w:rsidP="00000000" w:rsidRDefault="00000000" w:rsidRPr="00000000" w14:paraId="00000014">
      <w:pPr>
        <w:spacing w:line="480" w:lineRule="auto"/>
        <w:rPr/>
      </w:pPr>
      <w:bookmarkStart w:colFirst="0" w:colLast="0" w:name="_heading=h.gp5zjumyz2h2" w:id="1"/>
      <w:bookmarkEnd w:id="1"/>
      <w:r w:rsidDel="00000000" w:rsidR="00000000" w:rsidRPr="00000000">
        <w:br w:type="page"/>
      </w:r>
      <w:r w:rsidDel="00000000" w:rsidR="00000000" w:rsidRPr="00000000">
        <w:rPr>
          <w:rtl w:val="0"/>
        </w:rPr>
      </w:r>
    </w:p>
    <w:p w:rsidR="00000000" w:rsidDel="00000000" w:rsidP="00000000" w:rsidRDefault="00000000" w:rsidRPr="00000000" w14:paraId="00000015">
      <w:pPr>
        <w:spacing w:line="480" w:lineRule="auto"/>
        <w:rPr/>
      </w:pPr>
      <w:bookmarkStart w:colFirst="0" w:colLast="0" w:name="_heading=h.i2htqob68848" w:id="2"/>
      <w:bookmarkEnd w:id="2"/>
      <w:r w:rsidDel="00000000" w:rsidR="00000000" w:rsidRPr="00000000">
        <w:rPr/>
        <w:drawing>
          <wp:inline distB="114300" distT="114300" distL="114300" distR="114300">
            <wp:extent cx="6629400" cy="3302000"/>
            <wp:effectExtent b="0" l="0" r="0" t="0"/>
            <wp:docPr id="1350908306"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6629400" cy="330200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spacing w:line="480" w:lineRule="auto"/>
        <w:rPr/>
      </w:pPr>
      <w:bookmarkStart w:colFirst="0" w:colLast="0" w:name="_heading=h.vlxbi3xri4g1" w:id="3"/>
      <w:bookmarkEnd w:id="3"/>
      <w:r w:rsidDel="00000000" w:rsidR="00000000" w:rsidRPr="00000000">
        <w:rPr>
          <w:b w:val="1"/>
          <w:rtl w:val="0"/>
        </w:rPr>
        <w:t xml:space="preserve">Figure S2.</w:t>
      </w:r>
      <w:r w:rsidDel="00000000" w:rsidR="00000000" w:rsidRPr="00000000">
        <w:rPr>
          <w:rtl w:val="0"/>
        </w:rPr>
        <w:t xml:space="preserve"> Record bias. Correlation between the number of species per island and records across French Polynesia for marine (left panel) and terrestrial (right panel) habitats.</w:t>
      </w:r>
      <w:r w:rsidDel="00000000" w:rsidR="00000000" w:rsidRPr="00000000">
        <w:br w:type="page"/>
      </w:r>
      <w:r w:rsidDel="00000000" w:rsidR="00000000" w:rsidRPr="00000000">
        <w:rPr>
          <w:rtl w:val="0"/>
        </w:rPr>
      </w:r>
    </w:p>
    <w:p w:rsidR="00000000" w:rsidDel="00000000" w:rsidP="00000000" w:rsidRDefault="00000000" w:rsidRPr="00000000" w14:paraId="00000017">
      <w:pPr>
        <w:spacing w:line="480" w:lineRule="auto"/>
        <w:rPr/>
      </w:pPr>
      <w:r w:rsidDel="00000000" w:rsidR="00000000" w:rsidRPr="00000000">
        <w:rPr/>
        <w:drawing>
          <wp:inline distB="0" distT="0" distL="0" distR="0">
            <wp:extent cx="5295030" cy="6230283"/>
            <wp:effectExtent b="0" l="0" r="0" t="0"/>
            <wp:docPr id="1350908305"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5295030" cy="6230283"/>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spacing w:before="280" w:line="480" w:lineRule="auto"/>
        <w:jc w:val="both"/>
        <w:rPr/>
      </w:pPr>
      <w:bookmarkStart w:colFirst="0" w:colLast="0" w:name="_heading=h.s9ehgo8wfv5b" w:id="4"/>
      <w:bookmarkEnd w:id="4"/>
      <w:r w:rsidDel="00000000" w:rsidR="00000000" w:rsidRPr="00000000">
        <w:rPr>
          <w:b w:val="1"/>
          <w:rtl w:val="0"/>
        </w:rPr>
        <w:t xml:space="preserve">Figure S3</w:t>
      </w:r>
      <w:r w:rsidDel="00000000" w:rsidR="00000000" w:rsidRPr="00000000">
        <w:rPr>
          <w:rtl w:val="0"/>
        </w:rPr>
        <w:t xml:space="preserve">. Species Accumulation Curves produced from resampling. Modelled relationships between the number of species and the </w:t>
      </w:r>
      <w:r w:rsidDel="00000000" w:rsidR="00000000" w:rsidRPr="00000000">
        <w:rPr>
          <w:rtl w:val="0"/>
        </w:rPr>
        <w:t xml:space="preserve">number</w:t>
      </w:r>
      <w:r w:rsidDel="00000000" w:rsidR="00000000" w:rsidRPr="00000000">
        <w:rPr>
          <w:rtl w:val="0"/>
        </w:rPr>
        <w:t xml:space="preserve"> </w:t>
      </w:r>
      <w:r w:rsidDel="00000000" w:rsidR="00000000" w:rsidRPr="00000000">
        <w:rPr>
          <w:rtl w:val="0"/>
        </w:rPr>
        <w:t xml:space="preserve">of </w:t>
      </w:r>
      <w:r w:rsidDel="00000000" w:rsidR="00000000" w:rsidRPr="00000000">
        <w:rPr>
          <w:rtl w:val="0"/>
        </w:rPr>
        <w:t xml:space="preserve">records for marine (left panels) and terrestrial (right panels) habitats. The lines represent Michaelis-Menten model fits, each archipelago is represented by a specific colour (purple: Austral, orange: Gambier, blue: Marquesas, pink: Society, yellow: Tuamotu), and the shaded zone </w:t>
      </w:r>
      <w:r w:rsidDel="00000000" w:rsidR="00000000" w:rsidRPr="00000000">
        <w:rPr>
          <w:rtl w:val="0"/>
        </w:rPr>
        <w:t xml:space="preserve">illustrates</w:t>
      </w:r>
      <w:r w:rsidDel="00000000" w:rsidR="00000000" w:rsidRPr="00000000">
        <w:rPr>
          <w:rtl w:val="0"/>
        </w:rPr>
        <w:t xml:space="preserve"> 95% confidence intervals. The half-saturation constant (K), representing the area required to capture 50% of the expected species, is shown with vertical dashed lines. </w:t>
      </w:r>
      <w:r w:rsidDel="00000000" w:rsidR="00000000" w:rsidRPr="00000000">
        <w:br w:type="page"/>
      </w:r>
      <w:r w:rsidDel="00000000" w:rsidR="00000000" w:rsidRPr="00000000">
        <w:rPr>
          <w:rtl w:val="0"/>
        </w:rPr>
      </w:r>
    </w:p>
    <w:p w:rsidR="00000000" w:rsidDel="00000000" w:rsidP="00000000" w:rsidRDefault="00000000" w:rsidRPr="00000000" w14:paraId="00000019">
      <w:pPr>
        <w:spacing w:before="280" w:line="480" w:lineRule="auto"/>
        <w:jc w:val="both"/>
        <w:rPr>
          <w:b w:val="1"/>
        </w:rPr>
      </w:pPr>
      <w:r w:rsidDel="00000000" w:rsidR="00000000" w:rsidRPr="00000000">
        <w:rPr>
          <w:b w:val="1"/>
        </w:rPr>
        <w:drawing>
          <wp:inline distB="114300" distT="114300" distL="114300" distR="114300">
            <wp:extent cx="6629400" cy="3505200"/>
            <wp:effectExtent b="0" l="0" r="0" t="0"/>
            <wp:docPr id="1350908303"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6629400" cy="3505200"/>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rPr/>
      </w:pPr>
      <w:r w:rsidDel="00000000" w:rsidR="00000000" w:rsidRPr="00000000">
        <w:rPr>
          <w:b w:val="1"/>
          <w:rtl w:val="0"/>
        </w:rPr>
        <w:t xml:space="preserve">Figure S4. </w:t>
      </w:r>
      <w:r w:rsidDel="00000000" w:rsidR="00000000" w:rsidRPr="00000000">
        <w:rPr>
          <w:rtl w:val="0"/>
        </w:rPr>
        <w:t xml:space="preserve">Poorly-documented French Polynesian islands for marine (left) and terrestrial (right) ecosystems. The number of records for these islands is represented by variable point sizes (1 to 10 records). Islands are colour-coded according to their respective archipelagos.</w:t>
      </w:r>
    </w:p>
    <w:sectPr>
      <w:headerReference r:id="rId11" w:type="default"/>
      <w:footerReference r:id="rId12" w:type="default"/>
      <w:pgSz w:h="15840" w:w="12240" w:orient="portrait"/>
      <w:pgMar w:bottom="1100" w:top="1320" w:left="900" w:right="900" w:header="721" w:footer="901"/>
      <w:lnNumType w:countBy="1" w:start="0" w:restart="continuous"/>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0</wp:posOffset>
              </wp:positionH>
              <wp:positionV relativeFrom="paragraph">
                <wp:posOffset>9283700</wp:posOffset>
              </wp:positionV>
              <wp:extent cx="75825" cy="75825"/>
              <wp:effectExtent b="0" l="0" r="0" t="0"/>
              <wp:wrapNone/>
              <wp:docPr id="1350908299" name=""/>
              <a:graphic>
                <a:graphicData uri="http://schemas.microsoft.com/office/word/2010/wordprocessingShape">
                  <wps:wsp>
                    <wps:cNvSpPr/>
                    <wps:cNvPr id="2" name="Shape 2"/>
                    <wps:spPr>
                      <a:xfrm>
                        <a:off x="2099880" y="3779365"/>
                        <a:ext cx="6492240" cy="1270"/>
                      </a:xfrm>
                      <a:custGeom>
                        <a:rect b="b" l="l" r="r" t="t"/>
                        <a:pathLst>
                          <a:path extrusionOk="0" h="120000" w="6492240">
                            <a:moveTo>
                              <a:pt x="0" y="0"/>
                            </a:moveTo>
                            <a:lnTo>
                              <a:pt x="6492240" y="0"/>
                            </a:lnTo>
                          </a:path>
                        </a:pathLst>
                      </a:custGeom>
                      <a:noFill/>
                      <a:ln cap="flat" cmpd="sng" w="126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0</wp:posOffset>
              </wp:positionH>
              <wp:positionV relativeFrom="paragraph">
                <wp:posOffset>9283700</wp:posOffset>
              </wp:positionV>
              <wp:extent cx="75825" cy="75825"/>
              <wp:effectExtent b="0" l="0" r="0" t="0"/>
              <wp:wrapNone/>
              <wp:docPr id="1350908299"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75825" cy="7582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0</wp:posOffset>
              </wp:positionH>
              <wp:positionV relativeFrom="paragraph">
                <wp:posOffset>9321800</wp:posOffset>
              </wp:positionV>
              <wp:extent cx="1446530" cy="228600"/>
              <wp:effectExtent b="0" l="0" r="0" t="0"/>
              <wp:wrapNone/>
              <wp:docPr id="1350908301" name=""/>
              <a:graphic>
                <a:graphicData uri="http://schemas.microsoft.com/office/word/2010/wordprocessingShape">
                  <wps:wsp>
                    <wps:cNvSpPr/>
                    <wps:cNvPr id="4" name="Shape 4"/>
                    <wps:spPr>
                      <a:xfrm>
                        <a:off x="4660835" y="3703800"/>
                        <a:ext cx="1370330" cy="152400"/>
                      </a:xfrm>
                      <a:prstGeom prst="rect">
                        <a:avLst/>
                      </a:prstGeom>
                      <a:noFill/>
                      <a:ln>
                        <a:noFill/>
                      </a:ln>
                    </wps:spPr>
                    <wps:txbx>
                      <w:txbxContent>
                        <w:p w:rsidR="00000000" w:rsidDel="00000000" w:rsidP="00000000" w:rsidRDefault="00000000" w:rsidRPr="00000000">
                          <w:pPr>
                            <w:spacing w:after="0" w:before="0" w:line="212.0000123977661"/>
                            <w:ind w:left="20" w:right="0" w:firstLine="140"/>
                            <w:jc w:val="left"/>
                            <w:textDirection w:val="btLr"/>
                          </w:pPr>
                          <w:r w:rsidDel="00000000" w:rsidR="00000000" w:rsidRPr="00000000">
                            <w:rPr>
                              <w:rFonts w:ascii="Georgia" w:cs="Georgia" w:eastAsia="Georgia" w:hAnsi="Georgia"/>
                              <w:b w:val="0"/>
                              <w:i w:val="0"/>
                              <w:smallCaps w:val="0"/>
                              <w:strike w:val="0"/>
                              <w:color w:val="000000"/>
                              <w:sz w:val="20"/>
                              <w:vertAlign w:val="baseline"/>
                            </w:rPr>
                            <w:t xml:space="preserve">Aix-Marseille University</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0</wp:posOffset>
              </wp:positionH>
              <wp:positionV relativeFrom="paragraph">
                <wp:posOffset>9321800</wp:posOffset>
              </wp:positionV>
              <wp:extent cx="1446530" cy="228600"/>
              <wp:effectExtent b="0" l="0" r="0" t="0"/>
              <wp:wrapNone/>
              <wp:docPr id="1350908301"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1446530" cy="2286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3111500</wp:posOffset>
              </wp:positionH>
              <wp:positionV relativeFrom="paragraph">
                <wp:posOffset>9321800</wp:posOffset>
              </wp:positionV>
              <wp:extent cx="292100" cy="228600"/>
              <wp:effectExtent b="0" l="0" r="0" t="0"/>
              <wp:wrapNone/>
              <wp:docPr id="1350908300" name=""/>
              <a:graphic>
                <a:graphicData uri="http://schemas.microsoft.com/office/word/2010/wordprocessingShape">
                  <wps:wsp>
                    <wps:cNvSpPr/>
                    <wps:cNvPr id="3" name="Shape 3"/>
                    <wps:spPr>
                      <a:xfrm>
                        <a:off x="5238050" y="3703800"/>
                        <a:ext cx="215900" cy="152400"/>
                      </a:xfrm>
                      <a:prstGeom prst="rect">
                        <a:avLst/>
                      </a:prstGeom>
                      <a:noFill/>
                      <a:ln>
                        <a:noFill/>
                      </a:ln>
                    </wps:spPr>
                    <wps:txbx>
                      <w:txbxContent>
                        <w:p w:rsidR="00000000" w:rsidDel="00000000" w:rsidP="00000000" w:rsidRDefault="00000000" w:rsidRPr="00000000">
                          <w:pPr>
                            <w:spacing w:after="0" w:before="0" w:line="212.0000123977661"/>
                            <w:ind w:left="60" w:right="0" w:firstLine="420"/>
                            <w:jc w:val="left"/>
                            <w:textDirection w:val="btLr"/>
                          </w:pPr>
                          <w:r w:rsidDel="00000000" w:rsidR="00000000" w:rsidRPr="00000000">
                            <w:rPr>
                              <w:rFonts w:ascii="Georgia" w:cs="Georgia" w:eastAsia="Georgia" w:hAnsi="Georgia"/>
                              <w:b w:val="0"/>
                              <w:i w:val="0"/>
                              <w:smallCaps w:val="0"/>
                              <w:strike w:val="0"/>
                              <w:color w:val="000000"/>
                              <w:sz w:val="20"/>
                              <w:vertAlign w:val="baseline"/>
                            </w:rPr>
                            <w:t xml:space="preserve"> PAGE 52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3111500</wp:posOffset>
              </wp:positionH>
              <wp:positionV relativeFrom="paragraph">
                <wp:posOffset>9321800</wp:posOffset>
              </wp:positionV>
              <wp:extent cx="292100" cy="228600"/>
              <wp:effectExtent b="0" l="0" r="0" t="0"/>
              <wp:wrapNone/>
              <wp:docPr id="1350908300"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292100" cy="2286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4838700</wp:posOffset>
              </wp:positionH>
              <wp:positionV relativeFrom="paragraph">
                <wp:posOffset>9321800</wp:posOffset>
              </wp:positionV>
              <wp:extent cx="1706245" cy="228600"/>
              <wp:effectExtent b="0" l="0" r="0" t="0"/>
              <wp:wrapNone/>
              <wp:docPr id="1350908302" name=""/>
              <a:graphic>
                <a:graphicData uri="http://schemas.microsoft.com/office/word/2010/wordprocessingShape">
                  <wps:wsp>
                    <wps:cNvSpPr/>
                    <wps:cNvPr id="5" name="Shape 5"/>
                    <wps:spPr>
                      <a:xfrm>
                        <a:off x="4530978" y="3703800"/>
                        <a:ext cx="1630045" cy="152400"/>
                      </a:xfrm>
                      <a:prstGeom prst="rect">
                        <a:avLst/>
                      </a:prstGeom>
                      <a:noFill/>
                      <a:ln>
                        <a:noFill/>
                      </a:ln>
                    </wps:spPr>
                    <wps:txbx>
                      <w:txbxContent>
                        <w:p w:rsidR="00000000" w:rsidDel="00000000" w:rsidP="00000000" w:rsidRDefault="00000000" w:rsidRPr="00000000">
                          <w:pPr>
                            <w:spacing w:after="0" w:before="0" w:line="212.0000123977661"/>
                            <w:ind w:left="20" w:right="0" w:firstLine="140"/>
                            <w:jc w:val="left"/>
                            <w:textDirection w:val="btLr"/>
                          </w:pPr>
                          <w:r w:rsidDel="00000000" w:rsidR="00000000" w:rsidRPr="00000000">
                            <w:rPr>
                              <w:rFonts w:ascii="Georgia" w:cs="Georgia" w:eastAsia="Georgia" w:hAnsi="Georgia"/>
                              <w:b w:val="0"/>
                              <w:i w:val="0"/>
                              <w:smallCaps w:val="0"/>
                              <w:strike w:val="0"/>
                              <w:color w:val="000000"/>
                              <w:sz w:val="20"/>
                              <w:vertAlign w:val="baseline"/>
                            </w:rPr>
                            <w:t xml:space="preserve">M2 INTERNSHIP REPORT</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4838700</wp:posOffset>
              </wp:positionH>
              <wp:positionV relativeFrom="paragraph">
                <wp:posOffset>9321800</wp:posOffset>
              </wp:positionV>
              <wp:extent cx="1706245" cy="228600"/>
              <wp:effectExtent b="0" l="0" r="0" t="0"/>
              <wp:wrapNone/>
              <wp:docPr id="1350908302"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1706245" cy="22860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F05C20"/>
    <w:pPr>
      <w:spacing w:after="0" w:line="240" w:lineRule="auto"/>
    </w:pPr>
    <w:rPr>
      <w:rFonts w:ascii="Times New Roman" w:cs="Times New Roman" w:eastAsia="Times New Roman" w:hAnsi="Times New Roman"/>
      <w:sz w:val="24"/>
      <w:szCs w:val="24"/>
      <w:lang w:eastAsia="en-GB"/>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F05C20"/>
    <w:pPr>
      <w:spacing w:after="0" w:line="240" w:lineRule="auto"/>
    </w:pPr>
    <w:rPr>
      <w:rFonts w:ascii="Times New Roman" w:cs="Times New Roman" w:eastAsia="Times New Roman" w:hAnsi="Times New Roman"/>
      <w:sz w:val="24"/>
      <w:szCs w:val="24"/>
      <w:lang w:eastAsia="en-GB" w:val="en-GB"/>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LineNumber">
    <w:name w:val="line number"/>
    <w:basedOn w:val="DefaultParagraphFont"/>
    <w:uiPriority w:val="99"/>
    <w:semiHidden w:val="1"/>
    <w:unhideWhenUsed w:val="1"/>
    <w:rsid w:val="00F05C20"/>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rFonts w:ascii="Times New Roman" w:cs="Times New Roman" w:eastAsia="Times New Roman" w:hAnsi="Times New Roman"/>
      <w:sz w:val="24"/>
      <w:szCs w:val="24"/>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image" Target="media/image2.png"/><Relationship Id="rId12" Type="http://schemas.openxmlformats.org/officeDocument/2006/relationships/footer" Target="footer1.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jpg"/><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DbTNDKccZ0n3c+eAu6hQupBx9g==">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2025-01-18T23:33:00Z</dcterms:created>
  <dc:creator>Cristian MONACO</dc:creator>
</cp:coreProperties>
</file>