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0483B" w14:textId="712B8993" w:rsidR="00A64681" w:rsidRDefault="00A64681" w:rsidP="0099246C">
      <w:pPr>
        <w:tabs>
          <w:tab w:val="left" w:pos="275"/>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sidRPr="00C354A9">
        <w:rPr>
          <w:rFonts w:ascii="Times New Roman" w:hAnsi="Times New Roman" w:cs="Times New Roman"/>
          <w:b/>
          <w:sz w:val="24"/>
          <w:szCs w:val="24"/>
        </w:rPr>
        <w:t xml:space="preserve">Figure </w:t>
      </w:r>
      <w:r w:rsidR="0065262E">
        <w:rPr>
          <w:rFonts w:ascii="Times New Roman" w:hAnsi="Times New Roman" w:cs="Times New Roman"/>
          <w:b/>
          <w:sz w:val="24"/>
          <w:szCs w:val="24"/>
        </w:rPr>
        <w:t>S</w:t>
      </w:r>
      <w:r>
        <w:rPr>
          <w:rFonts w:ascii="Times New Roman" w:hAnsi="Times New Roman" w:cs="Times New Roman"/>
          <w:b/>
          <w:sz w:val="24"/>
          <w:szCs w:val="24"/>
        </w:rPr>
        <w:t>1</w:t>
      </w:r>
      <w:r w:rsidRPr="00C354A9">
        <w:rPr>
          <w:rFonts w:ascii="Times New Roman" w:hAnsi="Times New Roman" w:cs="Times New Roman"/>
          <w:b/>
          <w:sz w:val="24"/>
          <w:szCs w:val="24"/>
        </w:rPr>
        <w:t>.</w:t>
      </w:r>
    </w:p>
    <w:p w14:paraId="617ABC75" w14:textId="2277B497" w:rsidR="00FA0B5A" w:rsidRDefault="00A64681" w:rsidP="00FA0B5A">
      <w:pPr>
        <w:tabs>
          <w:tab w:val="left" w:pos="275"/>
        </w:tabs>
        <w:spacing w:line="480" w:lineRule="auto"/>
        <w:jc w:val="center"/>
        <w:rPr>
          <w:rFonts w:ascii="Times New Roman" w:hAnsi="Times New Roman" w:cs="Times New Roman"/>
          <w:b/>
          <w:sz w:val="24"/>
          <w:szCs w:val="24"/>
        </w:rPr>
      </w:pPr>
      <w:r>
        <w:rPr>
          <w:noProof/>
        </w:rPr>
        <w:drawing>
          <wp:inline distT="0" distB="0" distL="0" distR="0" wp14:anchorId="238F6BC8" wp14:editId="2B4F763C">
            <wp:extent cx="7045215" cy="452408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277854" cy="4673477"/>
                    </a:xfrm>
                    <a:prstGeom prst="rect">
                      <a:avLst/>
                    </a:prstGeom>
                  </pic:spPr>
                </pic:pic>
              </a:graphicData>
            </a:graphic>
          </wp:inline>
        </w:drawing>
      </w:r>
    </w:p>
    <w:p w14:paraId="6557C1B2" w14:textId="75C122C5" w:rsidR="00DB6F83" w:rsidRPr="00DB6F83" w:rsidRDefault="00DB6F83" w:rsidP="00DB6F83">
      <w:pPr>
        <w:tabs>
          <w:tab w:val="left" w:pos="275"/>
        </w:tabs>
        <w:spacing w:line="276" w:lineRule="auto"/>
        <w:jc w:val="both"/>
        <w:rPr>
          <w:rFonts w:ascii="Times New Roman" w:hAnsi="Times New Roman" w:cs="Times New Roman"/>
          <w:sz w:val="24"/>
          <w:szCs w:val="24"/>
        </w:rPr>
      </w:pPr>
      <w:r w:rsidRPr="004F6C6A">
        <w:rPr>
          <w:rFonts w:ascii="Times New Roman" w:hAnsi="Times New Roman" w:cs="Times New Roman"/>
          <w:b/>
          <w:sz w:val="24"/>
          <w:szCs w:val="24"/>
        </w:rPr>
        <w:t>Supplementary Figure S1.</w:t>
      </w:r>
      <w:r w:rsidRPr="004F6C6A">
        <w:rPr>
          <w:rFonts w:ascii="Times New Roman" w:hAnsi="Times New Roman" w:cs="Times New Roman"/>
          <w:sz w:val="24"/>
          <w:szCs w:val="24"/>
        </w:rPr>
        <w:t xml:space="preserve"> </w:t>
      </w:r>
      <w:r w:rsidRPr="0084246A">
        <w:rPr>
          <w:rFonts w:ascii="Times New Roman" w:hAnsi="Times New Roman" w:cs="Times New Roman"/>
          <w:b/>
          <w:sz w:val="24"/>
          <w:szCs w:val="24"/>
        </w:rPr>
        <w:t>The mechanism of uncontrolled health issues due to the lower melatonin concentration among COVID-19 patients;</w:t>
      </w:r>
      <w:r w:rsidRPr="0084246A">
        <w:t xml:space="preserve"> </w:t>
      </w:r>
      <w:r w:rsidRPr="00DB6F83">
        <w:rPr>
          <w:rFonts w:ascii="Times New Roman" w:hAnsi="Times New Roman" w:cs="Times New Roman"/>
          <w:sz w:val="24"/>
          <w:szCs w:val="24"/>
        </w:rPr>
        <w:t xml:space="preserve">SARS-CoV-2 infection initiates an aggressive immune response in the lungs, characterized by excessive production of pro-inflammatory cytokines </w:t>
      </w:r>
      <w:bookmarkStart w:id="0" w:name="_GoBack"/>
      <w:bookmarkEnd w:id="0"/>
      <w:r w:rsidRPr="00DB6F83">
        <w:rPr>
          <w:rFonts w:ascii="Times New Roman" w:hAnsi="Times New Roman" w:cs="Times New Roman"/>
          <w:sz w:val="24"/>
          <w:szCs w:val="24"/>
        </w:rPr>
        <w:t xml:space="preserve">(IL-2, IL-6, IL-8, TNF-α) and oxidative stress. This leads to activation of the myeloperoxidase </w:t>
      </w:r>
      <w:r w:rsidRPr="00DB6F83">
        <w:rPr>
          <w:rFonts w:ascii="Times New Roman" w:hAnsi="Times New Roman" w:cs="Times New Roman"/>
          <w:sz w:val="24"/>
          <w:szCs w:val="24"/>
        </w:rPr>
        <w:lastRenderedPageBreak/>
        <w:t xml:space="preserve">(MPO) system and </w:t>
      </w:r>
      <w:r w:rsidRPr="00DB6F83">
        <w:rPr>
          <w:rFonts w:ascii="Times New Roman" w:hAnsi="Times New Roman" w:cs="Times New Roman" w:hint="eastAsia"/>
          <w:sz w:val="24"/>
          <w:szCs w:val="24"/>
        </w:rPr>
        <w:t>generation of reactive oxygen species (ROS), including hydrogen peroxide (H</w:t>
      </w:r>
      <w:r w:rsidRPr="00DB6F83">
        <w:rPr>
          <w:rFonts w:ascii="Times New Roman" w:hAnsi="Times New Roman" w:cs="Times New Roman" w:hint="eastAsia"/>
          <w:sz w:val="24"/>
          <w:szCs w:val="24"/>
        </w:rPr>
        <w:t>₂</w:t>
      </w:r>
      <w:r w:rsidRPr="00DB6F83">
        <w:rPr>
          <w:rFonts w:ascii="Times New Roman" w:hAnsi="Times New Roman" w:cs="Times New Roman" w:hint="eastAsia"/>
          <w:sz w:val="24"/>
          <w:szCs w:val="24"/>
        </w:rPr>
        <w:t>O</w:t>
      </w:r>
      <w:r w:rsidRPr="00DB6F83">
        <w:rPr>
          <w:rFonts w:ascii="Times New Roman" w:hAnsi="Times New Roman" w:cs="Times New Roman" w:hint="eastAsia"/>
          <w:sz w:val="24"/>
          <w:szCs w:val="24"/>
        </w:rPr>
        <w:t>₂</w:t>
      </w:r>
      <w:r w:rsidRPr="00DB6F83">
        <w:rPr>
          <w:rFonts w:ascii="Times New Roman" w:hAnsi="Times New Roman" w:cs="Times New Roman" w:hint="eastAsia"/>
          <w:sz w:val="24"/>
          <w:szCs w:val="24"/>
        </w:rPr>
        <w:t>) and hypochlorous acid (HOCl). In the context of diminished melatonin levels</w:t>
      </w:r>
      <w:r w:rsidRPr="00DB6F83">
        <w:rPr>
          <w:rFonts w:ascii="Times New Roman" w:hAnsi="Times New Roman" w:cs="Times New Roman" w:hint="eastAsia"/>
          <w:sz w:val="24"/>
          <w:szCs w:val="24"/>
        </w:rPr>
        <w:t>—</w:t>
      </w:r>
      <w:r w:rsidRPr="00DB6F83">
        <w:rPr>
          <w:rFonts w:ascii="Times New Roman" w:hAnsi="Times New Roman" w:cs="Times New Roman" w:hint="eastAsia"/>
          <w:sz w:val="24"/>
          <w:szCs w:val="24"/>
        </w:rPr>
        <w:t>a key endogenous antioxidant and immunomodulator</w:t>
      </w:r>
      <w:r w:rsidRPr="00DB6F83">
        <w:rPr>
          <w:rFonts w:ascii="Times New Roman" w:hAnsi="Times New Roman" w:cs="Times New Roman" w:hint="eastAsia"/>
          <w:sz w:val="24"/>
          <w:szCs w:val="24"/>
        </w:rPr>
        <w:t>—</w:t>
      </w:r>
      <w:r w:rsidRPr="00DB6F83">
        <w:rPr>
          <w:rFonts w:ascii="Times New Roman" w:hAnsi="Times New Roman" w:cs="Times New Roman" w:hint="eastAsia"/>
          <w:sz w:val="24"/>
          <w:szCs w:val="24"/>
        </w:rPr>
        <w:t>ROS accumulation results in significant cellular da</w:t>
      </w:r>
      <w:r w:rsidRPr="00DB6F83">
        <w:rPr>
          <w:rFonts w:ascii="Times New Roman" w:hAnsi="Times New Roman" w:cs="Times New Roman"/>
          <w:sz w:val="24"/>
          <w:szCs w:val="24"/>
        </w:rPr>
        <w:t>mage, including protein oxidation, lipid peroxidation, and DNA injury. Low melatonin also contributes to impaired vasoconstriction, hypoxia, and reduced vitamin B12 levels due to tetrapyrrole ring disruption. The cumulative effect of unchecked oxidative stress and inflammatory signaling promotes a cytokine storm and uncontrolled immune activation, potentially leading to severe or fatal outcomes</w:t>
      </w:r>
    </w:p>
    <w:p w14:paraId="7196C9FD" w14:textId="77777777" w:rsidR="00DB6F83" w:rsidRPr="00FA0B5A" w:rsidRDefault="00DB6F83" w:rsidP="00FA0B5A">
      <w:pPr>
        <w:tabs>
          <w:tab w:val="left" w:pos="275"/>
        </w:tabs>
        <w:spacing w:line="480" w:lineRule="auto"/>
        <w:jc w:val="center"/>
        <w:rPr>
          <w:rFonts w:ascii="Times New Roman" w:hAnsi="Times New Roman" w:cs="Times New Roman"/>
          <w:b/>
          <w:sz w:val="24"/>
          <w:szCs w:val="24"/>
        </w:rPr>
      </w:pPr>
    </w:p>
    <w:sectPr w:rsidR="00DB6F83" w:rsidRPr="00FA0B5A" w:rsidSect="008F61CD">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D48478" w16cex:dateUtc="2024-04-24T22:27:00Z"/>
  <w16cex:commentExtensible w16cex:durableId="29D484A1" w16cex:dateUtc="2024-04-24T22:2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04911" w14:textId="77777777" w:rsidR="00797E1A" w:rsidRDefault="00797E1A" w:rsidP="00D6202C">
      <w:pPr>
        <w:spacing w:after="0" w:line="240" w:lineRule="auto"/>
      </w:pPr>
      <w:r>
        <w:separator/>
      </w:r>
    </w:p>
  </w:endnote>
  <w:endnote w:type="continuationSeparator" w:id="0">
    <w:p w14:paraId="57A515C3" w14:textId="77777777" w:rsidR="00797E1A" w:rsidRDefault="00797E1A" w:rsidP="00D62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F4928" w14:textId="77777777" w:rsidR="00797E1A" w:rsidRDefault="00797E1A" w:rsidP="00D6202C">
      <w:pPr>
        <w:spacing w:after="0" w:line="240" w:lineRule="auto"/>
      </w:pPr>
      <w:r>
        <w:separator/>
      </w:r>
    </w:p>
  </w:footnote>
  <w:footnote w:type="continuationSeparator" w:id="0">
    <w:p w14:paraId="5C2A0A2E" w14:textId="77777777" w:rsidR="00797E1A" w:rsidRDefault="00797E1A" w:rsidP="00D620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DC2"/>
    <w:rsid w:val="000B0705"/>
    <w:rsid w:val="000B2DCE"/>
    <w:rsid w:val="000D7F20"/>
    <w:rsid w:val="00115B04"/>
    <w:rsid w:val="00150652"/>
    <w:rsid w:val="001C29BC"/>
    <w:rsid w:val="00280272"/>
    <w:rsid w:val="002A01F7"/>
    <w:rsid w:val="002A165F"/>
    <w:rsid w:val="002E7C27"/>
    <w:rsid w:val="003414A0"/>
    <w:rsid w:val="0035720D"/>
    <w:rsid w:val="003C3698"/>
    <w:rsid w:val="003C7A51"/>
    <w:rsid w:val="0041152B"/>
    <w:rsid w:val="004146C2"/>
    <w:rsid w:val="00427358"/>
    <w:rsid w:val="004823B4"/>
    <w:rsid w:val="00484224"/>
    <w:rsid w:val="004B6F9F"/>
    <w:rsid w:val="005014B3"/>
    <w:rsid w:val="005212AB"/>
    <w:rsid w:val="00532BFB"/>
    <w:rsid w:val="00536D0E"/>
    <w:rsid w:val="005A51D3"/>
    <w:rsid w:val="005B72A9"/>
    <w:rsid w:val="005C667D"/>
    <w:rsid w:val="005E626B"/>
    <w:rsid w:val="006077AC"/>
    <w:rsid w:val="00632D89"/>
    <w:rsid w:val="0065262E"/>
    <w:rsid w:val="006D38E8"/>
    <w:rsid w:val="006F6959"/>
    <w:rsid w:val="00784C1A"/>
    <w:rsid w:val="007857B5"/>
    <w:rsid w:val="00796F8D"/>
    <w:rsid w:val="00797E1A"/>
    <w:rsid w:val="007E66A9"/>
    <w:rsid w:val="008153DE"/>
    <w:rsid w:val="00822244"/>
    <w:rsid w:val="00842AD0"/>
    <w:rsid w:val="00845CAA"/>
    <w:rsid w:val="00877CA4"/>
    <w:rsid w:val="00884817"/>
    <w:rsid w:val="00884C99"/>
    <w:rsid w:val="008F61CD"/>
    <w:rsid w:val="0093178E"/>
    <w:rsid w:val="00953204"/>
    <w:rsid w:val="00955DA6"/>
    <w:rsid w:val="00957A67"/>
    <w:rsid w:val="0099246C"/>
    <w:rsid w:val="009C1A00"/>
    <w:rsid w:val="00A626DC"/>
    <w:rsid w:val="00A64681"/>
    <w:rsid w:val="00AA7D6C"/>
    <w:rsid w:val="00AC7052"/>
    <w:rsid w:val="00AE0D8D"/>
    <w:rsid w:val="00B00B4C"/>
    <w:rsid w:val="00B00D51"/>
    <w:rsid w:val="00B1183F"/>
    <w:rsid w:val="00B352FC"/>
    <w:rsid w:val="00B77F7E"/>
    <w:rsid w:val="00BE2E30"/>
    <w:rsid w:val="00BE7CE8"/>
    <w:rsid w:val="00CA6782"/>
    <w:rsid w:val="00D05B76"/>
    <w:rsid w:val="00D128C3"/>
    <w:rsid w:val="00D23748"/>
    <w:rsid w:val="00D54B64"/>
    <w:rsid w:val="00D572ED"/>
    <w:rsid w:val="00D6202C"/>
    <w:rsid w:val="00D81EF0"/>
    <w:rsid w:val="00DB3AC2"/>
    <w:rsid w:val="00DB6F83"/>
    <w:rsid w:val="00DD19C9"/>
    <w:rsid w:val="00DE6BD6"/>
    <w:rsid w:val="00DF0540"/>
    <w:rsid w:val="00E24CD1"/>
    <w:rsid w:val="00EB3260"/>
    <w:rsid w:val="00ED0248"/>
    <w:rsid w:val="00EF3DC2"/>
    <w:rsid w:val="00F44268"/>
    <w:rsid w:val="00F44C5D"/>
    <w:rsid w:val="00FA0B5A"/>
    <w:rsid w:val="00FB61F3"/>
    <w:rsid w:val="00FF34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5ECD5"/>
  <w15:chartTrackingRefBased/>
  <w15:docId w15:val="{250D06B7-B6CD-43DA-AFA5-A5C8492FC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1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02C"/>
    <w:pPr>
      <w:tabs>
        <w:tab w:val="center" w:pos="4513"/>
        <w:tab w:val="right" w:pos="9026"/>
      </w:tabs>
      <w:snapToGrid w:val="0"/>
    </w:pPr>
  </w:style>
  <w:style w:type="character" w:customStyle="1" w:styleId="HeaderChar">
    <w:name w:val="Header Char"/>
    <w:basedOn w:val="DefaultParagraphFont"/>
    <w:link w:val="Header"/>
    <w:uiPriority w:val="99"/>
    <w:rsid w:val="00D6202C"/>
  </w:style>
  <w:style w:type="paragraph" w:styleId="Footer">
    <w:name w:val="footer"/>
    <w:basedOn w:val="Normal"/>
    <w:link w:val="FooterChar"/>
    <w:uiPriority w:val="99"/>
    <w:unhideWhenUsed/>
    <w:rsid w:val="00D6202C"/>
    <w:pPr>
      <w:tabs>
        <w:tab w:val="center" w:pos="4513"/>
        <w:tab w:val="right" w:pos="9026"/>
      </w:tabs>
      <w:snapToGrid w:val="0"/>
    </w:pPr>
  </w:style>
  <w:style w:type="character" w:customStyle="1" w:styleId="FooterChar">
    <w:name w:val="Footer Char"/>
    <w:basedOn w:val="DefaultParagraphFont"/>
    <w:link w:val="Footer"/>
    <w:uiPriority w:val="99"/>
    <w:rsid w:val="00D6202C"/>
  </w:style>
  <w:style w:type="character" w:styleId="CommentReference">
    <w:name w:val="annotation reference"/>
    <w:basedOn w:val="DefaultParagraphFont"/>
    <w:uiPriority w:val="99"/>
    <w:semiHidden/>
    <w:unhideWhenUsed/>
    <w:rsid w:val="00D6202C"/>
    <w:rPr>
      <w:sz w:val="18"/>
      <w:szCs w:val="18"/>
    </w:rPr>
  </w:style>
  <w:style w:type="paragraph" w:styleId="CommentText">
    <w:name w:val="annotation text"/>
    <w:basedOn w:val="Normal"/>
    <w:link w:val="CommentTextChar"/>
    <w:uiPriority w:val="99"/>
    <w:unhideWhenUsed/>
    <w:rsid w:val="00D6202C"/>
  </w:style>
  <w:style w:type="character" w:customStyle="1" w:styleId="CommentTextChar">
    <w:name w:val="Comment Text Char"/>
    <w:basedOn w:val="DefaultParagraphFont"/>
    <w:link w:val="CommentText"/>
    <w:uiPriority w:val="99"/>
    <w:rsid w:val="00D6202C"/>
  </w:style>
  <w:style w:type="paragraph" w:styleId="CommentSubject">
    <w:name w:val="annotation subject"/>
    <w:basedOn w:val="CommentText"/>
    <w:next w:val="CommentText"/>
    <w:link w:val="CommentSubjectChar"/>
    <w:uiPriority w:val="99"/>
    <w:semiHidden/>
    <w:unhideWhenUsed/>
    <w:rsid w:val="00D6202C"/>
    <w:rPr>
      <w:b/>
      <w:bCs/>
    </w:rPr>
  </w:style>
  <w:style w:type="character" w:customStyle="1" w:styleId="CommentSubjectChar">
    <w:name w:val="Comment Subject Char"/>
    <w:basedOn w:val="CommentTextChar"/>
    <w:link w:val="CommentSubject"/>
    <w:uiPriority w:val="99"/>
    <w:semiHidden/>
    <w:rsid w:val="00D6202C"/>
    <w:rPr>
      <w:b/>
      <w:bCs/>
    </w:rPr>
  </w:style>
  <w:style w:type="paragraph" w:styleId="BalloonText">
    <w:name w:val="Balloon Text"/>
    <w:basedOn w:val="Normal"/>
    <w:link w:val="BalloonTextChar"/>
    <w:uiPriority w:val="99"/>
    <w:semiHidden/>
    <w:unhideWhenUsed/>
    <w:rsid w:val="00536D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D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01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D1895-1B02-492F-9541-AFBD90F1E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2025-05-04T05:24:00Z</dcterms:created>
  <dcterms:modified xsi:type="dcterms:W3CDTF">2025-05-04T05:24:00Z</dcterms:modified>
</cp:coreProperties>
</file>