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2AA9">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3EE539AD">
      <w:pPr>
        <w:rPr>
          <w:rFonts w:eastAsia="Times New Roman"/>
          <w:b/>
          <w:sz w:val="20"/>
          <w:szCs w:val="20"/>
          <w:lang w:eastAsia="en-GB"/>
        </w:rPr>
      </w:pPr>
    </w:p>
    <w:tbl>
      <w:tblPr>
        <w:tblStyle w:val="3"/>
        <w:tblW w:w="14490" w:type="dxa"/>
        <w:tblInd w:w="0" w:type="dxa"/>
        <w:tblLayout w:type="autofit"/>
        <w:tblCellMar>
          <w:top w:w="0" w:type="dxa"/>
          <w:left w:w="108" w:type="dxa"/>
          <w:bottom w:w="0" w:type="dxa"/>
          <w:right w:w="108" w:type="dxa"/>
        </w:tblCellMar>
      </w:tblPr>
      <w:tblGrid>
        <w:gridCol w:w="587"/>
        <w:gridCol w:w="1782"/>
        <w:gridCol w:w="5283"/>
        <w:gridCol w:w="1620"/>
        <w:gridCol w:w="5218"/>
      </w:tblGrid>
      <w:tr w14:paraId="68BC94E2">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00DEF8A5">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782" w:type="dxa"/>
            <w:tcBorders>
              <w:top w:val="single" w:color="auto" w:sz="4" w:space="0"/>
              <w:bottom w:val="single" w:color="7F7F7F" w:sz="6" w:space="0"/>
            </w:tcBorders>
            <w:shd w:val="clear" w:color="auto" w:fill="auto"/>
          </w:tcPr>
          <w:p w14:paraId="04F587D2">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5283" w:type="dxa"/>
            <w:tcBorders>
              <w:top w:val="single" w:color="auto" w:sz="4" w:space="0"/>
              <w:bottom w:val="single" w:color="7F7F7F" w:sz="6" w:space="0"/>
            </w:tcBorders>
            <w:shd w:val="clear" w:color="auto" w:fill="auto"/>
          </w:tcPr>
          <w:p w14:paraId="5A682768">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1620" w:type="dxa"/>
            <w:tcBorders>
              <w:top w:val="single" w:color="auto" w:sz="4" w:space="0"/>
              <w:bottom w:val="single" w:color="7F7F7F" w:sz="6" w:space="0"/>
            </w:tcBorders>
          </w:tcPr>
          <w:p w14:paraId="26D050FB">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c>
          <w:tcPr>
            <w:tcW w:w="5218" w:type="dxa"/>
            <w:tcBorders>
              <w:top w:val="single" w:color="auto" w:sz="4" w:space="0"/>
              <w:bottom w:val="single" w:color="7F7F7F" w:sz="6" w:space="0"/>
            </w:tcBorders>
          </w:tcPr>
          <w:p w14:paraId="3B169EDD">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Relevant text from manuscript</w:t>
            </w:r>
          </w:p>
        </w:tc>
      </w:tr>
      <w:tr w14:paraId="6D71F361">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25A8835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782" w:type="dxa"/>
            <w:tcBorders>
              <w:top w:val="single" w:color="7F7F7F" w:sz="6" w:space="0"/>
              <w:bottom w:val="single" w:color="7F7F7F" w:sz="6" w:space="0"/>
            </w:tcBorders>
            <w:shd w:val="clear" w:color="auto" w:fill="EEEEEE"/>
          </w:tcPr>
          <w:p w14:paraId="4CC4316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5283" w:type="dxa"/>
            <w:tcBorders>
              <w:top w:val="single" w:color="7F7F7F" w:sz="6" w:space="0"/>
              <w:bottom w:val="single" w:color="7F7F7F" w:sz="6" w:space="0"/>
            </w:tcBorders>
            <w:shd w:val="clear" w:color="auto" w:fill="EEEEEE"/>
          </w:tcPr>
          <w:p w14:paraId="1DA8BD4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1620" w:type="dxa"/>
            <w:tcBorders>
              <w:top w:val="single" w:color="7F7F7F" w:sz="6" w:space="0"/>
              <w:bottom w:val="single" w:color="7F7F7F" w:sz="6" w:space="0"/>
            </w:tcBorders>
            <w:shd w:val="clear" w:color="auto" w:fill="EEEEEE"/>
          </w:tcPr>
          <w:p w14:paraId="428F187D">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1</w:t>
            </w:r>
          </w:p>
        </w:tc>
        <w:tc>
          <w:tcPr>
            <w:tcW w:w="5218" w:type="dxa"/>
            <w:tcBorders>
              <w:top w:val="single" w:color="7F7F7F" w:sz="6" w:space="0"/>
              <w:bottom w:val="single" w:color="7F7F7F" w:sz="6" w:space="0"/>
            </w:tcBorders>
            <w:shd w:val="clear" w:color="auto" w:fill="EEEEEE"/>
          </w:tcPr>
          <w:p w14:paraId="2004BF95">
            <w:pPr>
              <w:rPr>
                <w:rFonts w:eastAsia="Times New Roman"/>
                <w:sz w:val="18"/>
                <w:szCs w:val="18"/>
                <w:lang w:val="en-GB" w:eastAsia="en-GB"/>
              </w:rPr>
            </w:pPr>
            <w:bookmarkStart w:id="0" w:name="OLE_LINK89"/>
            <w:bookmarkStart w:id="1" w:name="OLE_LINK87"/>
            <w:r>
              <w:rPr>
                <w:rFonts w:eastAsia="Times New Roman"/>
                <w:sz w:val="18"/>
                <w:szCs w:val="18"/>
                <w:lang w:val="en-GB" w:eastAsia="en-GB"/>
              </w:rPr>
              <w:t>Causal role of immune cells in</w:t>
            </w:r>
            <w:bookmarkStart w:id="2" w:name="OLE_LINK1"/>
            <w:r>
              <w:rPr>
                <w:rFonts w:hint="eastAsia" w:eastAsia="Times New Roman"/>
                <w:sz w:val="18"/>
                <w:szCs w:val="18"/>
                <w:lang w:val="en-GB" w:eastAsia="en-GB"/>
              </w:rPr>
              <w:t xml:space="preserve"> </w:t>
            </w:r>
            <w:bookmarkEnd w:id="2"/>
            <w:bookmarkStart w:id="3" w:name="OLE_LINK85"/>
            <w:r>
              <w:rPr>
                <w:rFonts w:hint="eastAsia" w:eastAsia="Times New Roman"/>
                <w:sz w:val="18"/>
                <w:szCs w:val="18"/>
                <w:lang w:val="en-GB" w:eastAsia="en-GB"/>
              </w:rPr>
              <w:t>cirrhosis</w:t>
            </w:r>
            <w:bookmarkEnd w:id="3"/>
            <w:r>
              <w:rPr>
                <w:rFonts w:hint="eastAsia" w:eastAsia="Times New Roman"/>
                <w:sz w:val="18"/>
                <w:szCs w:val="18"/>
                <w:lang w:val="en-GB" w:eastAsia="en-GB"/>
              </w:rPr>
              <w:t xml:space="preserve">：evidence from a two-sample </w:t>
            </w:r>
            <w:bookmarkStart w:id="4" w:name="OLE_LINK10"/>
            <w:bookmarkStart w:id="5" w:name="OLE_LINK3"/>
            <w:r>
              <w:rPr>
                <w:rFonts w:eastAsia="Times New Roman"/>
                <w:sz w:val="18"/>
                <w:szCs w:val="18"/>
                <w:lang w:val="en-GB" w:eastAsia="en-GB"/>
              </w:rPr>
              <w:t>Mendelian randomization</w:t>
            </w:r>
            <w:bookmarkEnd w:id="4"/>
            <w:r>
              <w:rPr>
                <w:rFonts w:eastAsia="Times New Roman"/>
                <w:sz w:val="18"/>
                <w:szCs w:val="18"/>
                <w:lang w:val="en-GB" w:eastAsia="en-GB"/>
              </w:rPr>
              <w:t xml:space="preserve"> </w:t>
            </w:r>
            <w:bookmarkEnd w:id="5"/>
            <w:r>
              <w:rPr>
                <w:rFonts w:eastAsia="Times New Roman"/>
                <w:sz w:val="18"/>
                <w:szCs w:val="18"/>
                <w:lang w:val="en-GB" w:eastAsia="en-GB"/>
              </w:rPr>
              <w:t>study</w:t>
            </w:r>
            <w:bookmarkEnd w:id="0"/>
          </w:p>
          <w:bookmarkEnd w:id="1"/>
          <w:p w14:paraId="75BA77CB">
            <w:pPr>
              <w:rPr>
                <w:rFonts w:eastAsia="Times New Roman"/>
                <w:sz w:val="18"/>
                <w:szCs w:val="18"/>
                <w:lang w:val="en-GB" w:eastAsia="en-GB"/>
              </w:rPr>
            </w:pPr>
          </w:p>
        </w:tc>
      </w:tr>
      <w:tr w14:paraId="641E6A58">
        <w:tblPrEx>
          <w:tblCellMar>
            <w:top w:w="0" w:type="dxa"/>
            <w:left w:w="108" w:type="dxa"/>
            <w:bottom w:w="0" w:type="dxa"/>
            <w:right w:w="108" w:type="dxa"/>
          </w:tblCellMar>
        </w:tblPrEx>
        <w:tc>
          <w:tcPr>
            <w:tcW w:w="587" w:type="dxa"/>
            <w:tcBorders>
              <w:top w:val="single" w:color="7F7F7F" w:sz="6" w:space="0"/>
            </w:tcBorders>
            <w:shd w:val="clear" w:color="auto" w:fill="auto"/>
          </w:tcPr>
          <w:p w14:paraId="4792BEFB">
            <w:pPr>
              <w:spacing w:before="96" w:beforeLines="40" w:after="96" w:afterLines="40" w:line="24" w:lineRule="atLeast"/>
              <w:rPr>
                <w:rFonts w:eastAsia="Times New Roman"/>
                <w:b/>
                <w:bCs/>
                <w:sz w:val="18"/>
                <w:szCs w:val="18"/>
                <w:lang w:val="en-GB" w:eastAsia="en-GB"/>
              </w:rPr>
            </w:pPr>
          </w:p>
        </w:tc>
        <w:tc>
          <w:tcPr>
            <w:tcW w:w="1782" w:type="dxa"/>
            <w:tcBorders>
              <w:top w:val="single" w:color="7F7F7F" w:sz="6" w:space="0"/>
            </w:tcBorders>
            <w:shd w:val="clear" w:color="auto" w:fill="auto"/>
          </w:tcPr>
          <w:p w14:paraId="63B58F01">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5283" w:type="dxa"/>
            <w:tcBorders>
              <w:top w:val="single" w:color="7F7F7F" w:sz="6" w:space="0"/>
            </w:tcBorders>
            <w:shd w:val="clear" w:color="auto" w:fill="auto"/>
          </w:tcPr>
          <w:p w14:paraId="473C01D0">
            <w:pPr>
              <w:spacing w:before="96" w:beforeLines="40" w:after="96" w:afterLines="40" w:line="24" w:lineRule="atLeast"/>
              <w:rPr>
                <w:rFonts w:eastAsia="Cambria"/>
                <w:sz w:val="18"/>
                <w:szCs w:val="18"/>
                <w:lang w:val="en-GB" w:eastAsia="en-US"/>
              </w:rPr>
            </w:pPr>
          </w:p>
        </w:tc>
        <w:tc>
          <w:tcPr>
            <w:tcW w:w="1620" w:type="dxa"/>
            <w:tcBorders>
              <w:top w:val="single" w:color="7F7F7F" w:sz="6" w:space="0"/>
            </w:tcBorders>
          </w:tcPr>
          <w:p w14:paraId="6681F500">
            <w:pPr>
              <w:spacing w:before="96" w:beforeLines="40" w:after="96" w:afterLines="40" w:line="24" w:lineRule="atLeast"/>
              <w:rPr>
                <w:rFonts w:eastAsia="Cambria"/>
                <w:sz w:val="18"/>
                <w:szCs w:val="18"/>
                <w:lang w:val="en-GB" w:eastAsia="en-US"/>
              </w:rPr>
            </w:pPr>
          </w:p>
        </w:tc>
        <w:tc>
          <w:tcPr>
            <w:tcW w:w="5218" w:type="dxa"/>
            <w:tcBorders>
              <w:top w:val="single" w:color="7F7F7F" w:sz="6" w:space="0"/>
            </w:tcBorders>
          </w:tcPr>
          <w:p w14:paraId="7A6DC6E9">
            <w:pPr>
              <w:spacing w:before="96" w:beforeLines="40" w:after="96" w:afterLines="40" w:line="24" w:lineRule="atLeast"/>
              <w:rPr>
                <w:rFonts w:eastAsia="Cambria"/>
                <w:sz w:val="18"/>
                <w:szCs w:val="18"/>
                <w:lang w:val="en-GB" w:eastAsia="en-US"/>
              </w:rPr>
            </w:pPr>
          </w:p>
        </w:tc>
      </w:tr>
      <w:tr w14:paraId="7DB622D8">
        <w:tblPrEx>
          <w:tblCellMar>
            <w:top w:w="0" w:type="dxa"/>
            <w:left w:w="108" w:type="dxa"/>
            <w:bottom w:w="0" w:type="dxa"/>
            <w:right w:w="108" w:type="dxa"/>
          </w:tblCellMar>
        </w:tblPrEx>
        <w:tc>
          <w:tcPr>
            <w:tcW w:w="587" w:type="dxa"/>
            <w:shd w:val="clear" w:color="auto" w:fill="EEEEEE"/>
          </w:tcPr>
          <w:p w14:paraId="7DE28D61">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782" w:type="dxa"/>
            <w:shd w:val="clear" w:color="auto" w:fill="EEEEEE"/>
          </w:tcPr>
          <w:p w14:paraId="7756B327">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5283" w:type="dxa"/>
            <w:shd w:val="clear" w:color="auto" w:fill="EEEEEE"/>
          </w:tcPr>
          <w:p w14:paraId="5423D5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1620" w:type="dxa"/>
            <w:shd w:val="clear" w:color="auto" w:fill="EEEEEE"/>
          </w:tcPr>
          <w:p w14:paraId="460FB29C">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3</w:t>
            </w:r>
          </w:p>
        </w:tc>
        <w:tc>
          <w:tcPr>
            <w:tcW w:w="5218" w:type="dxa"/>
            <w:shd w:val="clear" w:color="auto" w:fill="EEEEEE"/>
          </w:tcPr>
          <w:p w14:paraId="10E9654B">
            <w:pPr>
              <w:rPr>
                <w:rFonts w:eastAsia="Times New Roman"/>
                <w:sz w:val="18"/>
                <w:szCs w:val="18"/>
                <w:lang w:val="en-GB" w:eastAsia="en-GB"/>
              </w:rPr>
            </w:pPr>
            <w:r>
              <w:rPr>
                <w:rFonts w:hint="eastAsia"/>
                <w:color w:val="000000" w:themeColor="text1"/>
                <w:sz w:val="18"/>
                <w:szCs w:val="18"/>
                <w:highlight w:val="none"/>
                <w14:textFill>
                  <w14:solidFill>
                    <w14:schemeClr w14:val="tx1"/>
                  </w14:solidFill>
                </w14:textFill>
              </w:rPr>
              <w:t>Liver is an important immune organ of the body.Cirrhosis is commonly associated with immune alterations, known as cirrhosis-related immune dysfunction (CAID), which include impaired neutrophil phagocytosis function, reduced natural killer cell activity,  expansion of TNF-producing monocytes, and elevated levels of circulating proinflammatory cytokines</w:t>
            </w:r>
            <w:r>
              <w:rPr>
                <w:rFonts w:hint="eastAsia"/>
                <w:color w:val="000000" w:themeColor="text1"/>
                <w:sz w:val="18"/>
                <w:szCs w:val="18"/>
                <w:highlight w:val="none"/>
                <w:vertAlign w:val="superscript"/>
                <w14:textFill>
                  <w14:solidFill>
                    <w14:schemeClr w14:val="tx1"/>
                  </w14:solidFill>
                </w14:textFill>
              </w:rPr>
              <w:t>[8]</w:t>
            </w:r>
            <w:r>
              <w:rPr>
                <w:rFonts w:hint="eastAsia"/>
                <w:color w:val="000000" w:themeColor="text1"/>
                <w:sz w:val="18"/>
                <w:szCs w:val="18"/>
                <w:highlight w:val="none"/>
                <w14:textFill>
                  <w14:solidFill>
                    <w14:schemeClr w14:val="tx1"/>
                  </w14:solidFill>
                </w14:textFill>
              </w:rPr>
              <w:t>.The use of genetic variants strongly associated with exposure factors as instrumental variables(IVs) in MR study allows for  inference of causal effects between exposure factors and outcomes,resembling randomized controlled study (RCT)</w:t>
            </w:r>
            <w:r>
              <w:rPr>
                <w:rFonts w:hint="eastAsia" w:eastAsia="宋体"/>
                <w:color w:val="000000" w:themeColor="text1"/>
                <w:sz w:val="18"/>
                <w:szCs w:val="18"/>
                <w:highlight w:val="none"/>
                <w:lang w:val="en-US" w:eastAsia="zh-CN"/>
                <w14:textFill>
                  <w14:solidFill>
                    <w14:schemeClr w14:val="tx1"/>
                  </w14:solidFill>
                </w14:textFill>
              </w:rPr>
              <w:t>.</w:t>
            </w:r>
            <w:r>
              <w:rPr>
                <w:rFonts w:hint="eastAsia"/>
                <w:color w:val="000000" w:themeColor="text1"/>
                <w:sz w:val="18"/>
                <w:szCs w:val="18"/>
                <w:highlight w:val="none"/>
                <w14:textFill>
                  <w14:solidFill>
                    <w14:schemeClr w14:val="tx1"/>
                  </w14:solidFill>
                </w14:textFill>
              </w:rPr>
              <w:t xml:space="preserve"> This design effectively attenuates the influence of confounding variables on the analysis and eliminates concerns regarding reverse causality</w:t>
            </w:r>
            <w:r>
              <w:rPr>
                <w:rFonts w:hint="eastAsia"/>
                <w:color w:val="000000" w:themeColor="text1"/>
                <w:sz w:val="18"/>
                <w:szCs w:val="18"/>
                <w:highlight w:val="none"/>
                <w:vertAlign w:val="superscript"/>
                <w14:textFill>
                  <w14:solidFill>
                    <w14:schemeClr w14:val="tx1"/>
                  </w14:solidFill>
                </w14:textFill>
              </w:rPr>
              <w:t>[12]</w:t>
            </w:r>
            <w:r>
              <w:rPr>
                <w:rFonts w:hint="eastAsia"/>
                <w:color w:val="000000" w:themeColor="text1"/>
                <w:sz w:val="18"/>
                <w:szCs w:val="18"/>
                <w:highlight w:val="none"/>
                <w14:textFill>
                  <w14:solidFill>
                    <w14:schemeClr w14:val="tx1"/>
                  </w14:solidFill>
                </w14:textFill>
              </w:rPr>
              <w:t>.</w:t>
            </w:r>
          </w:p>
        </w:tc>
      </w:tr>
      <w:tr w14:paraId="7907A3D3">
        <w:tblPrEx>
          <w:tblCellMar>
            <w:top w:w="0" w:type="dxa"/>
            <w:left w:w="108" w:type="dxa"/>
            <w:bottom w:w="0" w:type="dxa"/>
            <w:right w:w="108" w:type="dxa"/>
          </w:tblCellMar>
        </w:tblPrEx>
        <w:tc>
          <w:tcPr>
            <w:tcW w:w="587" w:type="dxa"/>
            <w:tcBorders>
              <w:bottom w:val="single" w:color="7F7F7F" w:sz="6" w:space="0"/>
            </w:tcBorders>
            <w:shd w:val="clear" w:color="auto" w:fill="auto"/>
          </w:tcPr>
          <w:p w14:paraId="4F63B03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782" w:type="dxa"/>
            <w:tcBorders>
              <w:bottom w:val="single" w:color="7F7F7F" w:sz="6" w:space="0"/>
            </w:tcBorders>
            <w:shd w:val="clear" w:color="auto" w:fill="auto"/>
          </w:tcPr>
          <w:p w14:paraId="3E6B9EE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5283" w:type="dxa"/>
            <w:tcBorders>
              <w:bottom w:val="single" w:color="7F7F7F" w:sz="6" w:space="0"/>
            </w:tcBorders>
            <w:shd w:val="clear" w:color="auto" w:fill="auto"/>
          </w:tcPr>
          <w:p w14:paraId="41BC8A0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1620" w:type="dxa"/>
            <w:tcBorders>
              <w:bottom w:val="single" w:color="7F7F7F" w:sz="6" w:space="0"/>
            </w:tcBorders>
          </w:tcPr>
          <w:p w14:paraId="2294F6C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3</w:t>
            </w:r>
          </w:p>
        </w:tc>
        <w:tc>
          <w:tcPr>
            <w:tcW w:w="5218" w:type="dxa"/>
            <w:tcBorders>
              <w:bottom w:val="single" w:color="7F7F7F" w:sz="6" w:space="0"/>
            </w:tcBorders>
          </w:tcPr>
          <w:p w14:paraId="19FBAF77">
            <w:pPr>
              <w:spacing w:before="96" w:beforeLines="40" w:after="96" w:afterLines="40" w:line="24" w:lineRule="atLeast"/>
              <w:rPr>
                <w:rFonts w:hint="eastAsia"/>
                <w:color w:val="000000" w:themeColor="text1"/>
                <w:sz w:val="18"/>
                <w:szCs w:val="18"/>
                <w:highlight w:val="none"/>
                <w:lang w:val="en-US" w:eastAsia="zh-CN"/>
                <w14:textFill>
                  <w14:solidFill>
                    <w14:schemeClr w14:val="tx1"/>
                  </w14:solidFill>
                </w14:textFill>
              </w:rPr>
            </w:pPr>
            <w:r>
              <w:rPr>
                <w:rFonts w:hint="eastAsia" w:eastAsia="宋体"/>
                <w:color w:val="000000" w:themeColor="text1"/>
                <w:sz w:val="18"/>
                <w:szCs w:val="18"/>
                <w:highlight w:val="none"/>
                <w:lang w:val="en-US" w:eastAsia="zh-CN"/>
                <w14:textFill>
                  <w14:solidFill>
                    <w14:schemeClr w14:val="tx1"/>
                  </w14:solidFill>
                </w14:textFill>
              </w:rPr>
              <w:t>T</w:t>
            </w:r>
            <w:r>
              <w:rPr>
                <w:rFonts w:hint="eastAsia"/>
                <w:color w:val="000000" w:themeColor="text1"/>
                <w:sz w:val="18"/>
                <w:szCs w:val="18"/>
                <w:highlight w:val="none"/>
                <w14:textFill>
                  <w14:solidFill>
                    <w14:schemeClr w14:val="tx1"/>
                  </w14:solidFill>
                </w14:textFill>
              </w:rPr>
              <w:t>he MR study, in contrast to traditional observational studies, follows the principles of Mendel's second law by employing random assignment processes and prioritizing genetic mutations preceding disease phenotypes. This design effectively attenuates the influence of confounding variables on the analysis and eliminates concerns regarding reverse causali</w:t>
            </w:r>
            <w:r>
              <w:rPr>
                <w:rFonts w:hint="eastAsia"/>
                <w:color w:val="000000" w:themeColor="text1"/>
                <w:sz w:val="18"/>
                <w:szCs w:val="18"/>
                <w:highlight w:val="none"/>
                <w:vertAlign w:val="baseline"/>
                <w14:textFill>
                  <w14:solidFill>
                    <w14:schemeClr w14:val="tx1"/>
                  </w14:solidFill>
                </w14:textFill>
              </w:rPr>
              <w:t>ty</w:t>
            </w:r>
            <w:r>
              <w:rPr>
                <w:rFonts w:hint="eastAsia"/>
                <w:color w:val="000000" w:themeColor="text1"/>
                <w:sz w:val="18"/>
                <w:szCs w:val="18"/>
                <w:highlight w:val="none"/>
                <w:vertAlign w:val="superscript"/>
                <w14:textFill>
                  <w14:solidFill>
                    <w14:schemeClr w14:val="tx1"/>
                  </w14:solidFill>
                </w14:textFill>
              </w:rPr>
              <w:fldChar w:fldCharType="begin"/>
            </w:r>
            <w:r>
              <w:rPr>
                <w:rFonts w:hint="eastAsia"/>
                <w:color w:val="000000" w:themeColor="text1"/>
                <w:sz w:val="18"/>
                <w:szCs w:val="18"/>
                <w:highlight w:val="none"/>
                <w:vertAlign w:val="superscript"/>
                <w14:textFill>
                  <w14:solidFill>
                    <w14:schemeClr w14:val="tx1"/>
                  </w14:solidFill>
                </w14:textFill>
              </w:rPr>
              <w:instrText xml:space="preserve"> ADDIN EN.CITE </w:instrText>
            </w:r>
            <w:r>
              <w:rPr>
                <w:rFonts w:hint="eastAsia"/>
                <w:color w:val="000000" w:themeColor="text1"/>
                <w:sz w:val="18"/>
                <w:szCs w:val="18"/>
                <w:highlight w:val="none"/>
                <w:vertAlign w:val="superscript"/>
                <w14:textFill>
                  <w14:solidFill>
                    <w14:schemeClr w14:val="tx1"/>
                  </w14:solidFill>
                </w14:textFill>
              </w:rPr>
              <w:fldChar w:fldCharType="begin">
                <w:fldData xml:space="preserve">PEVuZE5vdGU+PENpdGU+PEF1dGhvcj5IYW88L0F1dGhvcj48WWVhcj4yMDI0PC9ZZWFyPjxSZWNO
dW0+Mzg2PC9SZWNOdW0+PERpc3BsYXlUZXh0PlsxMl08L0Rpc3BsYXlUZXh0PjxyZWNvcmQ+PHJl
Yy1udW1iZXI+Mzg2PC9yZWMtbnVtYmVyPjxmb3JlaWduLWtleXM+PGtleSBhcHA9IkVOIiBkYi1p
ZD0ieHh2OWVyMDJuOXhyZW1leHJ0MDVyZXB6dGR2cnh4eHc1dGRzIiB0aW1lc3RhbXA9IjE3MjQx
NjQ4NzgiPjM4Njwva2V5PjwvZm9yZWlnbi1rZXlzPjxyZWYtdHlwZSBuYW1lPSJKb3VybmFsIEFy
dGljbGUiPjE3PC9yZWYtdHlwZT48Y29udHJpYnV0b3JzPjxhdXRob3JzPjxhdXRob3I+SGFvLCBY
LjwvYXV0aG9yPjxhdXRob3I+UmVuLCBDLjwvYXV0aG9yPjxhdXRob3I+WmhvdSwgSC48L2F1dGhv
cj48YXV0aG9yPkxpLCBNLjwvYXV0aG9yPjxhdXRob3I+WmhhbmcsIEguPC9hdXRob3I+PGF1dGhv
cj5MaXUsIFguPC9hdXRob3I+PC9hdXRob3JzPjwvY29udHJpYnV0b3JzPjxhdXRoLWFkZHJlc3M+
RGVwYXJ0bWVudCBvZiBVcm9sb2d5LCBUaWFuamluIE1lZGljYWwgVW5pdmVyc2l0eSBHZW5lcmFs
IEhvc3BpdGFsLCBUaWFuamluLCBDaGluYS48L2F1dGgtYWRkcmVzcz48dGl0bGVzPjx0aXRsZT5B
c3NvY2lhdGlvbiBiZXR3ZWVuIGNpcmN1bGF0aW5nIGltbXVuZSBjZWxscyBhbmQgdGhlIHJpc2sg
b2YgcHJvc3RhdGUgY2FuY2VyOiBhIE1lbmRlbGlhbiByYW5kb21pemF0aW9uIHN0dWR5PC90aXRs
ZT48c2Vjb25kYXJ5LXRpdGxlPkZyb250IEVuZG9jcmlub2wgKExhdXNhbm5lKTwvc2Vjb25kYXJ5
LXRpdGxlPjxhbHQtdGl0bGU+RnJvbnRpZXJzIGluIGVuZG9jcmlub2xvZ3k8L2FsdC10aXRsZT48
L3RpdGxlcz48cGVyaW9kaWNhbD48ZnVsbC10aXRsZT5Gcm9udCBFbmRvY3Jpbm9sIChMYXVzYW5u
ZSk8L2Z1bGwtdGl0bGU+PGFiYnItMT5Gcm9udGllcnMgaW4gZW5kb2NyaW5vbG9neTwvYWJici0x
PjwvcGVyaW9kaWNhbD48YWx0LXBlcmlvZGljYWw+PGZ1bGwtdGl0bGU+RnJvbnQgRW5kb2NyaW5v
bCAoTGF1c2FubmUpPC9mdWxsLXRpdGxlPjxhYmJyLTE+RnJvbnRpZXJzIGluIGVuZG9jcmlub2xv
Z3k8L2FiYnItMT48L2FsdC1wZXJpb2RpY2FsPjxwYWdlcz4xMzU4NDE2PC9wYWdlcz48dm9sdW1l
PjE1PC92b2x1bWU+PGVkaXRpb24+MjAyNC8wMi8yNjwvZWRpdGlvbj48a2V5d29yZHM+PGtleXdv
cmQ+TWFsZTwva2V5d29yZD48a2V5d29yZD5IdW1hbnM8L2tleXdvcmQ+PGtleXdvcmQ+Kk1lbmRl
bGlhbiBSYW5kb21pemF0aW9uIEFuYWx5c2lzPC9rZXl3b3JkPjxrZXl3b3JkPipQcm9zdGF0aWMg
TmVvcGxhc21zL2dlbmV0aWNzPC9rZXl3b3JkPjxrZXl3b3JkPkItTHltcGhvY3l0ZXM8L2tleXdv
cmQ+PGtleXdvcmQ+RGF0YWJhc2VzLCBGYWN0dWFsPC9rZXl3b3JkPjxrZXl3b3JkPkhMQS1EUiBB
bnRpZ2Vuczwva2V5d29yZD48a2V5d29yZD5NZW5kZWxpYW4gcmFuZG9taXphdGlvbiBzdHVkeTwv
a2V5d29yZD48a2V5d29yZD5jYXVzYWxpdHk8L2tleXdvcmQ+PGtleXdvcmQ+aW1tdW5lIGNlbGxz
PC9rZXl3b3JkPjxrZXl3b3JkPnByb3N0YXRlIGNhbmNlcjwva2V5d29yZD48a2V5d29yZD5yZXZl
cnNlIGNhdXNhbGl0eTwva2V5d29yZD48a2V5d29yZD5jb21tZXJjaWFsIG9yIGZpbmFuY2lhbCBy
ZWxhdGlvbnNoaXBzIHRoYXQgY291bGQgYmUgY29uc3RydWVkIGFzIGEgcG90ZW50aWFsPC9rZXl3
b3JkPjxrZXl3b3JkPmNvbmZsaWN0IG9mIGludGVyZXN0Ljwva2V5d29yZD48L2tleXdvcmRzPjxk
YXRlcz48eWVhcj4yMDI0PC95ZWFyPjwvZGF0ZXM+PGlzYm4+MTY2NC0yMzkyIChQcmludCkmI3hE
OzE2NjQtMjM5MjwvaXNibj48YWNjZXNzaW9uLW51bT4zODQwNTE1NzwvYWNjZXNzaW9uLW51bT48
dXJscz48L3VybHM+PGN1c3RvbTI+UE1DMTA4ODQyODA8L2N1c3RvbTI+PGVsZWN0cm9uaWMtcmVz
b3VyY2UtbnVtPjEwLjMzODkvZmVuZG8uMjAyNC4xMzU4NDE2PC9lbGVjdHJvbmljLXJlc291cmNl
LW51bT48cmVtb3RlLWRhdGFiYXNlLXByb3ZpZGVyPk5MTTwvcmVtb3RlLWRhdGFiYXNlLXByb3Zp
ZGVyPjxsYW5ndWFnZT5lbmc8L2xhbmd1YWdlPjwvcmVjb3JkPjwvQ2l0ZT48L0VuZE5vdGU+
</w:fldData>
              </w:fldChar>
            </w:r>
            <w:r>
              <w:rPr>
                <w:rFonts w:hint="eastAsia"/>
                <w:color w:val="000000" w:themeColor="text1"/>
                <w:sz w:val="18"/>
                <w:szCs w:val="18"/>
                <w:highlight w:val="none"/>
                <w:vertAlign w:val="superscript"/>
                <w14:textFill>
                  <w14:solidFill>
                    <w14:schemeClr w14:val="tx1"/>
                  </w14:solidFill>
                </w14:textFill>
              </w:rPr>
              <w:instrText xml:space="preserve"> ADDIN EN.CITE.DATA </w:instrText>
            </w:r>
            <w:r>
              <w:rPr>
                <w:rFonts w:hint="eastAsia"/>
                <w:color w:val="000000" w:themeColor="text1"/>
                <w:sz w:val="18"/>
                <w:szCs w:val="18"/>
                <w:highlight w:val="none"/>
                <w:vertAlign w:val="superscript"/>
                <w14:textFill>
                  <w14:solidFill>
                    <w14:schemeClr w14:val="tx1"/>
                  </w14:solidFill>
                </w14:textFill>
              </w:rPr>
              <w:fldChar w:fldCharType="separate"/>
            </w:r>
            <w:r>
              <w:rPr>
                <w:rFonts w:hint="eastAsia"/>
                <w:color w:val="000000" w:themeColor="text1"/>
                <w:sz w:val="18"/>
                <w:szCs w:val="18"/>
                <w:highlight w:val="none"/>
                <w:vertAlign w:val="superscript"/>
                <w14:textFill>
                  <w14:solidFill>
                    <w14:schemeClr w14:val="tx1"/>
                  </w14:solidFill>
                </w14:textFill>
              </w:rPr>
              <w:fldChar w:fldCharType="end"/>
            </w:r>
            <w:r>
              <w:rPr>
                <w:rFonts w:hint="eastAsia"/>
                <w:color w:val="000000" w:themeColor="text1"/>
                <w:sz w:val="18"/>
                <w:szCs w:val="18"/>
                <w:highlight w:val="none"/>
                <w:vertAlign w:val="superscript"/>
                <w14:textFill>
                  <w14:solidFill>
                    <w14:schemeClr w14:val="tx1"/>
                  </w14:solidFill>
                </w14:textFill>
              </w:rPr>
              <w:fldChar w:fldCharType="separate"/>
            </w:r>
            <w:r>
              <w:rPr>
                <w:rFonts w:hint="eastAsia"/>
                <w:color w:val="000000" w:themeColor="text1"/>
                <w:sz w:val="18"/>
                <w:szCs w:val="18"/>
                <w:highlight w:val="none"/>
                <w:vertAlign w:val="superscript"/>
                <w14:textFill>
                  <w14:solidFill>
                    <w14:schemeClr w14:val="tx1"/>
                  </w14:solidFill>
                </w14:textFill>
              </w:rPr>
              <w:t>[12]</w:t>
            </w:r>
            <w:r>
              <w:rPr>
                <w:rFonts w:hint="eastAsia"/>
                <w:color w:val="000000" w:themeColor="text1"/>
                <w:sz w:val="18"/>
                <w:szCs w:val="18"/>
                <w:highlight w:val="none"/>
                <w:vertAlign w:val="superscript"/>
                <w14:textFill>
                  <w14:solidFill>
                    <w14:schemeClr w14:val="tx1"/>
                  </w14:solidFill>
                </w14:textFill>
              </w:rPr>
              <w:fldChar w:fldCharType="end"/>
            </w:r>
            <w:r>
              <w:rPr>
                <w:rFonts w:hint="eastAsia"/>
                <w:color w:val="000000" w:themeColor="text1"/>
                <w:sz w:val="18"/>
                <w:szCs w:val="18"/>
                <w:highlight w:val="none"/>
                <w:lang w:val="en-US" w:eastAsia="zh-CN"/>
                <w14:textFill>
                  <w14:solidFill>
                    <w14:schemeClr w14:val="tx1"/>
                  </w14:solidFill>
                </w14:textFill>
              </w:rPr>
              <w:t>.</w:t>
            </w:r>
          </w:p>
          <w:p w14:paraId="220170EB">
            <w:pPr>
              <w:spacing w:before="96" w:beforeLines="40" w:after="96" w:afterLines="40" w:line="24" w:lineRule="atLeast"/>
              <w:rPr>
                <w:rFonts w:hint="eastAsia"/>
                <w:color w:val="000000" w:themeColor="text1"/>
                <w:sz w:val="18"/>
                <w:szCs w:val="18"/>
                <w:highlight w:val="none"/>
                <w:lang w:val="en-GB" w:eastAsia="en-GB"/>
                <w14:textFill>
                  <w14:solidFill>
                    <w14:schemeClr w14:val="tx1"/>
                  </w14:solidFill>
                </w14:textFill>
              </w:rPr>
            </w:pPr>
            <w:r>
              <w:rPr>
                <w:rFonts w:hint="eastAsia"/>
                <w:color w:val="000000" w:themeColor="text1"/>
                <w:sz w:val="18"/>
                <w:szCs w:val="18"/>
                <w:highlight w:val="none"/>
                <w:lang w:val="en-GB" w:eastAsia="en-GB"/>
                <w14:textFill>
                  <w14:solidFill>
                    <w14:schemeClr w14:val="tx1"/>
                  </w14:solidFill>
                </w14:textFill>
              </w:rPr>
              <w:t>The objective of MR statistical analysis is to yield dependable results and investigate the causal relationship between immunophenotypes and cirrhosis</w:t>
            </w:r>
          </w:p>
        </w:tc>
      </w:tr>
      <w:tr w14:paraId="59599383">
        <w:tblPrEx>
          <w:tblCellMar>
            <w:top w:w="0" w:type="dxa"/>
            <w:left w:w="108" w:type="dxa"/>
            <w:bottom w:w="0" w:type="dxa"/>
            <w:right w:w="108" w:type="dxa"/>
          </w:tblCellMar>
        </w:tblPrEx>
        <w:tc>
          <w:tcPr>
            <w:tcW w:w="587" w:type="dxa"/>
            <w:tcBorders>
              <w:top w:val="single" w:color="7F7F7F" w:sz="6" w:space="0"/>
            </w:tcBorders>
            <w:shd w:val="clear" w:color="auto" w:fill="EEEEEE"/>
          </w:tcPr>
          <w:p w14:paraId="3524D6D4">
            <w:pPr>
              <w:spacing w:before="96" w:beforeLines="40" w:after="96" w:afterLines="40" w:line="24" w:lineRule="atLeast"/>
              <w:rPr>
                <w:rFonts w:eastAsia="Times New Roman"/>
                <w:b/>
                <w:bCs/>
                <w:sz w:val="18"/>
                <w:szCs w:val="18"/>
                <w:lang w:val="en-GB" w:eastAsia="en-GB"/>
              </w:rPr>
            </w:pPr>
          </w:p>
        </w:tc>
        <w:tc>
          <w:tcPr>
            <w:tcW w:w="1782" w:type="dxa"/>
            <w:tcBorders>
              <w:top w:val="single" w:color="7F7F7F" w:sz="6" w:space="0"/>
            </w:tcBorders>
            <w:shd w:val="clear" w:color="auto" w:fill="EEEEEE"/>
          </w:tcPr>
          <w:p w14:paraId="6152628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5283" w:type="dxa"/>
            <w:tcBorders>
              <w:top w:val="single" w:color="7F7F7F" w:sz="6" w:space="0"/>
            </w:tcBorders>
            <w:shd w:val="clear" w:color="auto" w:fill="EEEEEE"/>
          </w:tcPr>
          <w:p w14:paraId="309B8567">
            <w:pPr>
              <w:spacing w:before="96" w:beforeLines="40" w:after="96" w:afterLines="40" w:line="24" w:lineRule="atLeast"/>
              <w:rPr>
                <w:rFonts w:eastAsia="Cambria"/>
                <w:sz w:val="18"/>
                <w:szCs w:val="18"/>
                <w:lang w:val="en-GB" w:eastAsia="en-US"/>
              </w:rPr>
            </w:pPr>
          </w:p>
        </w:tc>
        <w:tc>
          <w:tcPr>
            <w:tcW w:w="1620" w:type="dxa"/>
            <w:tcBorders>
              <w:top w:val="single" w:color="7F7F7F" w:sz="6" w:space="0"/>
            </w:tcBorders>
            <w:shd w:val="clear" w:color="auto" w:fill="EEEEEE"/>
          </w:tcPr>
          <w:p w14:paraId="2FFEF450">
            <w:pPr>
              <w:spacing w:before="96" w:beforeLines="40" w:after="96" w:afterLines="40" w:line="24" w:lineRule="atLeast"/>
              <w:rPr>
                <w:rFonts w:eastAsia="Cambria"/>
                <w:sz w:val="18"/>
                <w:szCs w:val="18"/>
                <w:lang w:val="en-GB" w:eastAsia="en-US"/>
              </w:rPr>
            </w:pPr>
          </w:p>
        </w:tc>
        <w:tc>
          <w:tcPr>
            <w:tcW w:w="5218" w:type="dxa"/>
            <w:tcBorders>
              <w:top w:val="single" w:color="7F7F7F" w:sz="6" w:space="0"/>
            </w:tcBorders>
            <w:shd w:val="clear" w:color="auto" w:fill="EEEEEE"/>
          </w:tcPr>
          <w:p w14:paraId="6CB9315A">
            <w:pPr>
              <w:spacing w:before="96" w:beforeLines="40" w:after="96" w:afterLines="40" w:line="24" w:lineRule="atLeast"/>
              <w:rPr>
                <w:rFonts w:eastAsia="Cambria"/>
                <w:sz w:val="18"/>
                <w:szCs w:val="18"/>
                <w:lang w:val="en-GB" w:eastAsia="en-US"/>
              </w:rPr>
            </w:pPr>
          </w:p>
        </w:tc>
      </w:tr>
      <w:tr w14:paraId="6440155E">
        <w:tblPrEx>
          <w:tblCellMar>
            <w:top w:w="0" w:type="dxa"/>
            <w:left w:w="108" w:type="dxa"/>
            <w:bottom w:w="0" w:type="dxa"/>
            <w:right w:w="108" w:type="dxa"/>
          </w:tblCellMar>
        </w:tblPrEx>
        <w:tc>
          <w:tcPr>
            <w:tcW w:w="587" w:type="dxa"/>
            <w:shd w:val="clear" w:color="auto" w:fill="auto"/>
          </w:tcPr>
          <w:p w14:paraId="5C7CF34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782" w:type="dxa"/>
            <w:shd w:val="clear" w:color="auto" w:fill="auto"/>
          </w:tcPr>
          <w:p w14:paraId="408E2A8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5283" w:type="dxa"/>
            <w:shd w:val="clear" w:color="auto" w:fill="auto"/>
          </w:tcPr>
          <w:p w14:paraId="29029CA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1620" w:type="dxa"/>
          </w:tcPr>
          <w:p w14:paraId="0E181C75">
            <w:pPr>
              <w:spacing w:before="96" w:beforeLines="40" w:after="96" w:afterLines="40" w:line="24" w:lineRule="atLeast"/>
              <w:rPr>
                <w:rFonts w:eastAsia="Times New Roman"/>
                <w:sz w:val="18"/>
                <w:szCs w:val="18"/>
                <w:lang w:val="en-GB" w:eastAsia="en-GB"/>
              </w:rPr>
            </w:pPr>
          </w:p>
        </w:tc>
        <w:tc>
          <w:tcPr>
            <w:tcW w:w="5218" w:type="dxa"/>
          </w:tcPr>
          <w:p w14:paraId="23CE0AC6">
            <w:pPr>
              <w:spacing w:before="96" w:beforeLines="40" w:after="96" w:afterLines="40" w:line="24" w:lineRule="atLeast"/>
              <w:rPr>
                <w:rFonts w:eastAsia="Times New Roman"/>
                <w:sz w:val="18"/>
                <w:szCs w:val="18"/>
                <w:lang w:val="en-GB" w:eastAsia="en-GB"/>
              </w:rPr>
            </w:pPr>
          </w:p>
        </w:tc>
      </w:tr>
      <w:tr w14:paraId="47D5AE21">
        <w:tblPrEx>
          <w:tblCellMar>
            <w:top w:w="0" w:type="dxa"/>
            <w:left w:w="108" w:type="dxa"/>
            <w:bottom w:w="0" w:type="dxa"/>
            <w:right w:w="108" w:type="dxa"/>
          </w:tblCellMar>
        </w:tblPrEx>
        <w:tc>
          <w:tcPr>
            <w:tcW w:w="587" w:type="dxa"/>
            <w:shd w:val="clear" w:color="auto" w:fill="EEEEEE"/>
          </w:tcPr>
          <w:p w14:paraId="0980B688">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29E72AC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EEEEEE"/>
          </w:tcPr>
          <w:p w14:paraId="246167BE">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1620" w:type="dxa"/>
            <w:shd w:val="clear" w:color="auto" w:fill="EEEEEE"/>
          </w:tcPr>
          <w:p w14:paraId="048ED5CF">
            <w:pPr>
              <w:spacing w:before="96" w:beforeLines="40" w:after="96" w:afterLines="40" w:line="24" w:lineRule="atLeast"/>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4</w:t>
            </w:r>
          </w:p>
        </w:tc>
        <w:tc>
          <w:tcPr>
            <w:tcW w:w="5218" w:type="dxa"/>
            <w:shd w:val="clear" w:color="auto" w:fill="EEEEEE"/>
          </w:tcPr>
          <w:p w14:paraId="33F4171D">
            <w:pPr>
              <w:spacing w:before="96" w:beforeLines="40" w:after="96" w:afterLines="40" w:line="24" w:lineRule="atLeast"/>
              <w:rPr>
                <w:rFonts w:hint="default" w:eastAsia="宋体"/>
                <w:sz w:val="18"/>
                <w:szCs w:val="18"/>
                <w:shd w:val="clear" w:color="auto" w:fill="FFFFFF"/>
                <w:lang w:val="en-US" w:eastAsia="zh-CN"/>
              </w:rPr>
            </w:pPr>
            <w:r>
              <w:rPr>
                <w:rFonts w:hint="eastAsia" w:eastAsia="Times New Roman"/>
                <w:sz w:val="18"/>
                <w:szCs w:val="18"/>
                <w:shd w:val="clear" w:color="auto" w:fill="FFFFFF"/>
                <w:lang w:val="en-GB" w:eastAsia="en-GB"/>
              </w:rPr>
              <w:t xml:space="preserve">The data regarding cirrhosis in the </w:t>
            </w:r>
            <w:r>
              <w:rPr>
                <w:rFonts w:hint="eastAsia"/>
                <w:sz w:val="18"/>
                <w:szCs w:val="18"/>
                <w:highlight w:val="none"/>
              </w:rPr>
              <w:t>Genome-wide association study</w:t>
            </w:r>
            <w:r>
              <w:rPr>
                <w:rFonts w:hint="eastAsia"/>
                <w:sz w:val="18"/>
                <w:szCs w:val="18"/>
                <w:highlight w:val="none"/>
                <w:lang w:val="en-US" w:eastAsia="zh-CN"/>
              </w:rPr>
              <w:t>(</w:t>
            </w:r>
            <w:r>
              <w:rPr>
                <w:sz w:val="18"/>
                <w:szCs w:val="18"/>
                <w:highlight w:val="none"/>
              </w:rPr>
              <w:t>GWAS</w:t>
            </w:r>
            <w:r>
              <w:rPr>
                <w:rFonts w:hint="eastAsia"/>
                <w:sz w:val="18"/>
                <w:szCs w:val="18"/>
                <w:highlight w:val="none"/>
                <w:lang w:val="en-US" w:eastAsia="zh-CN"/>
              </w:rPr>
              <w:t>)</w:t>
            </w:r>
            <w:r>
              <w:rPr>
                <w:rFonts w:hint="eastAsia" w:eastAsia="Times New Roman"/>
                <w:sz w:val="18"/>
                <w:szCs w:val="18"/>
                <w:shd w:val="clear" w:color="auto" w:fill="FFFFFF"/>
                <w:lang w:val="en-GB" w:eastAsia="en-GB"/>
              </w:rPr>
              <w:t xml:space="preserve">statistics was acquired from </w:t>
            </w:r>
            <w:bookmarkStart w:id="6" w:name="OLE_LINK91"/>
            <w:r>
              <w:rPr>
                <w:rFonts w:hint="eastAsia" w:eastAsia="Times New Roman"/>
                <w:sz w:val="18"/>
                <w:szCs w:val="18"/>
                <w:shd w:val="clear" w:color="auto" w:fill="FFFFFF"/>
                <w:lang w:val="en-GB" w:eastAsia="en-GB"/>
              </w:rPr>
              <w:t>th</w:t>
            </w:r>
            <w:r>
              <w:rPr>
                <w:rFonts w:hint="eastAsia" w:eastAsia="宋体"/>
                <w:sz w:val="18"/>
                <w:szCs w:val="18"/>
                <w:shd w:val="clear" w:color="auto" w:fill="FFFFFF"/>
                <w:lang w:val="en-US" w:eastAsia="zh-CN"/>
              </w:rPr>
              <w:t>e</w:t>
            </w:r>
            <w:r>
              <w:rPr>
                <w:rFonts w:hint="eastAsia" w:eastAsia="Times New Roman"/>
                <w:sz w:val="18"/>
                <w:szCs w:val="18"/>
                <w:shd w:val="clear" w:color="auto" w:fill="FFFFFF"/>
                <w:lang w:val="en-GB" w:eastAsia="en-GB"/>
              </w:rPr>
              <w:t xml:space="preserve"> FinnGen R10 database</w:t>
            </w:r>
            <w:bookmarkEnd w:id="6"/>
            <w:r>
              <w:rPr>
                <w:rFonts w:hint="eastAsia" w:eastAsia="宋体"/>
                <w:sz w:val="18"/>
                <w:szCs w:val="18"/>
                <w:shd w:val="clear" w:color="auto" w:fill="FFFFFF"/>
                <w:lang w:val="en-US" w:eastAsia="zh-CN"/>
              </w:rPr>
              <w:t xml:space="preserve">.And we gathered </w:t>
            </w:r>
            <w:r>
              <w:rPr>
                <w:sz w:val="18"/>
                <w:szCs w:val="18"/>
                <w:highlight w:val="none"/>
              </w:rPr>
              <w:t>GWAS</w:t>
            </w:r>
            <w:r>
              <w:rPr>
                <w:rFonts w:hint="eastAsia" w:eastAsia="宋体"/>
                <w:sz w:val="18"/>
                <w:szCs w:val="18"/>
                <w:shd w:val="clear" w:color="auto" w:fill="FFFFFF"/>
                <w:lang w:val="en-US" w:eastAsia="zh-CN"/>
              </w:rPr>
              <w:t xml:space="preserve"> summary statistics for SNP-related immunophenotypes  </w:t>
            </w:r>
            <w:bookmarkStart w:id="7" w:name="OLE_LINK92"/>
            <w:r>
              <w:rPr>
                <w:rFonts w:hint="eastAsia" w:eastAsia="宋体"/>
                <w:sz w:val="18"/>
                <w:szCs w:val="18"/>
                <w:shd w:val="clear" w:color="auto" w:fill="FFFFFF"/>
                <w:lang w:val="en-US" w:eastAsia="zh-CN"/>
              </w:rPr>
              <w:t>from the GWAS Catalog</w:t>
            </w:r>
            <w:bookmarkEnd w:id="7"/>
            <w:r>
              <w:rPr>
                <w:rFonts w:hint="eastAsia" w:eastAsia="宋体"/>
                <w:sz w:val="18"/>
                <w:szCs w:val="18"/>
                <w:shd w:val="clear" w:color="auto" w:fill="FFFFFF"/>
                <w:lang w:val="en-US" w:eastAsia="zh-CN"/>
              </w:rPr>
              <w:t>.These data included time of sample collection, study site, study subjects, etc.</w:t>
            </w:r>
          </w:p>
        </w:tc>
      </w:tr>
      <w:tr w14:paraId="376A6F82">
        <w:tblPrEx>
          <w:tblCellMar>
            <w:top w:w="0" w:type="dxa"/>
            <w:left w:w="108" w:type="dxa"/>
            <w:bottom w:w="0" w:type="dxa"/>
            <w:right w:w="108" w:type="dxa"/>
          </w:tblCellMar>
        </w:tblPrEx>
        <w:tc>
          <w:tcPr>
            <w:tcW w:w="587" w:type="dxa"/>
            <w:shd w:val="clear" w:color="auto" w:fill="auto"/>
          </w:tcPr>
          <w:p w14:paraId="6B85F41D">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0CF2EB5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auto"/>
          </w:tcPr>
          <w:p w14:paraId="5E3BCE69">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1620" w:type="dxa"/>
          </w:tcPr>
          <w:p w14:paraId="29ACC32C">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4</w:t>
            </w:r>
          </w:p>
        </w:tc>
        <w:tc>
          <w:tcPr>
            <w:tcW w:w="5218" w:type="dxa"/>
          </w:tcPr>
          <w:p w14:paraId="0C2E697B">
            <w:pPr>
              <w:rPr>
                <w:sz w:val="18"/>
                <w:szCs w:val="18"/>
                <w:highlight w:val="none"/>
              </w:rPr>
            </w:pPr>
            <w:r>
              <w:rPr>
                <w:sz w:val="18"/>
                <w:szCs w:val="18"/>
                <w:highlight w:val="none"/>
              </w:rPr>
              <w:t>The single-nucleotide polymorphism</w:t>
            </w:r>
            <w:r>
              <w:rPr>
                <w:rFonts w:hint="eastAsia"/>
                <w:sz w:val="18"/>
                <w:szCs w:val="18"/>
                <w:highlight w:val="none"/>
                <w:lang w:val="en-US" w:eastAsia="zh-CN"/>
              </w:rPr>
              <w:t>s</w:t>
            </w:r>
            <w:r>
              <w:rPr>
                <w:sz w:val="18"/>
                <w:szCs w:val="18"/>
                <w:highlight w:val="none"/>
              </w:rPr>
              <w:t xml:space="preserve"> (SNP</w:t>
            </w:r>
            <w:r>
              <w:rPr>
                <w:rFonts w:hint="eastAsia"/>
                <w:sz w:val="18"/>
                <w:szCs w:val="18"/>
                <w:highlight w:val="none"/>
                <w:lang w:val="en-US" w:eastAsia="zh-CN"/>
              </w:rPr>
              <w:t>s</w:t>
            </w:r>
            <w:r>
              <w:rPr>
                <w:sz w:val="18"/>
                <w:szCs w:val="18"/>
                <w:highlight w:val="none"/>
              </w:rPr>
              <w:t>) associated with</w:t>
            </w:r>
            <w:r>
              <w:rPr>
                <w:rFonts w:hint="eastAsia" w:eastAsia="宋体"/>
                <w:sz w:val="18"/>
                <w:szCs w:val="18"/>
                <w:highlight w:val="none"/>
                <w:lang w:val="en-US" w:eastAsia="zh-CN"/>
              </w:rPr>
              <w:t xml:space="preserve"> liver cirrhosis</w:t>
            </w:r>
            <w:r>
              <w:rPr>
                <w:sz w:val="18"/>
                <w:szCs w:val="18"/>
                <w:highlight w:val="none"/>
              </w:rPr>
              <w:t xml:space="preserve"> used in this study were obtained from the</w:t>
            </w:r>
            <w:r>
              <w:rPr>
                <w:rFonts w:hint="eastAsia"/>
                <w:sz w:val="18"/>
                <w:szCs w:val="18"/>
                <w:highlight w:val="none"/>
                <w:lang w:val="en-US" w:eastAsia="zh-CN"/>
              </w:rPr>
              <w:t xml:space="preserve"> </w:t>
            </w:r>
            <w:bookmarkStart w:id="8" w:name="OLE_LINK2"/>
            <w:r>
              <w:rPr>
                <w:sz w:val="18"/>
                <w:szCs w:val="18"/>
                <w:highlight w:val="none"/>
              </w:rPr>
              <w:t>GWAS</w:t>
            </w:r>
            <w:bookmarkEnd w:id="8"/>
            <w:r>
              <w:rPr>
                <w:sz w:val="18"/>
                <w:szCs w:val="18"/>
                <w:highlight w:val="none"/>
              </w:rPr>
              <w:t xml:space="preserve"> data</w:t>
            </w:r>
            <w:r>
              <w:rPr>
                <w:rFonts w:hint="eastAsia" w:eastAsia="宋体"/>
                <w:sz w:val="18"/>
                <w:szCs w:val="18"/>
                <w:highlight w:val="none"/>
                <w:lang w:val="en-US" w:eastAsia="zh-CN"/>
              </w:rPr>
              <w:t>base</w:t>
            </w:r>
            <w:r>
              <w:rPr>
                <w:sz w:val="18"/>
                <w:szCs w:val="18"/>
                <w:highlight w:val="none"/>
              </w:rPr>
              <w:t>. We conducted a systematic search from the GWAS catalogue database with the aim of comprehensively nerfing the relevant data and will eventually assemble a dataset of 731 immune features representing different subsets of human immune cells.</w:t>
            </w:r>
          </w:p>
          <w:p w14:paraId="0C3A7DF3">
            <w:pPr>
              <w:rPr>
                <w:rFonts w:eastAsia="Times New Roman"/>
                <w:sz w:val="18"/>
                <w:szCs w:val="18"/>
                <w:shd w:val="clear" w:color="auto" w:fill="FFFFFF"/>
                <w:lang w:val="en-GB" w:eastAsia="en-GB"/>
              </w:rPr>
            </w:pPr>
            <w:r>
              <w:rPr>
                <w:rFonts w:hint="eastAsia" w:eastAsia="宋体"/>
                <w:sz w:val="18"/>
                <w:szCs w:val="18"/>
                <w:highlight w:val="none"/>
                <w:shd w:val="clear" w:color="auto" w:fill="FFFFFF"/>
              </w:rPr>
              <w:t>This analysis</w:t>
            </w:r>
            <w:bookmarkStart w:id="9" w:name="OLE_LINK19"/>
            <w:r>
              <w:rPr>
                <w:rFonts w:hint="eastAsia" w:eastAsia="宋体"/>
                <w:sz w:val="18"/>
                <w:szCs w:val="18"/>
                <w:highlight w:val="none"/>
                <w:shd w:val="clear" w:color="auto" w:fill="FFFFFF"/>
              </w:rPr>
              <w:t xml:space="preserve"> emcompassed 412,181</w:t>
            </w:r>
            <w:r>
              <w:rPr>
                <w:rFonts w:eastAsia="宋体"/>
                <w:sz w:val="18"/>
                <w:szCs w:val="18"/>
                <w:highlight w:val="none"/>
                <w:shd w:val="clear" w:color="auto" w:fill="FFFFFF"/>
              </w:rPr>
              <w:t xml:space="preserve"> individuals </w:t>
            </w:r>
            <w:r>
              <w:rPr>
                <w:rFonts w:hint="eastAsia" w:eastAsia="宋体"/>
                <w:sz w:val="18"/>
                <w:szCs w:val="18"/>
                <w:highlight w:val="none"/>
                <w:shd w:val="clear" w:color="auto" w:fill="FFFFFF"/>
              </w:rPr>
              <w:t xml:space="preserve"> from 4,380 Cirrhosis cases and 407,801 </w:t>
            </w:r>
            <w:r>
              <w:rPr>
                <w:rFonts w:eastAsia="宋体"/>
                <w:sz w:val="18"/>
                <w:szCs w:val="18"/>
                <w:highlight w:val="none"/>
                <w:shd w:val="clear" w:color="auto" w:fill="FFFFFF"/>
              </w:rPr>
              <w:t>controls</w:t>
            </w:r>
            <w:bookmarkEnd w:id="9"/>
            <w:r>
              <w:rPr>
                <w:rFonts w:eastAsia="宋体"/>
                <w:sz w:val="18"/>
                <w:szCs w:val="18"/>
                <w:highlight w:val="none"/>
                <w:shd w:val="clear" w:color="auto" w:fill="FFFFFF"/>
              </w:rPr>
              <w:t xml:space="preserve"> </w:t>
            </w:r>
            <w:r>
              <w:rPr>
                <w:sz w:val="18"/>
                <w:szCs w:val="18"/>
                <w:highlight w:val="none"/>
                <w:shd w:val="clear" w:color="auto" w:fill="FFFFFF"/>
              </w:rPr>
              <w:t>were obtained from the FinnGen database (https://finngen.gitbook.io/documentation/)</w:t>
            </w:r>
            <w:r>
              <w:rPr>
                <w:rFonts w:eastAsia="宋体"/>
                <w:sz w:val="18"/>
                <w:szCs w:val="18"/>
                <w:highlight w:val="none"/>
                <w:shd w:val="clear" w:color="auto" w:fill="FFFFFF"/>
              </w:rPr>
              <w:t xml:space="preserve"> </w:t>
            </w:r>
            <w:r>
              <w:rPr>
                <w:sz w:val="18"/>
                <w:szCs w:val="18"/>
                <w:highlight w:val="none"/>
                <w:shd w:val="clear" w:color="auto" w:fill="FFFFFF"/>
              </w:rPr>
              <w:t>.As this study was based on publicly available pooled data, no additional ethical approval or consent to participate was required.</w:t>
            </w:r>
          </w:p>
        </w:tc>
      </w:tr>
      <w:tr w14:paraId="04B065C7">
        <w:tblPrEx>
          <w:tblCellMar>
            <w:top w:w="0" w:type="dxa"/>
            <w:left w:w="108" w:type="dxa"/>
            <w:bottom w:w="0" w:type="dxa"/>
            <w:right w:w="108" w:type="dxa"/>
          </w:tblCellMar>
        </w:tblPrEx>
        <w:tc>
          <w:tcPr>
            <w:tcW w:w="587" w:type="dxa"/>
            <w:shd w:val="clear" w:color="auto" w:fill="EEEEEE"/>
          </w:tcPr>
          <w:p w14:paraId="09448E25">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260DD29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5283" w:type="dxa"/>
            <w:shd w:val="clear" w:color="auto" w:fill="EEEEEE"/>
          </w:tcPr>
          <w:p w14:paraId="7B54F10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Describe measurement, quality control and </w:t>
            </w:r>
            <w:bookmarkStart w:id="10" w:name="OLE_LINK4"/>
            <w:r>
              <w:rPr>
                <w:rFonts w:eastAsia="Times New Roman"/>
                <w:sz w:val="18"/>
                <w:szCs w:val="18"/>
                <w:lang w:val="en-GB" w:eastAsia="en-GB"/>
              </w:rPr>
              <w:t xml:space="preserve">selection of </w:t>
            </w:r>
            <w:bookmarkStart w:id="11" w:name="OLE_LINK5"/>
            <w:r>
              <w:rPr>
                <w:rFonts w:eastAsia="Times New Roman"/>
                <w:sz w:val="18"/>
                <w:szCs w:val="18"/>
                <w:lang w:val="en-GB" w:eastAsia="en-GB"/>
              </w:rPr>
              <w:t>genetic variants</w:t>
            </w:r>
            <w:bookmarkEnd w:id="10"/>
            <w:bookmarkEnd w:id="11"/>
          </w:p>
        </w:tc>
        <w:tc>
          <w:tcPr>
            <w:tcW w:w="1620" w:type="dxa"/>
            <w:shd w:val="clear" w:color="auto" w:fill="EEEEEE"/>
          </w:tcPr>
          <w:p w14:paraId="2CDB28F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5218" w:type="dxa"/>
            <w:shd w:val="clear" w:color="auto" w:fill="EEEEEE"/>
          </w:tcPr>
          <w:p w14:paraId="26B556E6">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genetic variant</w:t>
            </w:r>
            <w:r>
              <w:rPr>
                <w:rFonts w:hint="eastAsia" w:eastAsia="Times New Roman"/>
                <w:sz w:val="18"/>
                <w:szCs w:val="18"/>
                <w:lang w:val="en-GB" w:eastAsia="en-GB"/>
              </w:rPr>
              <w:t>s in the article are from the GWAS Catalog and FinnGen R10 database, and we report the screening process and criteria for genetic variant instrumental variables in the article, with full details provided in Table 1 in the Supplementary file.</w:t>
            </w:r>
          </w:p>
        </w:tc>
      </w:tr>
      <w:tr w14:paraId="215DDE8E">
        <w:tblPrEx>
          <w:tblCellMar>
            <w:top w:w="0" w:type="dxa"/>
            <w:left w:w="108" w:type="dxa"/>
            <w:bottom w:w="0" w:type="dxa"/>
            <w:right w:w="108" w:type="dxa"/>
          </w:tblCellMar>
        </w:tblPrEx>
        <w:tc>
          <w:tcPr>
            <w:tcW w:w="587" w:type="dxa"/>
            <w:shd w:val="clear" w:color="auto" w:fill="auto"/>
          </w:tcPr>
          <w:p w14:paraId="7E3D460D">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0FB55AD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5283" w:type="dxa"/>
            <w:shd w:val="clear" w:color="auto" w:fill="auto"/>
          </w:tcPr>
          <w:p w14:paraId="3B6B6065">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1620" w:type="dxa"/>
          </w:tcPr>
          <w:p w14:paraId="37FB656C">
            <w:pPr>
              <w:spacing w:before="96" w:beforeLines="40" w:after="96" w:afterLines="40" w:line="24" w:lineRule="atLeast"/>
              <w:textAlignment w:val="baseline"/>
              <w:rPr>
                <w:rFonts w:eastAsia="Times New Roman"/>
                <w:sz w:val="18"/>
                <w:szCs w:val="18"/>
                <w:shd w:val="clear" w:color="auto" w:fill="FFFFFF"/>
                <w:lang w:val="en-GB" w:eastAsia="en-GB"/>
              </w:rPr>
            </w:pPr>
          </w:p>
        </w:tc>
        <w:tc>
          <w:tcPr>
            <w:tcW w:w="5218" w:type="dxa"/>
          </w:tcPr>
          <w:p w14:paraId="18BB4B57">
            <w:pPr>
              <w:spacing w:before="96" w:beforeLines="40" w:after="96" w:afterLines="40" w:line="24" w:lineRule="atLeast"/>
              <w:textAlignment w:val="baseline"/>
              <w:rPr>
                <w:rFonts w:eastAsia="Times New Roman"/>
                <w:sz w:val="18"/>
                <w:szCs w:val="18"/>
                <w:shd w:val="clear" w:color="auto" w:fill="FFFFFF"/>
                <w:lang w:val="en-GB" w:eastAsia="en-GB"/>
              </w:rPr>
            </w:pPr>
          </w:p>
        </w:tc>
      </w:tr>
      <w:tr w14:paraId="69A6C8B1">
        <w:tblPrEx>
          <w:tblCellMar>
            <w:top w:w="0" w:type="dxa"/>
            <w:left w:w="108" w:type="dxa"/>
            <w:bottom w:w="0" w:type="dxa"/>
            <w:right w:w="108" w:type="dxa"/>
          </w:tblCellMar>
        </w:tblPrEx>
        <w:tc>
          <w:tcPr>
            <w:tcW w:w="587" w:type="dxa"/>
            <w:shd w:val="clear" w:color="auto" w:fill="EEEEEE"/>
          </w:tcPr>
          <w:p w14:paraId="292FBB97">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273C46B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5283" w:type="dxa"/>
            <w:shd w:val="clear" w:color="auto" w:fill="EEEEEE"/>
          </w:tcPr>
          <w:p w14:paraId="4E713FBB">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1620" w:type="dxa"/>
            <w:shd w:val="clear" w:color="auto" w:fill="EEEEEE"/>
          </w:tcPr>
          <w:p w14:paraId="2754FA07">
            <w:pPr>
              <w:spacing w:before="96" w:beforeLines="40" w:after="96" w:afterLines="40" w:line="24" w:lineRule="atLeast"/>
              <w:textAlignment w:val="baseline"/>
              <w:rPr>
                <w:rFonts w:hint="default" w:eastAsia="宋体"/>
                <w:sz w:val="18"/>
                <w:szCs w:val="18"/>
                <w:shd w:val="clear" w:color="auto" w:fill="FFFFFF"/>
                <w:lang w:val="en-US" w:eastAsia="zh-CN"/>
              </w:rPr>
            </w:pPr>
            <w:r>
              <w:rPr>
                <w:rFonts w:hint="eastAsia" w:eastAsia="宋体"/>
                <w:sz w:val="18"/>
                <w:szCs w:val="18"/>
                <w:shd w:val="clear" w:color="auto" w:fill="FFFFFF"/>
                <w:lang w:val="en-US" w:eastAsia="zh-CN"/>
              </w:rPr>
              <w:t>5,6</w:t>
            </w:r>
          </w:p>
        </w:tc>
        <w:tc>
          <w:tcPr>
            <w:tcW w:w="5218" w:type="dxa"/>
            <w:shd w:val="clear" w:color="auto" w:fill="EEEEEE"/>
          </w:tcPr>
          <w:p w14:paraId="1A4EB085">
            <w:pPr>
              <w:rPr>
                <w:rFonts w:eastAsia="Times New Roman"/>
                <w:sz w:val="18"/>
                <w:szCs w:val="18"/>
                <w:shd w:val="clear" w:color="auto" w:fill="FFFFFF"/>
                <w:lang w:val="en-GB" w:eastAsia="en-GB"/>
              </w:rPr>
            </w:pPr>
            <w:r>
              <w:rPr>
                <w:rFonts w:hint="eastAsia" w:eastAsia="Times New Roman"/>
                <w:sz w:val="18"/>
                <w:szCs w:val="18"/>
                <w:shd w:val="clear" w:color="auto" w:fill="FFFFFF"/>
                <w:lang w:val="en-GB" w:eastAsia="en-GB"/>
              </w:rPr>
              <w:t>The study utilized publicly available data. Each GWAS study obtained approval from its respective ethics review board</w:t>
            </w:r>
            <w:bookmarkStart w:id="12" w:name="OLE_LINK22"/>
            <w:r>
              <w:rPr>
                <w:rFonts w:hint="eastAsia" w:eastAsia="Times New Roman"/>
                <w:sz w:val="18"/>
                <w:szCs w:val="18"/>
                <w:shd w:val="clear" w:color="auto" w:fill="FFFFFF"/>
                <w:lang w:val="en-GB" w:eastAsia="en-GB"/>
              </w:rPr>
              <w:t xml:space="preserve"> to ensure that informed consent had been acquired from participants, designated caregivers, or legal guardians</w:t>
            </w:r>
            <w:r>
              <w:rPr>
                <w:rFonts w:hint="eastAsia" w:eastAsia="Times New Roman"/>
                <w:sz w:val="18"/>
                <w:szCs w:val="18"/>
                <w:shd w:val="clear" w:color="auto" w:fill="FFFFFF"/>
                <w:lang w:val="en-GB" w:eastAsia="en-GB"/>
              </w:rPr>
              <w:fldChar w:fldCharType="begin"/>
            </w:r>
            <w:r>
              <w:rPr>
                <w:rFonts w:hint="eastAsia" w:eastAsia="Times New Roman"/>
                <w:sz w:val="18"/>
                <w:szCs w:val="18"/>
                <w:shd w:val="clear" w:color="auto" w:fill="FFFFFF"/>
                <w:lang w:val="en-GB" w:eastAsia="en-GB"/>
              </w:rPr>
              <w:instrText xml:space="preserve"> ADDIN EN.CITE </w:instrText>
            </w:r>
            <w:r>
              <w:rPr>
                <w:rFonts w:hint="eastAsia" w:eastAsia="Times New Roman"/>
                <w:sz w:val="18"/>
                <w:szCs w:val="18"/>
                <w:shd w:val="clear" w:color="auto" w:fill="FFFFFF"/>
                <w:lang w:val="en-GB" w:eastAsia="en-GB"/>
              </w:rPr>
              <w:fldChar w:fldCharType="begin">
                <w:fldData xml:space="preserve">PEVuZE5vdGU+PENpdGU+PEF1dGhvcj5XYW5nPC9BdXRob3I+PFllYXI+MjAyNDwvWWVhcj48UmVj
TnVtPjM5OTwvUmVjTnVtPjxEaXNwbGF5VGV4dD5bMTBdPC9EaXNwbGF5VGV4dD48cmVjb3JkPjxy
ZWMtbnVtYmVyPjM5OTwvcmVjLW51bWJlcj48Zm9yZWlnbi1rZXlzPjxrZXkgYXBwPSJFTiIgZGIt
aWQ9Inh4djllcjAybjl4cmVtZXhydDA1cmVwenRkdnJ4eHh3NXRkcyIgdGltZXN0YW1wPSIxNzI0
MTY1Mzc4Ij4zOTk8L2tleT48L2ZvcmVpZ24ta2V5cz48cmVmLXR5cGUgbmFtZT0iSm91cm5hbCBB
cnRpY2xlIj4xNzwvcmVmLXR5cGU+PGNvbnRyaWJ1dG9ycz48YXV0aG9ycz48YXV0aG9yPldhbmcs
IEsuPC9hdXRob3I+PGF1dGhvcj5XYW5nLCBKLjwvYXV0aG9yPjxhdXRob3I+Q2hlbiwgWS48L2F1
dGhvcj48YXV0aG9yPkxvbmcsIEguPC9hdXRob3I+PGF1dGhvcj5QYW4sIFcuPC9hdXRob3I+PGF1
dGhvcj5MaXUsIFkuPC9hdXRob3I+PGF1dGhvcj5YdSwgTS4gWS48L2F1dGhvcj48YXV0aG9yPkd1
bywgUS48L2F1dGhvcj48L2F1dGhvcnM+PC9jb250cmlidXRvcnM+PGF1dGgtYWRkcmVzcz5EZXBh
cnRtZW50IG9mIEdhc3Ryb2VudGVyb2xvZ3ksIFRoZSBGaXJzdCBQZW9wbGUmYW1wOyN4MjAxOTtz
IEhvc3BpdGFsIG9mIFl1bm5hbiBQcm92aW5jZSwgVGhlIEFmZmlsaWF0ZWQgSG9zcGl0YWwgb2Yg
S3VubWluZyBVbml2ZXJzaXR5IG9mIFNjaWVuY2UgYW5kIFRlY2hub2xvZ3ksIEt1bm1pbmcgNjUw
MDMyLCBZdW5uYW4sIENoaW5hLiYjeEQ7TWVkaWNhbCBTY2hvb2wsIEt1bm1pbmcgVW5pdmVyc2l0
eSBvZiBTY2llbmNlIGFuZCBUZWNobm9sb2d5LCBLdW5taW5nIDY1MDUwMCwgWXVubmFuIFByb3Zp
bmNlLCBDaGluYS4mI3hEO0RlcGFydG1lbnQgb2YgQ3JpdGljYWwgQ2FyZSBNZWRpY2luZSwgSmll
eWFuZyBUaGlyZCBQZW9wbGUmYW1wOyN4MjAxOTtzIEhvc3BpdGFsLCBKaWV5YW5nIDUxNTUwMCwg
R3Vhbmdkb25nIFByb3ZpbmNlLCBDaGluYS4mI3hEO1RoZSBGaXJzdCBDbGluaWNhbCBNZWRpY2Fs
IENvbGxlZ2UsIExhbnpob3UgVW5pdmVyc2l0eSwgTGFuemhvdSA3MzAwMDAsIEdhbnN1IFByb3Zp
bmNlLCBDaGluYS4mI3hEO0NhcmRpb2xvZ3kgRGVwYXJ0bWVudCwgR2VyaWF0cmljcyBEZXBhcnRt
ZW50LCBGb3NoYW4gV29tZW4gYW5kIENoaWxkcmVuIEhvc3BpdGFsLCBGb3NoYW4gNTI4MDAwLCBH
dWFuZ2RvbmcsIENoaW5hLiYjeEQ7VW5pdmVyc2l0eSBNdW5pY2gsIE11bmljaCBELTgxMzc3LCBH
ZXJtYW55LiYjeEQ7RGVwYXJ0bWVudCBvZiBHYXN0cm9lbnRlcm9sb2d5LCBTY2hvb2wgb2YgTWVk
aWNpbmUsIFNoYW5naGFpIEVhc3QgSG9zcGl0YWwsIFRvbmdqaSBVbml2ZXJzaXR5LCBTaGFuZ2hh
aSAzMTAxMTUsIENoaW5hLjwvYXV0aC1hZGRyZXNzPjx0aXRsZXM+PHRpdGxlPkNhdXNhbCByZWxh
dGlvbnNoaXAgYmV0d2VlbiBndXQgbWljcm9iaW90YSBhbmQgcmlzayBvZiBlc29waGFnZWFsIGNh
bmNlcjogZXZpZGVuY2UgZnJvbSBNZW5kZWxpYW4gcmFuZG9taXphdGlvbiBzdHVkeTwvdGl0bGU+
PHNlY29uZGFyeS10aXRsZT5BZ2luZyAoQWxiYW55IE5ZKTwvc2Vjb25kYXJ5LXRpdGxlPjxhbHQt
dGl0bGU+QWdpbmc8L2FsdC10aXRsZT48L3RpdGxlcz48cGVyaW9kaWNhbD48ZnVsbC10aXRsZT5B
Z2luZyAoQWxiYW55IE5ZKTwvZnVsbC10aXRsZT48YWJici0xPkFnaW5nPC9hYmJyLTE+PC9wZXJp
b2RpY2FsPjxhbHQtcGVyaW9kaWNhbD48ZnVsbC10aXRsZT5BZ2luZyAoQWxiYW55IE5ZKTwvZnVs
bC10aXRsZT48YWJici0xPkFnaW5nPC9hYmJyLTE+PC9hbHQtcGVyaW9kaWNhbD48cGFnZXM+MzU5
Ni0zNjExPC9wYWdlcz48dm9sdW1lPjE2PC92b2x1bWU+PG51bWJlcj40PC9udW1iZXI+PGVkaXRp
b24+MjAyNC8wMi8xNjwvZWRpdGlvbj48a2V5d29yZHM+PGtleXdvcmQ+SHVtYW5zPC9rZXl3b3Jk
PjxrZXl3b3JkPipHYXN0cm9pbnRlc3RpbmFsIE1pY3JvYmlvbWUvZ2VuZXRpY3M8L2tleXdvcmQ+
PGtleXdvcmQ+R2Vub21lLVdpZGUgQXNzb2NpYXRpb24gU3R1ZHk8L2tleXdvcmQ+PGtleXdvcmQ+
TWVuZGVsaWFuIFJhbmRvbWl6YXRpb24gQW5hbHlzaXM8L2tleXdvcmQ+PGtleXdvcmQ+Kk1pY3Jv
YmlvdGE8L2tleXdvcmQ+PGtleXdvcmQ+KkVzb3BoYWdlYWwgTmVvcGxhc21zL2dlbmV0aWNzPC9r
ZXl3b3JkPjxrZXl3b3JkPmNhdXNhbCBhc3NvY2lhdGlvbjwva2V5d29yZD48a2V5d29yZD5jb21w
cmVoZW5zaXZlIGJpZGlyZWN0aW9uYWwgTWVuZGVsaWFuIHJhbmRvbWl6YXRpb248L2tleXdvcmQ+
PGtleXdvcmQ+ZXNvcGhhZ2VhbCBjYW5jZXI8L2tleXdvcmQ+PGtleXdvcmQ+Z3V0IG1pY3JvYmlv
dGE8L2tleXdvcmQ+PGtleXdvcmQ+YWJzZW5jZSBvZiBhbnkgY29tbWVyY2lhbCBvciBmaW5hbmNp
YWwgcmVsYXRpb25zaGlwcyB0aGF0IGNvdWxkIGJlIGNvbnN0cnVlZCBhcyBhPC9rZXl3b3JkPjxr
ZXl3b3JkPnBvdGVudGlhbCBjb25mbGljdCBvZiBpbnRlcmVzdC48L2tleXdvcmQ+PC9rZXl3b3Jk
cz48ZGF0ZXM+PHllYXI+MjAyNDwveWVhcj48cHViLWRhdGVzPjxkYXRlPkZlYiAxNTwvZGF0ZT48
L3B1Yi1kYXRlcz48L2RhdGVzPjxpc2JuPjE5NDUtNDU4OTwvaXNibj48YWNjZXNzaW9uLW51bT4z
ODM2NDIzNTwvYWNjZXNzaW9uLW51bT48dXJscz48L3VybHM+PGN1c3RvbTI+UE1DMTA5Mjk4MjU8
L2N1c3RvbTI+PGVsZWN0cm9uaWMtcmVzb3VyY2UtbnVtPjEwLjE4NjMyL2FnaW5nLjIwNTU0Nzwv
ZWxlY3Ryb25pYy1yZXNvdXJjZS1udW0+PHJlbW90ZS1kYXRhYmFzZS1wcm92aWRlcj5OTE08L3Jl
bW90ZS1kYXRhYmFzZS1wcm92aWRlcj48bGFuZ3VhZ2U+ZW5nPC9sYW5ndWFnZT48L3JlY29yZD48
L0NpdGU+PC9FbmROb3RlPg==
</w:fldData>
              </w:fldChar>
            </w:r>
            <w:r>
              <w:rPr>
                <w:rFonts w:hint="eastAsia" w:eastAsia="Times New Roman"/>
                <w:sz w:val="18"/>
                <w:szCs w:val="18"/>
                <w:shd w:val="clear" w:color="auto" w:fill="FFFFFF"/>
                <w:lang w:val="en-GB" w:eastAsia="en-GB"/>
              </w:rPr>
              <w:instrText xml:space="preserve"> ADDIN EN.CITE.DATA </w:instrText>
            </w:r>
            <w:r>
              <w:rPr>
                <w:rFonts w:hint="eastAsia" w:eastAsia="Times New Roman"/>
                <w:sz w:val="18"/>
                <w:szCs w:val="18"/>
                <w:shd w:val="clear" w:color="auto" w:fill="FFFFFF"/>
                <w:lang w:val="en-GB" w:eastAsia="en-GB"/>
              </w:rPr>
              <w:fldChar w:fldCharType="separate"/>
            </w:r>
            <w:r>
              <w:rPr>
                <w:rFonts w:hint="eastAsia" w:eastAsia="Times New Roman"/>
                <w:sz w:val="18"/>
                <w:szCs w:val="18"/>
                <w:shd w:val="clear" w:color="auto" w:fill="FFFFFF"/>
                <w:lang w:val="en-GB" w:eastAsia="en-GB"/>
              </w:rPr>
              <w:fldChar w:fldCharType="end"/>
            </w:r>
            <w:r>
              <w:rPr>
                <w:rFonts w:hint="eastAsia" w:eastAsia="Times New Roman"/>
                <w:sz w:val="18"/>
                <w:szCs w:val="18"/>
                <w:shd w:val="clear" w:color="auto" w:fill="FFFFFF"/>
                <w:lang w:val="en-GB" w:eastAsia="en-GB"/>
              </w:rPr>
              <w:fldChar w:fldCharType="separate"/>
            </w:r>
            <w:r>
              <w:rPr>
                <w:rFonts w:hint="eastAsia" w:eastAsia="Times New Roman"/>
                <w:sz w:val="18"/>
                <w:szCs w:val="18"/>
                <w:shd w:val="clear" w:color="auto" w:fill="FFFFFF"/>
                <w:lang w:val="en-GB" w:eastAsia="en-GB"/>
              </w:rPr>
              <w:t>[10]</w:t>
            </w:r>
            <w:r>
              <w:rPr>
                <w:rFonts w:hint="eastAsia" w:eastAsia="Times New Roman"/>
                <w:sz w:val="18"/>
                <w:szCs w:val="18"/>
                <w:shd w:val="clear" w:color="auto" w:fill="FFFFFF"/>
                <w:lang w:val="en-GB" w:eastAsia="en-GB"/>
              </w:rPr>
              <w:fldChar w:fldCharType="end"/>
            </w:r>
            <w:r>
              <w:rPr>
                <w:rFonts w:hint="eastAsia" w:eastAsia="Times New Roman"/>
                <w:sz w:val="18"/>
                <w:szCs w:val="18"/>
                <w:shd w:val="clear" w:color="auto" w:fill="FFFFFF"/>
                <w:lang w:val="en-GB" w:eastAsia="en-GB"/>
              </w:rPr>
              <w:t>.</w:t>
            </w:r>
            <w:bookmarkEnd w:id="12"/>
          </w:p>
          <w:p w14:paraId="6AFB98BF">
            <w:pPr>
              <w:rPr>
                <w:rFonts w:eastAsia="Times New Roman"/>
                <w:sz w:val="18"/>
                <w:szCs w:val="18"/>
                <w:shd w:val="clear" w:color="auto" w:fill="FFFFFF"/>
                <w:lang w:val="en-GB" w:eastAsia="en-GB"/>
              </w:rPr>
            </w:pPr>
          </w:p>
        </w:tc>
      </w:tr>
      <w:tr w14:paraId="23EA53EC">
        <w:tblPrEx>
          <w:tblCellMar>
            <w:top w:w="0" w:type="dxa"/>
            <w:left w:w="108" w:type="dxa"/>
            <w:bottom w:w="0" w:type="dxa"/>
            <w:right w:w="108" w:type="dxa"/>
          </w:tblCellMar>
        </w:tblPrEx>
        <w:tc>
          <w:tcPr>
            <w:tcW w:w="587" w:type="dxa"/>
            <w:shd w:val="clear" w:color="auto" w:fill="auto"/>
          </w:tcPr>
          <w:p w14:paraId="3E6E0D63">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782" w:type="dxa"/>
            <w:shd w:val="clear" w:color="auto" w:fill="auto"/>
          </w:tcPr>
          <w:p w14:paraId="1F0455B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14:paraId="0458797D">
            <w:pPr>
              <w:spacing w:before="96" w:beforeLines="40" w:after="96" w:afterLines="40" w:line="24" w:lineRule="atLeast"/>
              <w:jc w:val="center"/>
              <w:rPr>
                <w:rFonts w:eastAsia="Cambria"/>
                <w:sz w:val="18"/>
                <w:szCs w:val="18"/>
                <w:lang w:val="en-GB" w:eastAsia="en-US"/>
              </w:rPr>
            </w:pPr>
          </w:p>
        </w:tc>
        <w:tc>
          <w:tcPr>
            <w:tcW w:w="5283" w:type="dxa"/>
            <w:shd w:val="clear" w:color="auto" w:fill="auto"/>
          </w:tcPr>
          <w:p w14:paraId="5139727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1620" w:type="dxa"/>
          </w:tcPr>
          <w:p w14:paraId="6A2AE76D">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w:t>
            </w:r>
          </w:p>
        </w:tc>
        <w:tc>
          <w:tcPr>
            <w:tcW w:w="5218" w:type="dxa"/>
          </w:tcPr>
          <w:p w14:paraId="26877B30">
            <w:pPr>
              <w:rPr>
                <w:rFonts w:hint="default"/>
                <w:sz w:val="18"/>
                <w:szCs w:val="18"/>
                <w:highlight w:val="none"/>
                <w:lang w:val="en-US" w:eastAsia="zh-CN"/>
              </w:rPr>
            </w:pPr>
            <w:r>
              <w:rPr>
                <w:sz w:val="18"/>
                <w:szCs w:val="18"/>
                <w:highlight w:val="none"/>
              </w:rPr>
              <w:t xml:space="preserve">In the current MR study, genetic variation was used as an instrumental variable (IV) to assess the causal relationship between immune cells and </w:t>
            </w:r>
            <w:r>
              <w:rPr>
                <w:rFonts w:hint="eastAsia"/>
                <w:sz w:val="18"/>
                <w:szCs w:val="18"/>
                <w:highlight w:val="none"/>
                <w:lang w:val="en-US" w:eastAsia="zh-CN"/>
              </w:rPr>
              <w:t>cirrhosis</w:t>
            </w:r>
            <w:r>
              <w:rPr>
                <w:sz w:val="18"/>
                <w:szCs w:val="18"/>
                <w:highlight w:val="none"/>
              </w:rPr>
              <w:t xml:space="preserve">, and three key assumptions had to be adhered to in order to make valid causal inferences: </w:t>
            </w:r>
            <w:r>
              <w:rPr>
                <w:rFonts w:hint="eastAsia"/>
                <w:sz w:val="18"/>
                <w:szCs w:val="18"/>
                <w:highlight w:val="none"/>
              </w:rPr>
              <w:t>(1)Strong association between IVs and immunophenotypes;(2)The association between IVs and potential confounders was not observed;and (3) IVs  don</w:t>
            </w:r>
            <w:r>
              <w:rPr>
                <w:sz w:val="18"/>
                <w:szCs w:val="18"/>
                <w:highlight w:val="none"/>
              </w:rPr>
              <w:t>’</w:t>
            </w:r>
            <w:r>
              <w:rPr>
                <w:rFonts w:hint="eastAsia"/>
                <w:sz w:val="18"/>
                <w:szCs w:val="18"/>
                <w:highlight w:val="none"/>
              </w:rPr>
              <w:t>t affect cirrhosis via alternative pathways  other than exposure to immunophenotypes</w:t>
            </w:r>
            <w:r>
              <w:rPr>
                <w:rFonts w:hint="eastAsia"/>
                <w:sz w:val="18"/>
                <w:szCs w:val="18"/>
                <w:highlight w:val="none"/>
              </w:rPr>
              <w:fldChar w:fldCharType="begin"/>
            </w:r>
            <w:r>
              <w:rPr>
                <w:rFonts w:hint="eastAsia"/>
                <w:sz w:val="18"/>
                <w:szCs w:val="18"/>
                <w:highlight w:val="none"/>
              </w:rPr>
              <w:instrText xml:space="preserve"> ADDIN EN.CITE </w:instrText>
            </w:r>
            <w:r>
              <w:rPr>
                <w:rFonts w:hint="eastAsia"/>
                <w:sz w:val="18"/>
                <w:szCs w:val="18"/>
                <w:highlight w:val="none"/>
              </w:rPr>
              <w:fldChar w:fldCharType="begin">
                <w:fldData xml:space="preserve">PEVuZE5vdGU+PENpdGU+PEF1dGhvcj5XYW5nPC9BdXRob3I+PFllYXI+MjAyNDwvWWVhcj48UmVj
TnVtPjM4NzwvUmVjTnVtPjxEaXNwbGF5VGV4dD5bMTMsIDE0XTwvRGlzcGxheVRleHQ+PHJlY29y
ZD48cmVjLW51bWJlcj4zODc8L3JlYy1udW1iZXI+PGZvcmVpZ24ta2V5cz48a2V5IGFwcD0iRU4i
IGRiLWlkPSJ4eHY5ZXIwMm45eHJlbWV4cnQwNXJlcHp0ZHZyeHh4dzV0ZHMiIHRpbWVzdGFtcD0i
MTcyNDE2NDkyMiI+Mzg3PC9rZXk+PC9mb3JlaWduLWtleXM+PHJlZi10eXBlIG5hbWU9IkpvdXJu
YWwgQXJ0aWNsZSI+MTc8L3JlZi10eXBlPjxjb250cmlidXRvcnM+PGF1dGhvcnM+PGF1dGhvcj5X
YW5nLCBLLjwvYXV0aG9yPjxhdXRob3I+V2FuZywgUy48L2F1dGhvcj48YXV0aG9yPkNoZW4sIFku
PC9hdXRob3I+PGF1dGhvcj5MdSwgWC48L2F1dGhvcj48YXV0aG9yPldhbmcsIEQuPC9hdXRob3I+
PGF1dGhvcj5aaGFuZywgWS48L2F1dGhvcj48YXV0aG9yPlBhbiwgVy48L2F1dGhvcj48YXV0aG9y
Plpob3UsIEMuPC9hdXRob3I+PGF1dGhvcj5ab3UsIEQuPC9hdXRob3I+PC9hdXRob3JzPjwvY29u
dHJpYnV0b3JzPjxhdXRoLWFkZHJlc3M+RGVwYXJ0bWVudCBvZiBHYXN0cm9lbnRlcm9sb2d5LCBS
dWlqaW4gSG9zcGl0YWwsIFNjaG9vbCBvZiBNZWRpY2luZSwgU2hhbmdoYWkgSmlhbyBUb25nIFVu
aXZlcnNpdHksIFNoYW5naGFpLCBDaGluYS4mI3hEO0RlcGFydG1lbnQgb2YgR2FzdHJvZW50ZXJv
bG9neSwgVGhlIEZpcnN0IFBlb3BsZSZhcG9zO3MgSG9zcGl0YWwgb2YgWXVubmFuIFByb3ZpbmNl
LCBUaGUgQWZmaWxpYXRlZCBIb3NwaXRhbCBvZiBLdW5taW5nIFVuaXZlcnNpdHkgb2YgU2NpZW5j
ZSBhbmQgVGVjaG5vbG9neSwgS3VubWluZywgWXVubmFuLCBDaGluYS4mI3hEO0RlcGFydG1lbnQg
b2YgRW5kb2NyaW5vbG9neSBhbmQgTWV0YWJvbGlzbSwgRmlyc3QgQWZmaWxpYXRlZCBIb3NwaXRh
bCBvZiBTdGFudG91IFVuaXZlcnNpdHkgTWVkaWNhbCBDb2xsZWdlLCBTdGFudG91LCBDaGluYS4m
I3hEO1RoZSBGaXJzdCBDbGluaWNhbCBNZWRpY2FsIENvbGxlZ2UsIExhbnpob3UgVW5pdmVyc2l0
eSwgTGFuemhvdSwgR2Fuc3UsIENoaW5hLjwvYXV0aC1hZGRyZXNzPjx0aXRsZXM+PHRpdGxlPkNh
dXNhbCByZWxhdGlvbnNoaXAgYmV0d2VlbiBndXQgbWljcm9iaW90YSBhbmQgcmlzayBvZiBnYXN0
cm9lc29waGFnZWFsIHJlZmx1eCBkaXNlYXNlOiBhIGdlbmV0aWMgY29ycmVsYXRpb24gYW5kIGJp
ZGlyZWN0aW9uYWwgTWVuZGVsaWFuIHJhbmRvbWl6YXRpb24gc3R1ZHk8L3RpdGxlPjxzZWNvbmRh
cnktdGl0bGU+RnJvbnQgSW1tdW5vbDwvc2Vjb25kYXJ5LXRpdGxlPjxhbHQtdGl0bGU+RnJvbnRp
ZXJzIGluIGltbXVub2xvZ3k8L2FsdC10aXRsZT48L3RpdGxlcz48cGVyaW9kaWNhbD48ZnVsbC10
aXRsZT5Gcm9udCBJbW11bm9sPC9mdWxsLXRpdGxlPjwvcGVyaW9kaWNhbD48cGFnZXM+MTMyNzUw
MzwvcGFnZXM+PHZvbHVtZT4xNTwvdm9sdW1lPjxlZGl0aW9uPjIwMjQvMDMvMDc8L2VkaXRpb24+
PGtleXdvcmRzPjxrZXl3b3JkPkh1bWFuczwva2V5d29yZD48a2V5d29yZD4qR2FzdHJvaW50ZXN0
aW5hbCBNaWNyb2Jpb21lL2dlbmV0aWNzPC9rZXl3b3JkPjxrZXl3b3JkPkdlbm9tZS1XaWRlIEFz
c29jaWF0aW9uIFN0dWR5PC9rZXl3b3JkPjxrZXl3b3JkPk1lbmRlbGlhbiBSYW5kb21pemF0aW9u
IEFuYWx5c2lzPC9rZXl3b3JkPjxrZXl3b3JkPlJlcHJvZHVjaWJpbGl0eSBvZiBSZXN1bHRzPC9r
ZXl3b3JkPjxrZXl3b3JkPipHYXN0cm9lc29waGFnZWFsIFJlZmx1eC9nZW5ldGljczwva2V5d29y
ZD48a2V5d29yZD5DbG9zdHJpZGlhbGVzPC9rZXl3b3JkPjxrZXl3b3JkPmNhdXNhbCBhc3NvY2lh
dGlvbjwva2V5d29yZD48a2V5d29yZD5jb21wcmVoZW5zaXZlIGJpZGlyZWN0aW9uYWwgbWVuZGVs
aWFuIHJhbmRvbWl6YXRpb248L2tleXdvcmQ+PGtleXdvcmQ+Z2FzdHJvZXNvcGhhZ2VhbCByZWZs
dXggZGlzZWFzZTwva2V5d29yZD48a2V5d29yZD5ndXQgbWljcm9iaW90YTwva2V5d29yZD48a2V5
d29yZD5jb21tZXJjaWFsIG9yIGZpbmFuY2lhbCByZWxhdGlvbnNoaXBzIHRoYXQgY291bGQgYmUg
Y29uc3RydWVkIGFzIGEgcG90ZW50aWFsPC9rZXl3b3JkPjxrZXl3b3JkPmNvbmZsaWN0IG9mIGlu
dGVyZXN0Ljwva2V5d29yZD48L2tleXdvcmRzPjxkYXRlcz48eWVhcj4yMDI0PC95ZWFyPjwvZGF0
ZXM+PGlzYm4+MTY2NC0zMjI0PC9pc2JuPjxhY2Nlc3Npb24tbnVtPjM4NDQ5ODczPC9hY2Nlc3Np
b24tbnVtPjx1cmxzPjwvdXJscz48Y3VzdG9tMj5QTUMxMDkxNDk1NjwvY3VzdG9tMj48ZWxlY3Ry
b25pYy1yZXNvdXJjZS1udW0+MTAuMzM4OS9maW1tdS4yMDI0LjEzMjc1MDM8L2VsZWN0cm9uaWMt
cmVzb3VyY2UtbnVtPjxyZW1vdGUtZGF0YWJhc2UtcHJvdmlkZXI+TkxNPC9yZW1vdGUtZGF0YWJh
c2UtcHJvdmlkZXI+PGxhbmd1YWdlPmVuZzwvbGFuZ3VhZ2U+PC9yZWNvcmQ+PC9DaXRlPjxDaXRl
PjxBdXRob3I+Q2hlbjwvQXV0aG9yPjxZZWFyPjIwMjQ8L1llYXI+PFJlY051bT40MzQ8L1JlY051
bT48cmVjb3JkPjxyZWMtbnVtYmVyPjQzNDwvcmVjLW51bWJlcj48Zm9yZWlnbi1rZXlzPjxrZXkg
YXBwPSJFTiIgZGItaWQ9Inh4djllcjAybjl4cmVtZXhydDA1cmVwenRkdnJ4eHh3NXRkcyIgdGlt
ZXN0YW1wPSIxNzI0MTY3MDkwIj40MzQ8L2tleT48L2ZvcmVpZ24ta2V5cz48cmVmLXR5cGUgbmFt
ZT0iSm91cm5hbCBBcnRpY2xlIj4xNzwvcmVmLXR5cGU+PGNvbnRyaWJ1dG9ycz48YXV0aG9ycz48
YXV0aG9yPkNoZW4sIFkuPC9hdXRob3I+PGF1dGhvcj5ZYW5nLCBMLjwvYXV0aG9yPjxhdXRob3I+
V2FuZywgSy48L2F1dGhvcj48YXV0aG9yPkFuLCBZLjwvYXV0aG9yPjxhdXRob3I+V2FuZywgWS48
L2F1dGhvcj48YXV0aG9yPlpoZW5nLCBZLjwvYXV0aG9yPjxhdXRob3I+WmhvdSwgWS48L2F1dGhv
cj48L2F1dGhvcnM+PC9jb250cmlidXRvcnM+PGF1dGgtYWRkcmVzcz5UaGUgRmlyc3QgQ2xpbmlj
YWwgTWVkaWNhbCBDb2xsZWdlLCBMYW56aG91IFVuaXZlcnNpdHksIExhbnpob3UgNzMwMDAwLCBD
aGluYS4mI3hEO0RlcGFydG1lbnQgb2YgR2FzdHJvZW50ZXJvbG9neSwgVGhlIEZpcnN0IEhvc3Bp
dGFsIG9mIExhbnpob3UgVW5pdmVyc2l0eSwgTGFuemhvdSA3MzAwMDAsIENoaW5hLiYjeEQ7R2Fu
c3UgUHJvdmluY2UgQ2xpbmljYWwgUmVzZWFyY2ggQ2VudGVyIGZvciBEaWdlc3RpdmUgRGlzZWFz
ZXMsIFRoZSBGaXJzdCBIb3NwaXRhbCBvZiBMYW56aG91IFVuaXZlcnNpdHksIExhbnpob3UgNzMw
MDAwLCBDaGluYS4mI3hEO0RlcGFydG1lbnQgb2YgUmFkaW9sb2d5LCBVbmlvbiBIb3NwaXRhbCwg
VG9uZ2ppIE1lZGljYWwgQ29sbGVnZSwgSHVhemhvbmcgVW5pdmVyc2l0eSBvZiBTY2llbmNlIGFu
ZCBUZWNobm9sb2d5LCBXdWhhbiA0MzAwMjIsIENoaW5hLiYjeEQ7SHViZWkgS2V5IExhYm9yYXRv
cnkgb2YgTW9sZWN1bGFyIEltYWdpbmcsIFd1aGFuIDQzMDAyMiwgQ2hpbmEuJiN4RDtEZXBhcnRt
ZW50IG9mIEdhc3Ryb2VudGVyb2xvZ3ksIFJ1aWppbiBIb3NwaXRhbCwgU2Nob29sIG9mIE1lZGlj
aW5lLCBTaGFuZ2hhaSBKaWFvIFRvbmcgVW5pdmVyc2l0eSBTaGFuZ2hhaSwgU2hhbmdoYWksIENo
aW5hLjwvYXV0aC1hZGRyZXNzPjx0aXRsZXM+PHRpdGxlPlJlbGF0aW9uc2hpcCBiZXR3ZWVuIGZh
dHR5IGFjaWQgaW50YWtlIGFuZCBhZ2luZzogYSBNZW5kZWxpYW4gcmFuZG9taXphdGlvbiBzdHVk
eTwvdGl0bGU+PHNlY29uZGFyeS10aXRsZT5BZ2luZyAoQWxiYW55IE5ZKTwvc2Vjb25kYXJ5LXRp
dGxlPjxhbHQtdGl0bGU+QWdpbmc8L2FsdC10aXRsZT48L3RpdGxlcz48cGVyaW9kaWNhbD48ZnVs
bC10aXRsZT5BZ2luZyAoQWxiYW55IE5ZKTwvZnVsbC10aXRsZT48YWJici0xPkFnaW5nPC9hYmJy
LTE+PC9wZXJpb2RpY2FsPjxhbHQtcGVyaW9kaWNhbD48ZnVsbC10aXRsZT5BZ2luZyAoQWxiYW55
IE5ZKTwvZnVsbC10aXRsZT48YWJici0xPkFnaW5nPC9hYmJyLTE+PC9hbHQtcGVyaW9kaWNhbD48
cGFnZXM+NTcxMS01NzM5PC9wYWdlcz48dm9sdW1lPjE2PC92b2x1bWU+PG51bWJlcj42PC9udW1i
ZXI+PGVkaXRpb24+MjAyNC8wMy8yNzwvZWRpdGlvbj48a2V5d29yZHM+PGtleXdvcmQ+KkZhdHR5
IEFjaWRzPC9rZXl3b3JkPjxrZXl3b3JkPkRpZXRhcnkgRmF0czwva2V5d29yZD48a2V5d29yZD5N
ZW5kZWxpYW4gUmFuZG9taXphdGlvbiBBbmFseXNpczwva2V5d29yZD48a2V5d29yZD5GYXR0eSBB
Y2lkcywgVW5zYXR1cmF0ZWQ8L2tleXdvcmQ+PGtleXdvcmQ+RmF0dHkgQWNpZHMsIE1vbm91bnNh
dHVyYXRlZDwva2V5d29yZD48a2V5d29yZD4qRmF0dHkgQWNpZHMsIE9tZWdhLTM8L2tleXdvcmQ+
PGtleXdvcmQ+TWVuZGVsaWFuIHJhbmRvbWl6YXRpb248L2tleXdvcmQ+PGtleXdvcmQ+YWdpbmc8
L2tleXdvcmQ+PGtleXdvcmQ+ZmF0dHkgYWNpZDwva2V5d29yZD48a2V5d29yZD5tb25vdW5zYXR1
cmF0ZWQgZmF0dHkgYWNpZDwva2V5d29yZD48a2V5d29yZD50ZWxvbWVyZSBsZW5ndGg8L2tleXdv
cmQ+PGtleXdvcmQ+aW50ZXJlc3QuPC9rZXl3b3JkPjwva2V5d29yZHM+PGRhdGVzPjx5ZWFyPjIw
MjQ8L3llYXI+PHB1Yi1kYXRlcz48ZGF0ZT5NYXIgMjY8L2RhdGU+PC9wdWItZGF0ZXM+PC9kYXRl
cz48aXNibj4xOTQ1LTQ1ODk8L2lzYm4+PGFjY2Vzc2lvbi1udW0+Mzg1MzU5ODg8L2FjY2Vzc2lv
bi1udW0+PHVybHM+PC91cmxzPjxjdXN0b20yPlBNQzExMDA2NDg1PC9jdXN0b20yPjxlbGVjdHJv
bmljLXJlc291cmNlLW51bT4xMC4xODYzMi9hZ2luZy4yMDU2NzQ8L2VsZWN0cm9uaWMtcmVzb3Vy
Y2UtbnVtPjxyZW1vdGUtZGF0YWJhc2UtcHJvdmlkZXI+TkxNPC9yZW1vdGUtZGF0YWJhc2UtcHJv
dmlkZXI+PGxhbmd1YWdlPmVuZzwvbGFuZ3VhZ2U+PC9yZWNvcmQ+PC9DaXRlPjwvRW5kTm90ZT4=
</w:fldData>
              </w:fldChar>
            </w:r>
            <w:r>
              <w:rPr>
                <w:rFonts w:hint="eastAsia"/>
                <w:sz w:val="18"/>
                <w:szCs w:val="18"/>
                <w:highlight w:val="none"/>
              </w:rPr>
              <w:instrText xml:space="preserve"> ADDIN EN.CITE.DATA </w:instrText>
            </w:r>
            <w:r>
              <w:rPr>
                <w:rFonts w:hint="eastAsia"/>
                <w:sz w:val="18"/>
                <w:szCs w:val="18"/>
                <w:highlight w:val="none"/>
              </w:rPr>
              <w:fldChar w:fldCharType="separate"/>
            </w:r>
            <w:r>
              <w:rPr>
                <w:rFonts w:hint="eastAsia"/>
                <w:sz w:val="18"/>
                <w:szCs w:val="18"/>
                <w:highlight w:val="none"/>
              </w:rPr>
              <w:fldChar w:fldCharType="end"/>
            </w:r>
            <w:r>
              <w:rPr>
                <w:rFonts w:hint="eastAsia"/>
                <w:sz w:val="18"/>
                <w:szCs w:val="18"/>
                <w:highlight w:val="none"/>
              </w:rPr>
              <w:fldChar w:fldCharType="separate"/>
            </w:r>
            <w:r>
              <w:rPr>
                <w:rFonts w:hint="eastAsia"/>
                <w:sz w:val="18"/>
                <w:szCs w:val="18"/>
                <w:highlight w:val="none"/>
              </w:rPr>
              <w:t>[13, 14]</w:t>
            </w:r>
            <w:r>
              <w:rPr>
                <w:rFonts w:hint="eastAsia"/>
                <w:sz w:val="18"/>
                <w:szCs w:val="18"/>
                <w:highlight w:val="none"/>
              </w:rPr>
              <w:fldChar w:fldCharType="end"/>
            </w:r>
            <w:r>
              <w:rPr>
                <w:rFonts w:hint="eastAsia"/>
                <w:sz w:val="18"/>
                <w:szCs w:val="18"/>
                <w:highlight w:val="none"/>
              </w:rPr>
              <w:t>.</w:t>
            </w:r>
            <w:r>
              <w:rPr>
                <w:rFonts w:hint="eastAsia"/>
                <w:sz w:val="18"/>
                <w:szCs w:val="18"/>
                <w:highlight w:val="none"/>
                <w:lang w:val="en-US" w:eastAsia="zh-CN"/>
              </w:rPr>
              <w:t xml:space="preserve">A </w:t>
            </w:r>
            <w:r>
              <w:rPr>
                <w:rFonts w:hint="eastAsia"/>
                <w:sz w:val="18"/>
                <w:szCs w:val="18"/>
                <w:highlight w:val="none"/>
              </w:rPr>
              <w:t>comprehensive illustration of  the relationship between immunophenotypes and cirrhosis in our MR study</w:t>
            </w:r>
            <w:r>
              <w:rPr>
                <w:rFonts w:hint="eastAsia"/>
                <w:sz w:val="18"/>
                <w:szCs w:val="18"/>
                <w:highlight w:val="none"/>
                <w:lang w:val="en-US" w:eastAsia="zh-CN"/>
              </w:rPr>
              <w:t>(see Figure 1 online).</w:t>
            </w:r>
          </w:p>
          <w:p w14:paraId="073B0B0C">
            <w:pPr>
              <w:rPr>
                <w:rFonts w:eastAsia="Times New Roman"/>
                <w:sz w:val="18"/>
                <w:szCs w:val="18"/>
                <w:lang w:val="en-GB" w:eastAsia="en-GB"/>
              </w:rPr>
            </w:pPr>
          </w:p>
        </w:tc>
      </w:tr>
      <w:tr w14:paraId="6209F8C8">
        <w:tblPrEx>
          <w:tblCellMar>
            <w:top w:w="0" w:type="dxa"/>
            <w:left w:w="108" w:type="dxa"/>
            <w:bottom w:w="0" w:type="dxa"/>
            <w:right w:w="108" w:type="dxa"/>
          </w:tblCellMar>
        </w:tblPrEx>
        <w:tc>
          <w:tcPr>
            <w:tcW w:w="587" w:type="dxa"/>
            <w:shd w:val="clear" w:color="auto" w:fill="EEEEEE"/>
          </w:tcPr>
          <w:p w14:paraId="6FA239C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782" w:type="dxa"/>
            <w:shd w:val="clear" w:color="auto" w:fill="EEEEEE"/>
          </w:tcPr>
          <w:p w14:paraId="3D8F9E93">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5283" w:type="dxa"/>
            <w:shd w:val="clear" w:color="auto" w:fill="EEEEEE"/>
          </w:tcPr>
          <w:p w14:paraId="49C33D0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1620" w:type="dxa"/>
            <w:shd w:val="clear" w:color="auto" w:fill="EEEEEE"/>
          </w:tcPr>
          <w:p w14:paraId="0D1191BA">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5218" w:type="dxa"/>
            <w:shd w:val="clear" w:color="auto" w:fill="EEEEEE"/>
          </w:tcPr>
          <w:p w14:paraId="75DF0C4B">
            <w:pPr>
              <w:spacing w:before="96" w:beforeLines="40" w:after="96" w:afterLines="40" w:line="24" w:lineRule="atLeast"/>
              <w:rPr>
                <w:rFonts w:eastAsia="Times New Roman"/>
                <w:sz w:val="18"/>
                <w:szCs w:val="18"/>
                <w:lang w:val="en-GB" w:eastAsia="en-GB"/>
              </w:rPr>
            </w:pPr>
          </w:p>
        </w:tc>
      </w:tr>
      <w:tr w14:paraId="4346E621">
        <w:tblPrEx>
          <w:tblCellMar>
            <w:top w:w="0" w:type="dxa"/>
            <w:left w:w="108" w:type="dxa"/>
            <w:bottom w:w="0" w:type="dxa"/>
            <w:right w:w="108" w:type="dxa"/>
          </w:tblCellMar>
        </w:tblPrEx>
        <w:tc>
          <w:tcPr>
            <w:tcW w:w="587" w:type="dxa"/>
            <w:shd w:val="clear" w:color="auto" w:fill="auto"/>
          </w:tcPr>
          <w:p w14:paraId="339A016D">
            <w:pPr>
              <w:spacing w:before="96" w:beforeLines="40" w:after="96" w:afterLines="40" w:line="24" w:lineRule="atLeast"/>
              <w:jc w:val="right"/>
              <w:rPr>
                <w:rFonts w:eastAsia="Cambria"/>
                <w:b/>
                <w:bCs/>
                <w:sz w:val="18"/>
                <w:szCs w:val="18"/>
                <w:lang w:val="en-GB" w:eastAsia="en-US"/>
              </w:rPr>
            </w:pPr>
            <w:bookmarkStart w:id="13" w:name="OLE_LINK6" w:colFirst="4" w:colLast="4"/>
          </w:p>
        </w:tc>
        <w:tc>
          <w:tcPr>
            <w:tcW w:w="1782" w:type="dxa"/>
            <w:shd w:val="clear" w:color="auto" w:fill="auto"/>
          </w:tcPr>
          <w:p w14:paraId="3635743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auto"/>
          </w:tcPr>
          <w:p w14:paraId="3BB9002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1620" w:type="dxa"/>
          </w:tcPr>
          <w:p w14:paraId="22720A53">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4,5</w:t>
            </w:r>
          </w:p>
        </w:tc>
        <w:tc>
          <w:tcPr>
            <w:tcW w:w="5218" w:type="dxa"/>
          </w:tcPr>
          <w:p w14:paraId="76159846">
            <w:pPr>
              <w:spacing w:before="96" w:beforeLines="40" w:after="96" w:afterLines="40" w:line="24" w:lineRule="atLeast"/>
              <w:rPr>
                <w:rFonts w:eastAsia="Times New Roman"/>
                <w:sz w:val="18"/>
                <w:szCs w:val="18"/>
                <w:lang w:val="en-GB" w:eastAsia="en-GB"/>
              </w:rPr>
            </w:pPr>
            <w:r>
              <w:rPr>
                <w:rFonts w:hint="eastAsia"/>
                <w:sz w:val="18"/>
                <w:szCs w:val="18"/>
                <w:highlight w:val="none"/>
              </w:rPr>
              <w:t>In order to ensure the integrity and accuracy of the causal relationship between immune cells and liver cirrhosis, and to make the data more reliable and credible, we will select the appropriate instrument variables through the following steps :(1) Select SNPS with statistically significant associations with immunophenotypes by association analysis, often using p&lt;1×10^-5 as the genome-wide significance threshold; Statistical power was maintained while including relevant genetic variants. Although 5×10^-8 could be used as a more stringent criterion to ensure genome-wide significance, this criterion could be moderately relaxed in related MR Studies, and p&lt;1×10^-5 could allow the identification of SNPS moderately associated with the complex trait under study. Is a nonrandom association between different loci, assessed by two parameters r2 and kb. The value of r2 ranges from 0 to 1, and a smaller r2 means that SNPS are closer to complete linkage equilibrium, accompanied by complete random assignment, which does not meet the randomization principle of Mendelian randomization studies. The screening criteria were R^2&lt; 0.001 and clustering distance &gt;10000 kb. (3) To avoid bias caused by weak instrumental variables, we used F-statistics to evaluate the strength between instrumental variables and exposure factors. The screening criterion was F &gt; 10, which met the criteria indicating a strong correlation between instrumental variables and exposure factors. Nonconformity, indicating limited strength of instrumental variables and exposure factors, was subsequently excluded.</w:t>
            </w:r>
          </w:p>
        </w:tc>
      </w:tr>
      <w:bookmarkEnd w:id="13"/>
      <w:tr w14:paraId="642A4D4B">
        <w:tblPrEx>
          <w:tblCellMar>
            <w:top w:w="0" w:type="dxa"/>
            <w:left w:w="108" w:type="dxa"/>
            <w:bottom w:w="0" w:type="dxa"/>
            <w:right w:w="108" w:type="dxa"/>
          </w:tblCellMar>
        </w:tblPrEx>
        <w:tc>
          <w:tcPr>
            <w:tcW w:w="587" w:type="dxa"/>
            <w:shd w:val="clear" w:color="auto" w:fill="EEEEEE"/>
          </w:tcPr>
          <w:p w14:paraId="11F7484C">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569D49F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EEEEEE"/>
          </w:tcPr>
          <w:p w14:paraId="6B2ACDE9">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1620" w:type="dxa"/>
            <w:shd w:val="clear" w:color="auto" w:fill="EEEEEE"/>
          </w:tcPr>
          <w:p w14:paraId="0DAE64B0">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4,5</w:t>
            </w:r>
          </w:p>
        </w:tc>
        <w:tc>
          <w:tcPr>
            <w:tcW w:w="5218" w:type="dxa"/>
            <w:shd w:val="clear"/>
            <w:vAlign w:val="top"/>
          </w:tcPr>
          <w:p w14:paraId="1612F89F">
            <w:pPr>
              <w:spacing w:before="96" w:beforeLines="40" w:after="96" w:afterLines="40" w:line="24" w:lineRule="atLeast"/>
              <w:rPr>
                <w:rFonts w:ascii="Arial" w:hAnsi="Arial" w:eastAsia="Times New Roman" w:cs="Arial"/>
                <w:sz w:val="18"/>
                <w:szCs w:val="18"/>
                <w:lang w:val="en-GB" w:eastAsia="en-GB" w:bidi="ar-SA"/>
              </w:rPr>
            </w:pPr>
            <w:r>
              <w:rPr>
                <w:rFonts w:hint="eastAsia"/>
                <w:sz w:val="18"/>
                <w:szCs w:val="18"/>
                <w:highlight w:val="none"/>
              </w:rPr>
              <w:t>In order to ensure the integrity and accuracy of the causal relationship between immune cells and liver cirrhosis, and to make the data more reliable and credible, we will select the appropriate instrument variables through the following steps :(1) Select SNPS with statistically significant associations with immunophenotypes by association analysis, often using p&lt;1×10^-5 as the genome-wide significance threshold; Statistical power was maintained while including relevant genetic variants. Although 5×10^-8 could be used as a more stringent criterion to ensure genome-wide significance, this criterion could be moderately relaxed in related MR Studies, and p&lt;1×10^-5 could allow the identification of SNPS moderately associated with the complex trait under study. Is a nonrandom association between different loci, assessed by two parameters r2 and kb. The value of r2 ranges from 0 to 1, and a smaller r2 means that SNPS are closer to complete linkage equilibrium, accompanied by complete random assignment, which does not meet the randomization principle of Mendelian randomization studies. The screening criteria were R^2&lt; 0.001 and clustering distance &gt;10000 kb. (3) To avoid bias caused by weak instrumental variables, we used F-statistics to evaluate the strength between instrumental variables and exposure factors. The screening criterion was F &gt; 10, which met the criteria indicating a strong correlation between instrumental variables and exposure factors. Nonconformity, indicating limited strength of instrumental variables and exposure factors, was subsequently excluded.</w:t>
            </w:r>
          </w:p>
        </w:tc>
      </w:tr>
      <w:tr w14:paraId="70378831">
        <w:tblPrEx>
          <w:tblCellMar>
            <w:top w:w="0" w:type="dxa"/>
            <w:left w:w="108" w:type="dxa"/>
            <w:bottom w:w="0" w:type="dxa"/>
            <w:right w:w="108" w:type="dxa"/>
          </w:tblCellMar>
        </w:tblPrEx>
        <w:tc>
          <w:tcPr>
            <w:tcW w:w="587" w:type="dxa"/>
            <w:shd w:val="clear" w:color="auto" w:fill="auto"/>
          </w:tcPr>
          <w:p w14:paraId="45E41495">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59F665E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5283" w:type="dxa"/>
            <w:shd w:val="clear" w:color="auto" w:fill="auto"/>
          </w:tcPr>
          <w:p w14:paraId="5CB03D9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1620" w:type="dxa"/>
          </w:tcPr>
          <w:p w14:paraId="7B7E7C35">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5</w:t>
            </w:r>
          </w:p>
        </w:tc>
        <w:tc>
          <w:tcPr>
            <w:tcW w:w="5218" w:type="dxa"/>
          </w:tcPr>
          <w:p w14:paraId="7C178116">
            <w:pPr>
              <w:rPr>
                <w:rFonts w:hint="eastAsia" w:eastAsia="宋体"/>
                <w:sz w:val="18"/>
                <w:szCs w:val="18"/>
                <w:highlight w:val="none"/>
                <w:lang w:val="en-US" w:eastAsia="zh-CN"/>
              </w:rPr>
            </w:pPr>
            <w:r>
              <w:rPr>
                <w:sz w:val="18"/>
                <w:szCs w:val="18"/>
                <w:highlight w:val="none"/>
              </w:rPr>
              <w:t>We performed statistical analyses using R software (version 4.2.2) and further refined the results with the Two</w:t>
            </w:r>
            <w:r>
              <w:rPr>
                <w:rFonts w:hint="eastAsia"/>
                <w:sz w:val="18"/>
                <w:szCs w:val="18"/>
                <w:highlight w:val="none"/>
                <w:lang w:val="en-US" w:eastAsia="zh-CN"/>
              </w:rPr>
              <w:t xml:space="preserve"> </w:t>
            </w:r>
            <w:r>
              <w:rPr>
                <w:sz w:val="18"/>
                <w:szCs w:val="18"/>
                <w:highlight w:val="none"/>
              </w:rPr>
              <w:t>sample</w:t>
            </w:r>
            <w:r>
              <w:rPr>
                <w:rFonts w:hint="eastAsia"/>
                <w:sz w:val="18"/>
                <w:szCs w:val="18"/>
                <w:highlight w:val="none"/>
                <w:lang w:val="en-US" w:eastAsia="zh-CN"/>
              </w:rPr>
              <w:t xml:space="preserve"> </w:t>
            </w:r>
            <w:r>
              <w:rPr>
                <w:sz w:val="18"/>
                <w:szCs w:val="18"/>
                <w:highlight w:val="none"/>
              </w:rPr>
              <w:t>MR software package (version</w:t>
            </w:r>
            <w:r>
              <w:rPr>
                <w:rFonts w:hint="eastAsia"/>
                <w:sz w:val="18"/>
                <w:szCs w:val="18"/>
                <w:highlight w:val="none"/>
                <w:lang w:val="en-US" w:eastAsia="zh-CN"/>
              </w:rPr>
              <w:t xml:space="preserve"> </w:t>
            </w:r>
            <w:r>
              <w:rPr>
                <w:sz w:val="18"/>
                <w:szCs w:val="18"/>
                <w:highlight w:val="none"/>
              </w:rPr>
              <w:t>0.56). I</w:t>
            </w:r>
            <w:r>
              <w:rPr>
                <w:rFonts w:hint="eastAsia"/>
                <w:sz w:val="18"/>
                <w:szCs w:val="18"/>
                <w:highlight w:val="none"/>
              </w:rPr>
              <w:t xml:space="preserve">VW completing with </w:t>
            </w:r>
            <w:bookmarkStart w:id="14" w:name="OLE_LINK20"/>
            <w:r>
              <w:rPr>
                <w:rFonts w:hint="eastAsia"/>
                <w:sz w:val="18"/>
                <w:szCs w:val="18"/>
                <w:highlight w:val="none"/>
              </w:rPr>
              <w:t>simple mode,MR-Egger,weighted mode, and weighted median</w:t>
            </w:r>
            <w:bookmarkEnd w:id="14"/>
            <w:r>
              <w:rPr>
                <w:rFonts w:hint="eastAsia"/>
                <w:sz w:val="18"/>
                <w:szCs w:val="18"/>
                <w:highlight w:val="none"/>
              </w:rPr>
              <w:t xml:space="preserve"> were adopted to enhance the robustness of our analysis</w:t>
            </w:r>
            <w:r>
              <w:rPr>
                <w:rFonts w:hint="eastAsia"/>
                <w:sz w:val="18"/>
                <w:szCs w:val="18"/>
                <w:highlight w:val="none"/>
              </w:rPr>
              <w:fldChar w:fldCharType="begin"/>
            </w:r>
            <w:r>
              <w:rPr>
                <w:rFonts w:hint="eastAsia"/>
                <w:sz w:val="18"/>
                <w:szCs w:val="18"/>
                <w:highlight w:val="none"/>
              </w:rPr>
              <w:instrText xml:space="preserve"> ADDIN EN.CITE </w:instrText>
            </w:r>
            <w:r>
              <w:rPr>
                <w:rFonts w:hint="eastAsia"/>
                <w:sz w:val="18"/>
                <w:szCs w:val="18"/>
                <w:highlight w:val="none"/>
              </w:rPr>
              <w:fldChar w:fldCharType="begin">
                <w:fldData xml:space="preserve">PEVuZE5vdGU+PENpdGU+PEF1dGhvcj5XYW5nPC9BdXRob3I+PFllYXI+MjAyNDwvWWVhcj48UmVj
TnVtPjM5MzwvUmVjTnVtPjxEaXNwbGF5VGV4dD5bMTNdPC9EaXNwbGF5VGV4dD48cmVjb3JkPjxy
ZWMtbnVtYmVyPjM5MzwvcmVjLW51bWJlcj48Zm9yZWlnbi1rZXlzPjxrZXkgYXBwPSJFTiIgZGIt
aWQ9Inh4djllcjAybjl4cmVtZXhydDA1cmVwenRkdnJ4eHh3NXRkcyIgdGltZXN0YW1wPSIxNzI0
MTY1MTg5Ij4zOTM8L2tleT48L2ZvcmVpZ24ta2V5cz48cmVmLXR5cGUgbmFtZT0iSm91cm5hbCBB
cnRpY2xlIj4xNzwvcmVmLXR5cGU+PGNvbnRyaWJ1dG9ycz48YXV0aG9ycz48YXV0aG9yPldhbmcs
IEsuPC9hdXRob3I+PGF1dGhvcj5XYW5nLCBTLjwvYXV0aG9yPjxhdXRob3I+Q2hlbiwgWS48L2F1
dGhvcj48YXV0aG9yPkx1LCBYLjwvYXV0aG9yPjxhdXRob3I+V2FuZywgRC48L2F1dGhvcj48YXV0
aG9yPlpoYW5nLCBZLjwvYXV0aG9yPjxhdXRob3I+UGFuLCBXLjwvYXV0aG9yPjxhdXRob3I+Wmhv
dSwgQy48L2F1dGhvcj48YXV0aG9yPlpvdSwgRC48L2F1dGhvcj48L2F1dGhvcnM+PC9jb250cmli
dXRvcnM+PGF1dGgtYWRkcmVzcz5EZXBhcnRtZW50IG9mIEdhc3Ryb2VudGVyb2xvZ3ksIFJ1aWpp
biBIb3NwaXRhbCwgU2Nob29sIG9mIE1lZGljaW5lLCBTaGFuZ2hhaSBKaWFvIFRvbmcgVW5pdmVy
c2l0eSwgU2hhbmdoYWksIENoaW5hLiYjeEQ7RGVwYXJ0bWVudCBvZiBHYXN0cm9lbnRlcm9sb2d5
LCBUaGUgRmlyc3QgUGVvcGxlJmFwb3M7cyBIb3NwaXRhbCBvZiBZdW5uYW4gUHJvdmluY2UsIFRo
ZSBBZmZpbGlhdGVkIEhvc3BpdGFsIG9mIEt1bm1pbmcgVW5pdmVyc2l0eSBvZiBTY2llbmNlIGFu
ZCBUZWNobm9sb2d5LCBLdW5taW5nLCBZdW5uYW4sIENoaW5hLiYjeEQ7RGVwYXJ0bWVudCBvZiBF
bmRvY3Jpbm9sb2d5IGFuZCBNZXRhYm9saXNtLCBGaXJzdCBBZmZpbGlhdGVkIEhvc3BpdGFsIG9m
IFN0YW50b3UgVW5pdmVyc2l0eSBNZWRpY2FsIENvbGxlZ2UsIFN0YW50b3UsIENoaW5hLiYjeEQ7
VGhlIEZpcnN0IENsaW5pY2FsIE1lZGljYWwgQ29sbGVnZSwgTGFuemhvdSBVbml2ZXJzaXR5LCBM
YW56aG91LCBHYW5zdSwgQ2hpbmEuPC9hdXRoLWFkZHJlc3M+PHRpdGxlcz48dGl0bGU+Q2F1c2Fs
IHJlbGF0aW9uc2hpcCBiZXR3ZWVuIGd1dCBtaWNyb2Jpb3RhIGFuZCByaXNrIG9mIGdhc3Ryb2Vz
b3BoYWdlYWwgcmVmbHV4IGRpc2Vhc2U6IGEgZ2VuZXRpYyBjb3JyZWxhdGlvbiBhbmQgYmlkaXJl
Y3Rpb25hbCBNZW5kZWxpYW4gcmFuZG9taXphdGlvbiBzdHVkeTwvdGl0bGU+PHNlY29uZGFyeS10
aXRsZT5Gcm9udCBJbW11bm9sPC9zZWNvbmRhcnktdGl0bGU+PGFsdC10aXRsZT5Gcm9udGllcnMg
aW4gaW1tdW5vbG9neTwvYWx0LXRpdGxlPjwvdGl0bGVzPjxwZXJpb2RpY2FsPjxmdWxsLXRpdGxl
PkZyb250IEltbXVub2w8L2Z1bGwtdGl0bGU+PC9wZXJpb2RpY2FsPjxwYWdlcz4xMzI3NTAzPC9w
YWdlcz48dm9sdW1lPjE1PC92b2x1bWU+PGVkaXRpb24+MjAyNC8wMy8wNzwvZWRpdGlvbj48a2V5
d29yZHM+PGtleXdvcmQ+SHVtYW5zPC9rZXl3b3JkPjxrZXl3b3JkPipHYXN0cm9pbnRlc3RpbmFs
IE1pY3JvYmlvbWUvZ2VuZXRpY3M8L2tleXdvcmQ+PGtleXdvcmQ+R2Vub21lLVdpZGUgQXNzb2Np
YXRpb24gU3R1ZHk8L2tleXdvcmQ+PGtleXdvcmQ+TWVuZGVsaWFuIFJhbmRvbWl6YXRpb24gQW5h
bHlzaXM8L2tleXdvcmQ+PGtleXdvcmQ+UmVwcm9kdWNpYmlsaXR5IG9mIFJlc3VsdHM8L2tleXdv
cmQ+PGtleXdvcmQ+Kkdhc3Ryb2Vzb3BoYWdlYWwgUmVmbHV4L2dlbmV0aWNzPC9rZXl3b3JkPjxr
ZXl3b3JkPkNsb3N0cmlkaWFsZXM8L2tleXdvcmQ+PGtleXdvcmQ+Y2F1c2FsIGFzc29jaWF0aW9u
PC9rZXl3b3JkPjxrZXl3b3JkPmNvbXByZWhlbnNpdmUgYmlkaXJlY3Rpb25hbCBtZW5kZWxpYW4g
cmFuZG9taXphdGlvbjwva2V5d29yZD48a2V5d29yZD5nYXN0cm9lc29waGFnZWFsIHJlZmx1eCBk
aXNlYXNlPC9rZXl3b3JkPjxrZXl3b3JkPmd1dCBtaWNyb2Jpb3RhPC9rZXl3b3JkPjxrZXl3b3Jk
PmNvbW1lcmNpYWwgb3IgZmluYW5jaWFsIHJlbGF0aW9uc2hpcHMgdGhhdCBjb3VsZCBiZSBjb25z
dHJ1ZWQgYXMgYSBwb3RlbnRpYWw8L2tleXdvcmQ+PGtleXdvcmQ+Y29uZmxpY3Qgb2YgaW50ZXJl
c3QuPC9rZXl3b3JkPjwva2V5d29yZHM+PGRhdGVzPjx5ZWFyPjIwMjQ8L3llYXI+PC9kYXRlcz48
aXNibj4xNjY0LTMyMjQ8L2lzYm4+PGFjY2Vzc2lvbi1udW0+Mzg0NDk4NzM8L2FjY2Vzc2lvbi1u
dW0+PHVybHM+PC91cmxzPjxjdXN0b20yPlBNQzEwOTE0OTU2PC9jdXN0b20yPjxlbGVjdHJvbmlj
LXJlc291cmNlLW51bT4xMC4zMzg5L2ZpbW11LjIwMjQuMTMyNzUwMzwvZWxlY3Ryb25pYy1yZXNv
dXJjZS1udW0+PHJlbW90ZS1kYXRhYmFzZS1wcm92aWRlcj5OTE08L3JlbW90ZS1kYXRhYmFzZS1w
cm92aWRlcj48bGFuZ3VhZ2U+ZW5nPC9sYW5ndWFnZT48L3JlY29yZD48L0NpdGU+PC9FbmROb3Rl
PgA=
</w:fldData>
              </w:fldChar>
            </w:r>
            <w:r>
              <w:rPr>
                <w:rFonts w:hint="eastAsia"/>
                <w:sz w:val="18"/>
                <w:szCs w:val="18"/>
                <w:highlight w:val="none"/>
              </w:rPr>
              <w:instrText xml:space="preserve"> ADDIN EN.CITE.DATA </w:instrText>
            </w:r>
            <w:r>
              <w:rPr>
                <w:rFonts w:hint="eastAsia"/>
                <w:sz w:val="18"/>
                <w:szCs w:val="18"/>
                <w:highlight w:val="none"/>
              </w:rPr>
              <w:fldChar w:fldCharType="separate"/>
            </w:r>
            <w:r>
              <w:rPr>
                <w:rFonts w:hint="eastAsia"/>
                <w:sz w:val="18"/>
                <w:szCs w:val="18"/>
                <w:highlight w:val="none"/>
              </w:rPr>
              <w:fldChar w:fldCharType="end"/>
            </w:r>
            <w:r>
              <w:rPr>
                <w:rFonts w:hint="eastAsia"/>
                <w:sz w:val="18"/>
                <w:szCs w:val="18"/>
                <w:highlight w:val="none"/>
              </w:rPr>
              <w:fldChar w:fldCharType="separate"/>
            </w:r>
            <w:r>
              <w:rPr>
                <w:rFonts w:hint="eastAsia"/>
                <w:sz w:val="18"/>
                <w:szCs w:val="18"/>
                <w:highlight w:val="none"/>
              </w:rPr>
              <w:t>[13]</w:t>
            </w:r>
            <w:r>
              <w:rPr>
                <w:rFonts w:hint="eastAsia"/>
                <w:sz w:val="18"/>
                <w:szCs w:val="18"/>
                <w:highlight w:val="none"/>
              </w:rPr>
              <w:fldChar w:fldCharType="end"/>
            </w:r>
            <w:r>
              <w:rPr>
                <w:rFonts w:hint="eastAsia"/>
                <w:sz w:val="18"/>
                <w:szCs w:val="18"/>
                <w:highlight w:val="none"/>
              </w:rPr>
              <w:t>.The IVW method employs the Wald ratio approach to initially establish a correlation between individual SNPs.It then selects either the fixed effect model or the random effect model to analyze the impact on multiple sites, ensuring the provision of compelling causal estimation and remains the determinant analytical technique for MR investigation(P&lt;0.05)</w:t>
            </w:r>
            <w:r>
              <w:rPr>
                <w:rFonts w:hint="eastAsia" w:eastAsia="宋体"/>
                <w:sz w:val="18"/>
                <w:szCs w:val="18"/>
                <w:highlight w:val="none"/>
                <w:lang w:val="en-US" w:eastAsia="zh-CN"/>
              </w:rPr>
              <w:t>.</w:t>
            </w:r>
          </w:p>
          <w:p w14:paraId="6DCDF9E9">
            <w:pPr>
              <w:rPr>
                <w:sz w:val="18"/>
                <w:szCs w:val="18"/>
                <w:highlight w:val="none"/>
              </w:rPr>
            </w:pPr>
            <w:r>
              <w:rPr>
                <w:sz w:val="18"/>
                <w:szCs w:val="18"/>
                <w:highlight w:val="none"/>
              </w:rPr>
              <w:t xml:space="preserve"> </w:t>
            </w:r>
            <w:bookmarkStart w:id="15" w:name="OLE_LINK17"/>
            <w:r>
              <w:rPr>
                <w:rFonts w:hint="eastAsia"/>
                <w:sz w:val="18"/>
                <w:szCs w:val="18"/>
                <w:highlight w:val="none"/>
              </w:rPr>
              <w:t xml:space="preserve">We conducted a comprehensive analysis of heterogeneity using Cochran's Q test to evaluate the presence of heterogeneity, and employed forest plots to visually represent the effect size of each SNP.In order to detect potential horizontal pleiotropy among these SNPs, both the MR-Egger intercept and the MR-PRESSO Global test were employed to verify </w:t>
            </w:r>
            <w:r>
              <w:rPr>
                <w:sz w:val="18"/>
                <w:szCs w:val="18"/>
                <w:highlight w:val="none"/>
              </w:rPr>
              <w:t xml:space="preserve">sensitivity analyses for </w:t>
            </w:r>
            <w:r>
              <w:rPr>
                <w:rFonts w:hint="eastAsia"/>
                <w:sz w:val="18"/>
                <w:szCs w:val="18"/>
                <w:highlight w:val="none"/>
              </w:rPr>
              <w:t>MR</w:t>
            </w:r>
            <w:r>
              <w:rPr>
                <w:sz w:val="18"/>
                <w:szCs w:val="18"/>
                <w:highlight w:val="none"/>
              </w:rPr>
              <w:t xml:space="preserve"> studies</w:t>
            </w:r>
            <w:bookmarkEnd w:id="15"/>
            <w:r>
              <w:rPr>
                <w:sz w:val="18"/>
                <w:szCs w:val="18"/>
                <w:highlight w:val="none"/>
              </w:rPr>
              <w:t xml:space="preserve"> </w:t>
            </w:r>
            <w:bookmarkStart w:id="16" w:name="OLE_LINK60"/>
            <w:r>
              <w:rPr>
                <w:sz w:val="18"/>
                <w:szCs w:val="18"/>
                <w:highlight w:val="none"/>
              </w:rPr>
              <w:fldChar w:fldCharType="begin"/>
            </w:r>
            <w:r>
              <w:rPr>
                <w:rFonts w:hint="eastAsia"/>
                <w:sz w:val="18"/>
                <w:szCs w:val="18"/>
                <w:highlight w:val="none"/>
              </w:rPr>
              <w:instrText xml:space="preserve"> ADDIN EN.CITE </w:instrText>
            </w:r>
            <w:r>
              <w:rPr>
                <w:rFonts w:hint="eastAsia"/>
                <w:sz w:val="18"/>
                <w:szCs w:val="18"/>
                <w:highlight w:val="none"/>
              </w:rPr>
              <w:fldChar w:fldCharType="begin">
                <w:fldData xml:space="preserve">PEVuZE5vdGU+PENpdGU+PEF1dGhvcj5MaTwvQXV0aG9yPjxZZWFyPjIwMjQ8L1llYXI+PFJlY051
bT4zOTY8L1JlY051bT48RGlzcGxheVRleHQ+WzE5XTwvRGlzcGxheVRleHQ+PHJlY29yZD48cmVj
LW51bWJlcj4zOTY8L3JlYy1udW1iZXI+PGZvcmVpZ24ta2V5cz48a2V5IGFwcD0iRU4iIGRiLWlk
PSJ4eHY5ZXIwMm45eHJlbWV4cnQwNXJlcHp0ZHZyeHh4dzV0ZHMiIHRpbWVzdGFtcD0iMTcyNDE2
NTMwMCI+Mzk2PC9rZXk+PC9mb3JlaWduLWtleXM+PHJlZi10eXBlIG5hbWU9IkpvdXJuYWwgQXJ0
aWNsZSI+MTc8L3JlZi10eXBlPjxjb250cmlidXRvcnM+PGF1dGhvcnM+PGF1dGhvcj5MaSwgVy48
L2F1dGhvcj48YXV0aG9yPlh1LCBKLiBXLjwvYXV0aG9yPjxhdXRob3I+Q2hhaSwgSi4gTC48L2F1
dGhvcj48YXV0aG9yPkd1bywgQy4gQy48L2F1dGhvcj48YXV0aG9yPkxpLCBHLiBaLjwvYXV0aG9y
PjxhdXRob3I+R2FvLCBNLjwvYXV0aG9yPjxhdXRob3I+TGlhbmcsIFguIFouPC9hdXRob3I+PC9h
dXRob3JzPjwvY29udHJpYnV0b3JzPjxhdXRoLWFkZHJlc3M+Q29sbGVnZSBvZiBUcmFkaXRpb25h
bCBDaGluZXNlIE1lZGljaW5lLiYjeEQ7Rmlyc3QgQ29sbGVnZSBvZiBDbGluaWNhbCBNZWRpY2lu
ZS4mI3hEO0RlcGFydG1lbnQgb2YgQ2FyZGlvbG9neSwgVGhlIEZpcnN0IEFmZmlsaWF0ZWQgSG9z
cGl0YWwgb2YgU2hhbmRvbmcgRmlyc3QgTWVkaWNhbCBVbml2ZXJzaXR5ICZhbXA7IFNoYW5kb25n
IFByb3ZpbmNpYWwgUWlhbmZvc2hhbiBIb3NwaXRhbCwgU2hhbmRvbmcgTWVkaWNpbmUgYW5kIEhl
YWx0aCBLZXkgTGFib3JhdG9yeSBvZiBDYXJkaWFjIEVsZWN0cm9waHlzaW9sb2d5IGFuZCBBcnJo
eXRobWlhLCBKaW5hbiwgQ2hpbmEuJiN4RDtDb2xsZWdlIG9mIFBoYXJtYWN5LiYjeEQ7RGVwYXJ0
bWVudCBvZiBFbmRvY3Jpbm9sb2d5IGFuZCBNZXRhYm9sb2d5LCBUaGUgRmlyc3QgQWZmaWxpYXRl
ZCBIb3NwaXRhbCBvZiBTaGFuZG9uZyBGaXJzdCBNZWRpY2FsIFVuaXZlcnNpdHkgJmFtcDsgU2hh
bmRvbmcgUHJvdmluY2lhbCBRaWFuZm9zaGFuIEhvc3BpdGFsLiYjeEQ7T3J0aG9wYWVkaWMgTWlj
cm9zdXJnZXJ5LCBBZmZpbGlhdGVkIEhvc3BpdGFsIG9mIFNoYW5kb25nIFVuaXZlcnNpdHkgb2Yg
VHJhZGl0aW9uYWwgQ2hpbmVzZSBNZWRpY2luZSwgU2hhbmRvbmcuPC9hdXRoLWFkZHJlc3M+PHRp
dGxlcz48dGl0bGU+Q29tcGxleCBjYXVzYWwgYXNzb2NpYXRpb24gYmV0d2VlbiBnZW5ldGljYWxs
eSBwcmVkaWN0ZWQgNzMxIGltbXVub2N5dGUgcGhlbm90eXBlIGFuZCBvc3Rlb25lY3Jvc2lzOiBh
IGJpZGlyZWN0aW9uYWwgdHdvLXNhbXBsZSBNZW5kZWxpYW4gcmFuZG9taXphdGlvbiBhbmFseXNp
czwvdGl0bGU+PHNlY29uZGFyeS10aXRsZT5JbnQgSiBTdXJnPC9zZWNvbmRhcnktdGl0bGU+PGFs
dC10aXRsZT5JbnRlcm5hdGlvbmFsIGpvdXJuYWwgb2Ygc3VyZ2VyeSAoTG9uZG9uLCBFbmdsYW5k
KTwvYWx0LXRpdGxlPjwvdGl0bGVzPjxwZXJpb2RpY2FsPjxmdWxsLXRpdGxlPkludCBKIFN1cmc8
L2Z1bGwtdGl0bGU+PGFiYnItMT5JbnRlcm5hdGlvbmFsIGpvdXJuYWwgb2Ygc3VyZ2VyeSAoTG9u
ZG9uLCBFbmdsYW5kKTwvYWJici0xPjwvcGVyaW9kaWNhbD48YWx0LXBlcmlvZGljYWw+PGZ1bGwt
dGl0bGU+SW50IEogU3VyZzwvZnVsbC10aXRsZT48YWJici0xPkludGVybmF0aW9uYWwgam91cm5h
bCBvZiBzdXJnZXJ5IChMb25kb24sIEVuZ2xhbmQpPC9hYmJyLTE+PC9hbHQtcGVyaW9kaWNhbD48
cGFnZXM+MzI4NS0zMjkzPC9wYWdlcz48dm9sdW1lPjExMDwvdm9sdW1lPjxudW1iZXI+NjwvbnVt
YmVyPjxlZGl0aW9uPjIwMjQvMDMvMTk8L2VkaXRpb24+PGtleXdvcmRzPjxrZXl3b3JkPipNZW5k
ZWxpYW4gUmFuZG9taXphdGlvbiBBbmFseXNpczwva2V5d29yZD48a2V5d29yZD5IdW1hbnM8L2tl
eXdvcmQ+PGtleXdvcmQ+Kk9zdGVvbmVjcm9zaXMvZ2VuZXRpY3MvaW1tdW5vbG9neTwva2V5d29y
ZD48a2V5d29yZD4qUGhlbm90eXBlPC9rZXl3b3JkPjxrZXl3b3JkPipHZW5vbWUtV2lkZSBBc3Nv
Y2lhdGlvbiBTdHVkeTwva2V5d29yZD48a2V5d29yZD5HZW5ldGljIFByZWRpc3Bvc2l0aW9uIHRv
IERpc2Vhc2U8L2tleXdvcmQ+PGtleXdvcmQ+UG9seW1vcnBoaXNtLCBTaW5nbGUgTnVjbGVvdGlk
ZTwva2V5d29yZD48L2tleXdvcmRzPjxkYXRlcz48eWVhcj4yMDI0PC95ZWFyPjxwdWItZGF0ZXM+
PGRhdGU+SnVuIDE8L2RhdGU+PC9wdWItZGF0ZXM+PC9kYXRlcz48aXNibj4xNzQzLTkxOTEgKFBy
aW50KSYjeEQ7MTc0My05MTU5PC9pc2JuPjxhY2Nlc3Npb24tbnVtPjM4NDk4NDA0PC9hY2Nlc3Np
b24tbnVtPjx1cmxzPjwvdXJscz48Y3VzdG9tMj5QTUMxMTE3NTgwNCBubyBjb25mbGljdCBvZiBp
bnRlcmVzdC48L2N1c3RvbTI+PGVsZWN0cm9uaWMtcmVzb3VyY2UtbnVtPjEwLjEwOTcvanM5LjAw
MDAwMDAwMDAwMDEzMjc8L2VsZWN0cm9uaWMtcmVzb3VyY2UtbnVtPjxyZW1vdGUtZGF0YWJhc2Ut
cHJvdmlkZXI+TkxNPC9yZW1vdGUtZGF0YWJhc2UtcHJvdmlkZXI+PGxhbmd1YWdlPmVuZzwvbGFu
Z3VhZ2U+PC9yZWNvcmQ+PC9DaXRlPjwvRW5kTm90ZT4A
</w:fldData>
              </w:fldChar>
            </w:r>
            <w:r>
              <w:rPr>
                <w:rFonts w:hint="eastAsia"/>
                <w:sz w:val="18"/>
                <w:szCs w:val="18"/>
                <w:highlight w:val="none"/>
              </w:rPr>
              <w:instrText xml:space="preserve"> ADDIN EN.CITE.DATA </w:instrText>
            </w:r>
            <w:r>
              <w:rPr>
                <w:rFonts w:hint="eastAsia"/>
                <w:sz w:val="18"/>
                <w:szCs w:val="18"/>
                <w:highlight w:val="none"/>
              </w:rPr>
              <w:fldChar w:fldCharType="separate"/>
            </w:r>
            <w:r>
              <w:rPr>
                <w:rFonts w:hint="eastAsia"/>
                <w:sz w:val="18"/>
                <w:szCs w:val="18"/>
                <w:highlight w:val="none"/>
              </w:rPr>
              <w:fldChar w:fldCharType="end"/>
            </w:r>
            <w:r>
              <w:rPr>
                <w:sz w:val="18"/>
                <w:szCs w:val="18"/>
                <w:highlight w:val="none"/>
              </w:rPr>
              <w:fldChar w:fldCharType="separate"/>
            </w:r>
            <w:r>
              <w:rPr>
                <w:rFonts w:hint="eastAsia"/>
                <w:sz w:val="18"/>
                <w:szCs w:val="18"/>
                <w:highlight w:val="none"/>
              </w:rPr>
              <w:t>[19]</w:t>
            </w:r>
            <w:r>
              <w:rPr>
                <w:sz w:val="18"/>
                <w:szCs w:val="18"/>
                <w:highlight w:val="none"/>
              </w:rPr>
              <w:fldChar w:fldCharType="end"/>
            </w:r>
            <w:bookmarkEnd w:id="16"/>
            <w:r>
              <w:rPr>
                <w:rFonts w:hint="eastAsia"/>
                <w:sz w:val="18"/>
                <w:szCs w:val="18"/>
                <w:highlight w:val="none"/>
              </w:rPr>
              <w:t xml:space="preserve">.Among them, MR-Egger intercept recognizes horizontal </w:t>
            </w:r>
            <w:bookmarkStart w:id="17" w:name="OLE_LINK13"/>
            <w:r>
              <w:rPr>
                <w:rFonts w:hint="eastAsia"/>
                <w:sz w:val="18"/>
                <w:szCs w:val="18"/>
                <w:highlight w:val="none"/>
              </w:rPr>
              <w:t>pleiotropy</w:t>
            </w:r>
            <w:bookmarkEnd w:id="17"/>
            <w:r>
              <w:rPr>
                <w:rFonts w:hint="eastAsia"/>
                <w:sz w:val="18"/>
                <w:szCs w:val="18"/>
                <w:highlight w:val="none"/>
              </w:rPr>
              <w:t xml:space="preserve"> via evaluating the intercept term into the regression analysis.The MR-PRESSO global test is designed to address horizontal pleiotropy by reassessing causality through the identification and exclusion of outliers and biases</w:t>
            </w:r>
            <w:r>
              <w:rPr>
                <w:rFonts w:hint="eastAsia"/>
                <w:sz w:val="18"/>
                <w:szCs w:val="18"/>
                <w:highlight w:val="none"/>
              </w:rPr>
              <w:fldChar w:fldCharType="begin"/>
            </w:r>
            <w:r>
              <w:rPr>
                <w:rFonts w:hint="eastAsia"/>
                <w:sz w:val="18"/>
                <w:szCs w:val="18"/>
                <w:highlight w:val="none"/>
              </w:rPr>
              <w:instrText xml:space="preserve"> ADDIN EN.CITE </w:instrText>
            </w:r>
            <w:r>
              <w:rPr>
                <w:rFonts w:hint="eastAsia"/>
                <w:sz w:val="18"/>
                <w:szCs w:val="18"/>
                <w:highlight w:val="none"/>
              </w:rPr>
              <w:fldChar w:fldCharType="begin">
                <w:fldData xml:space="preserve">PEVuZE5vdGU+PENpdGU+PEF1dGhvcj5TYW5kZXJzb248L0F1dGhvcj48WWVhcj4yMDIyPC9ZZWFy
PjxSZWNOdW0+Mzk4PC9SZWNOdW0+PERpc3BsYXlUZXh0PlsyMF08L0Rpc3BsYXlUZXh0PjxyZWNv
cmQ+PHJlYy1udW1iZXI+Mzk4PC9yZWMtbnVtYmVyPjxmb3JlaWduLWtleXM+PGtleSBhcHA9IkVO
IiBkYi1pZD0ieHh2OWVyMDJuOXhyZW1leHJ0MDVyZXB6dGR2cnh4eHc1dGRzIiB0aW1lc3RhbXA9
IjE3MjQxNjUzNDAiPjM5ODwva2V5PjwvZm9yZWlnbi1rZXlzPjxyZWYtdHlwZSBuYW1lPSJKb3Vy
bmFsIEFydGljbGUiPjE3PC9yZWYtdHlwZT48Y29udHJpYnV0b3JzPjxhdXRob3JzPjxhdXRob3I+
U2FuZGVyc29uLCBFLjwvYXV0aG9yPjxhdXRob3I+R2x5bW91ciwgTS4gTS48L2F1dGhvcj48YXV0
aG9yPkhvbG1lcywgTS4gVi48L2F1dGhvcj48YXV0aG9yPkthbmcsIEguPC9hdXRob3I+PGF1dGhv
cj5Nb3JyaXNvbiwgSi48L2F1dGhvcj48YXV0aG9yPk11bmFmw7IsIE0uIFIuPC9hdXRob3I+PGF1
dGhvcj5QYWxtZXIsIFQuPC9hdXRob3I+PGF1dGhvcj5TY2hvb2xpbmcsIEMuIE0uPC9hdXRob3I+
PGF1dGhvcj5XYWxsYWNlLCBDLjwvYXV0aG9yPjxhdXRob3I+WmhhbywgUS48L2F1dGhvcj48YXV0
aG9yPlNtaXRoLCBHLiBELjwvYXV0aG9yPjwvYXV0aG9ycz48L2NvbnRyaWJ1dG9ycz48YXV0aC1h
ZGRyZXNzPk1lZGljYWwgUmVzZWFyY2ggQ291bmNpbCAoTVJDKSBJbnRlZ3JhdGl2ZSBFcGlkZW1p
b2xvZ3kgVW5pdCwgVW5pdmVyc2l0eSBvZiBCcmlzdG9sLCBCcmlzdG9sLCBVSy4mI3hEO1BvcHVs
YXRpb24gSGVhbHRoIFNjaWVuY2VzLCBCcmlzdG9sIE1lZGljYWwgU2Nob29sLCBVbml2ZXJzaXR5
IG9mIEJyaXN0b2wsIEJyaXN0b2wsIFVLLiYjeEQ7RGVwYXJ0bWVudCBvZiBFcGlkZW1pb2xvZ3kg
YW5kIEJpb3N0YXRpc3RpY3MsIFVuaXZlcnNpdHkgb2YgQ2FsaWZvcm5pYSwgU2FuIEZyYW5jaXNj
bywgQ0EsIFVTQS4mI3hEO01SQyBQb3B1bGF0aW9uIEhlYWx0aCBSZXNlYXJjaCBVbml0LCBVbml2
ZXJzaXR5IG9mIE94Zm9yZCwgT3hmb3JkLCBVSy4mI3hEO0NsaW5pY2FsIFRyaWFsIFNlcnZpY2Ug
VW5pdCBhbmQgRXBpZGVtaW9sb2dpY2FsIFN0dWRpZXMgVW5pdCwgTnVmZmllbGQgRGVwYXJ0bWVu
dCBvZiBQb3B1bGF0aW9uIEhlYWx0aCwgVW5pdmVyc2l0eSBvZiBPeGZvcmQsIE94Zm9yZCwgVUsu
JiN4RDtEZXBhcnRtZW50IG9mIFN0YXRpc3RpY3MsIFVuaXZlcnNpdHkgb2YgV2lzY29uc2luLU1h
ZGlzb24sIE1hZGlzb24sIFdJLCBVU0EuJiN4RDtEZXBhcnRtZW50IG9mIEJpb3N0YXRpc3RpY3Ms
IFVuaXZlcnNpdHkgb2YgTWljaGlnYW4sIEFubiBBcmJvciwgTUksIFVTQS4mI3hEO1NjaG9vbCBv
ZiBQc3ljaG9sb2dpY2FsIFNjaWVuY2UsIFVuaXZlcnNpdHkgb2YgQnJpc3RvbCwgQnJpc3RvbCwg
VUsuJiN4RDtOYXRpb25hbCBJbnN0aXR1dGUgZm9yIEhlYWx0aCBSZXNlYXJjaCAoTklIUiksIEJp
b21lZGljYWwgUmVzZWFyY2ggQ2VudHJlLCBVbml2ZXJzaXR5IG9mIEJyaXN0b2wsIEJyaXN0b2ws
IFVLLiYjeEQ7U2Nob29sIG9mIFB1YmxpYyBIZWFsdGgsIExpIEthIFNoaW5nLCBGYWN1bHR5IG9m
IE1lZGljaW5lLCBUaGUgVW5pdmVyc2l0eSBvZiBIb25nIEtvbmcsIEhvbmcgS29uZywgQ2hpbmEu
JiN4RDtTY2hvb2wgb2YgUHVibGljIEhlYWx0aCwgQ2l0eSBVbml2ZXJzaXR5IG9mIE5ldyBZb3Jr
LCBOZXcgWW9yaywgVVNBLiYjeEQ7TVJDIEJpb3N0YXRpc3RpY3MgVW5pdCwgVW5pdmVyc2l0eSBv
ZiBDYW1icmlkZ2UsIENhbWJyaWRnZSwgVUsuJiN4RDtDYW1icmlkZ2UgSW5zdGl0dXRlIG9mIFRo
ZXJhcGV1dGljIEltbXVub2xvZ3kgJmFtcDsgSW5mZWN0aW91cyBEaXNlYXNlIChDSVRJSUQpLCBV
bml2ZXJzaXR5IG9mIENhbWJyaWRnZSwgQ2FtYnJpZGdlLCBVSy4mI3hEO1N0YXRpc3RpY2FsIExh
Ym9yYXRvcnksIFVuaXZlcnNpdHkgb2YgQ2FtYnJpZGdlLCBDYW1icmlkZ2UsIFVLLjwvYXV0aC1h
ZGRyZXNzPjx0aXRsZXM+PHRpdGxlPk1lbmRlbGlhbiByYW5kb21pemF0aW9uPC90aXRsZT48c2Vj
b25kYXJ5LXRpdGxlPk5hdCBSZXYgTWV0aG9kcyBQcmltZXJzPC9zZWNvbmRhcnktdGl0bGU+PGFs
dC10aXRsZT5OYXR1cmUgcmV2aWV3cy4gTWV0aG9kcyBwcmltZXJzPC9hbHQtdGl0bGU+PC90aXRs
ZXM+PHBlcmlvZGljYWw+PGZ1bGwtdGl0bGU+TmF0IFJldiBNZXRob2RzIFByaW1lcnM8L2Z1bGwt
dGl0bGU+PGFiYnItMT5OYXR1cmUgcmV2aWV3cy4gTWV0aG9kcyBwcmltZXJzPC9hYmJyLTE+PC9w
ZXJpb2RpY2FsPjxhbHQtcGVyaW9kaWNhbD48ZnVsbC10aXRsZT5OYXQgUmV2IE1ldGhvZHMgUHJp
bWVyczwvZnVsbC10aXRsZT48YWJici0xPk5hdHVyZSByZXZpZXdzLiBNZXRob2RzIHByaW1lcnM8
L2FiYnItMT48L2FsdC1wZXJpb2RpY2FsPjx2b2x1bWU+Mjwvdm9sdW1lPjxlZGl0aW9uPjIwMjIv
MDIvMTA8L2VkaXRpb24+PGRhdGVzPjx5ZWFyPjIwMjI8L3llYXI+PHB1Yi1kYXRlcz48ZGF0ZT5G
ZWIgMTA8L2RhdGU+PC9wdWItZGF0ZXM+PC9kYXRlcz48aXNibj4yNjYyLTg0NDk8L2lzYm4+PGFj
Y2Vzc2lvbi1udW0+MzczMjUxOTQ8L2FjY2Vzc2lvbi1udW0+PHVybHM+PC91cmxzPjxjdXN0b20y
PlBNQzc2MTQ2MzU8L2N1c3RvbTI+PGN1c3RvbTY+RU1TMTQyMTY4PC9jdXN0b202PjxlbGVjdHJv
bmljLXJlc291cmNlLW51bT4xMC4xMDM4L3M0MzU4Ni0wMjEtMDAwOTItNTwvZWxlY3Ryb25pYy1y
ZXNvdXJjZS1udW0+PHJlbW90ZS1kYXRhYmFzZS1wcm92aWRlcj5OTE08L3JlbW90ZS1kYXRhYmFz
ZS1wcm92aWRlcj48bGFuZ3VhZ2U+ZW5nPC9sYW5ndWFnZT48L3JlY29yZD48L0NpdGU+PC9FbmRO
b3RlPg==
</w:fldData>
              </w:fldChar>
            </w:r>
            <w:r>
              <w:rPr>
                <w:rFonts w:hint="eastAsia"/>
                <w:sz w:val="18"/>
                <w:szCs w:val="18"/>
                <w:highlight w:val="none"/>
              </w:rPr>
              <w:instrText xml:space="preserve"> ADDIN EN.CITE.DATA </w:instrText>
            </w:r>
            <w:r>
              <w:rPr>
                <w:rFonts w:hint="eastAsia"/>
                <w:sz w:val="18"/>
                <w:szCs w:val="18"/>
                <w:highlight w:val="none"/>
              </w:rPr>
              <w:fldChar w:fldCharType="separate"/>
            </w:r>
            <w:r>
              <w:rPr>
                <w:rFonts w:hint="eastAsia"/>
                <w:sz w:val="18"/>
                <w:szCs w:val="18"/>
                <w:highlight w:val="none"/>
              </w:rPr>
              <w:fldChar w:fldCharType="end"/>
            </w:r>
            <w:r>
              <w:rPr>
                <w:rFonts w:hint="eastAsia"/>
                <w:sz w:val="18"/>
                <w:szCs w:val="18"/>
                <w:highlight w:val="none"/>
              </w:rPr>
              <w:fldChar w:fldCharType="separate"/>
            </w:r>
            <w:r>
              <w:rPr>
                <w:rFonts w:hint="eastAsia"/>
                <w:sz w:val="18"/>
                <w:szCs w:val="18"/>
                <w:highlight w:val="none"/>
              </w:rPr>
              <w:t>[20]</w:t>
            </w:r>
            <w:r>
              <w:rPr>
                <w:rFonts w:hint="eastAsia"/>
                <w:sz w:val="18"/>
                <w:szCs w:val="18"/>
                <w:highlight w:val="none"/>
              </w:rPr>
              <w:fldChar w:fldCharType="end"/>
            </w:r>
            <w:r>
              <w:rPr>
                <w:rFonts w:hint="eastAsia"/>
                <w:sz w:val="18"/>
                <w:szCs w:val="18"/>
                <w:highlight w:val="none"/>
              </w:rPr>
              <w:t>.The process of SNPs detection employed a systematic</w:t>
            </w:r>
            <w:bookmarkStart w:id="18" w:name="OLE_LINK43"/>
            <w:r>
              <w:rPr>
                <w:rFonts w:hint="eastAsia"/>
                <w:sz w:val="18"/>
                <w:szCs w:val="18"/>
                <w:highlight w:val="none"/>
              </w:rPr>
              <w:t xml:space="preserve"> </w:t>
            </w:r>
            <w:r>
              <w:rPr>
                <w:sz w:val="18"/>
                <w:szCs w:val="18"/>
                <w:highlight w:val="none"/>
              </w:rPr>
              <w:t>“</w:t>
            </w:r>
            <w:r>
              <w:rPr>
                <w:rFonts w:hint="eastAsia"/>
                <w:sz w:val="18"/>
                <w:szCs w:val="18"/>
                <w:highlight w:val="none"/>
              </w:rPr>
              <w:t>Leave-one-out</w:t>
            </w:r>
            <w:bookmarkEnd w:id="18"/>
            <w:r>
              <w:rPr>
                <w:sz w:val="18"/>
                <w:szCs w:val="18"/>
                <w:highlight w:val="none"/>
              </w:rPr>
              <w:t>”</w:t>
            </w:r>
            <w:r>
              <w:rPr>
                <w:rFonts w:hint="eastAsia"/>
                <w:sz w:val="18"/>
                <w:szCs w:val="18"/>
                <w:highlight w:val="none"/>
              </w:rPr>
              <w:t xml:space="preserve">procedure to guarantee the reliability of the study by emliminating SNPs with potential heterogeneity. </w:t>
            </w:r>
            <w:bookmarkStart w:id="19" w:name="OLE_LINK68"/>
            <w:r>
              <w:rPr>
                <w:sz w:val="18"/>
                <w:szCs w:val="18"/>
                <w:highlight w:val="none"/>
              </w:rPr>
              <w:t>“</w:t>
            </w:r>
            <w:r>
              <w:rPr>
                <w:rFonts w:hint="eastAsia"/>
                <w:sz w:val="18"/>
                <w:szCs w:val="18"/>
                <w:highlight w:val="none"/>
              </w:rPr>
              <w:t>Leave-one-out</w:t>
            </w:r>
            <w:r>
              <w:rPr>
                <w:sz w:val="18"/>
                <w:szCs w:val="18"/>
                <w:highlight w:val="none"/>
              </w:rPr>
              <w:t>”</w:t>
            </w:r>
            <w:r>
              <w:rPr>
                <w:rFonts w:hint="eastAsia"/>
                <w:sz w:val="18"/>
                <w:szCs w:val="18"/>
                <w:highlight w:val="none"/>
              </w:rPr>
              <w:t>sensitivity analysis, funnel plots, scatter plots, and forest plots</w:t>
            </w:r>
            <w:bookmarkEnd w:id="19"/>
            <w:r>
              <w:rPr>
                <w:rFonts w:hint="eastAsia"/>
                <w:sz w:val="18"/>
                <w:szCs w:val="18"/>
                <w:highlight w:val="none"/>
              </w:rPr>
              <w:t xml:space="preserve"> further corroborate the observed heterogeneity and robustness.</w:t>
            </w:r>
          </w:p>
          <w:p w14:paraId="107BF99E">
            <w:pPr>
              <w:rPr>
                <w:rFonts w:eastAsia="Times New Roman"/>
                <w:sz w:val="18"/>
                <w:szCs w:val="18"/>
                <w:lang w:val="en-GB" w:eastAsia="en-GB"/>
              </w:rPr>
            </w:pPr>
          </w:p>
        </w:tc>
      </w:tr>
      <w:tr w14:paraId="0D8F3A7E">
        <w:tblPrEx>
          <w:tblCellMar>
            <w:top w:w="0" w:type="dxa"/>
            <w:left w:w="108" w:type="dxa"/>
            <w:bottom w:w="0" w:type="dxa"/>
            <w:right w:w="108" w:type="dxa"/>
          </w:tblCellMar>
        </w:tblPrEx>
        <w:tc>
          <w:tcPr>
            <w:tcW w:w="587" w:type="dxa"/>
            <w:shd w:val="clear" w:color="auto" w:fill="EEEEEE"/>
          </w:tcPr>
          <w:p w14:paraId="1D70C4CD">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0A3AAFD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5283" w:type="dxa"/>
            <w:shd w:val="clear" w:color="auto" w:fill="EEEEEE"/>
          </w:tcPr>
          <w:p w14:paraId="0878638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1620" w:type="dxa"/>
            <w:shd w:val="clear" w:color="auto" w:fill="EEEEEE"/>
          </w:tcPr>
          <w:p w14:paraId="297C3632">
            <w:pPr>
              <w:spacing w:before="96" w:beforeLines="40" w:after="96" w:afterLines="40" w:line="24" w:lineRule="atLeast"/>
              <w:rPr>
                <w:rFonts w:eastAsia="Times New Roman"/>
                <w:sz w:val="18"/>
                <w:szCs w:val="18"/>
                <w:lang w:val="en-GB" w:eastAsia="en-GB"/>
              </w:rPr>
            </w:pPr>
          </w:p>
        </w:tc>
        <w:tc>
          <w:tcPr>
            <w:tcW w:w="5218" w:type="dxa"/>
            <w:shd w:val="clear" w:color="auto" w:fill="EEEEEE"/>
          </w:tcPr>
          <w:p w14:paraId="16808665">
            <w:pPr>
              <w:spacing w:before="96" w:beforeLines="40" w:after="96" w:afterLines="40" w:line="24" w:lineRule="atLeast"/>
              <w:rPr>
                <w:rFonts w:eastAsia="Times New Roman"/>
                <w:sz w:val="18"/>
                <w:szCs w:val="18"/>
                <w:lang w:val="en-GB" w:eastAsia="en-GB"/>
              </w:rPr>
            </w:pPr>
          </w:p>
        </w:tc>
      </w:tr>
      <w:tr w14:paraId="77F037B8">
        <w:tblPrEx>
          <w:tblCellMar>
            <w:top w:w="0" w:type="dxa"/>
            <w:left w:w="108" w:type="dxa"/>
            <w:bottom w:w="0" w:type="dxa"/>
            <w:right w:w="108" w:type="dxa"/>
          </w:tblCellMar>
        </w:tblPrEx>
        <w:tc>
          <w:tcPr>
            <w:tcW w:w="587" w:type="dxa"/>
            <w:shd w:val="clear" w:color="auto" w:fill="auto"/>
          </w:tcPr>
          <w:p w14:paraId="4AC39E55">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4D9E035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5283" w:type="dxa"/>
            <w:shd w:val="clear" w:color="auto" w:fill="auto"/>
          </w:tcPr>
          <w:p w14:paraId="41F1E52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1620" w:type="dxa"/>
          </w:tcPr>
          <w:p w14:paraId="6B5C4982">
            <w:pPr>
              <w:spacing w:before="96" w:beforeLines="40" w:after="96" w:afterLines="40" w:line="24" w:lineRule="atLeast"/>
              <w:rPr>
                <w:rFonts w:eastAsia="Times New Roman"/>
                <w:sz w:val="18"/>
                <w:szCs w:val="18"/>
                <w:lang w:val="en-GB" w:eastAsia="en-GB"/>
              </w:rPr>
            </w:pPr>
          </w:p>
        </w:tc>
        <w:tc>
          <w:tcPr>
            <w:tcW w:w="5218" w:type="dxa"/>
          </w:tcPr>
          <w:p w14:paraId="490E44D4">
            <w:pPr>
              <w:spacing w:before="96" w:beforeLines="40" w:after="96" w:afterLines="40" w:line="24" w:lineRule="atLeast"/>
              <w:rPr>
                <w:rFonts w:eastAsia="Times New Roman"/>
                <w:sz w:val="18"/>
                <w:szCs w:val="18"/>
                <w:lang w:val="en-GB" w:eastAsia="en-GB"/>
              </w:rPr>
            </w:pPr>
          </w:p>
        </w:tc>
      </w:tr>
      <w:tr w14:paraId="585043CE">
        <w:tblPrEx>
          <w:tblCellMar>
            <w:top w:w="0" w:type="dxa"/>
            <w:left w:w="108" w:type="dxa"/>
            <w:bottom w:w="0" w:type="dxa"/>
            <w:right w:w="108" w:type="dxa"/>
          </w:tblCellMar>
        </w:tblPrEx>
        <w:tc>
          <w:tcPr>
            <w:tcW w:w="587" w:type="dxa"/>
            <w:shd w:val="clear" w:color="auto" w:fill="EEEEEE"/>
          </w:tcPr>
          <w:p w14:paraId="55967D0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782" w:type="dxa"/>
            <w:shd w:val="clear" w:color="auto" w:fill="EEEEEE"/>
          </w:tcPr>
          <w:p w14:paraId="0947B164">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5283" w:type="dxa"/>
            <w:shd w:val="clear" w:color="auto" w:fill="EEEEEE"/>
          </w:tcPr>
          <w:p w14:paraId="1E6D0B1E">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1620" w:type="dxa"/>
            <w:shd w:val="clear" w:color="auto" w:fill="EEEEEE"/>
          </w:tcPr>
          <w:p w14:paraId="61C50F74">
            <w:pPr>
              <w:tabs>
                <w:tab w:val="left" w:pos="1620"/>
              </w:tabs>
              <w:spacing w:before="96" w:beforeLines="40" w:after="96" w:afterLines="40" w:line="24" w:lineRule="atLeast"/>
              <w:rPr>
                <w:rFonts w:hint="default" w:eastAsia="宋体"/>
                <w:sz w:val="18"/>
                <w:szCs w:val="18"/>
                <w:lang w:val="en-US" w:eastAsia="zh-CN"/>
              </w:rPr>
            </w:pPr>
          </w:p>
        </w:tc>
        <w:tc>
          <w:tcPr>
            <w:tcW w:w="5218" w:type="dxa"/>
            <w:shd w:val="clear" w:color="auto" w:fill="EEEEEE"/>
          </w:tcPr>
          <w:p w14:paraId="5D46DB2B">
            <w:pPr>
              <w:tabs>
                <w:tab w:val="left" w:pos="1620"/>
              </w:tabs>
              <w:spacing w:before="96" w:beforeLines="40" w:after="96" w:afterLines="40" w:line="24" w:lineRule="atLeast"/>
              <w:rPr>
                <w:rFonts w:eastAsia="Times New Roman"/>
                <w:sz w:val="18"/>
                <w:szCs w:val="18"/>
                <w:lang w:val="en-GB" w:eastAsia="en-GB"/>
              </w:rPr>
            </w:pPr>
          </w:p>
        </w:tc>
      </w:tr>
      <w:tr w14:paraId="383932D9">
        <w:tblPrEx>
          <w:tblCellMar>
            <w:top w:w="0" w:type="dxa"/>
            <w:left w:w="108" w:type="dxa"/>
            <w:bottom w:w="0" w:type="dxa"/>
            <w:right w:w="108" w:type="dxa"/>
          </w:tblCellMar>
        </w:tblPrEx>
        <w:tc>
          <w:tcPr>
            <w:tcW w:w="587" w:type="dxa"/>
            <w:shd w:val="clear" w:color="auto" w:fill="auto"/>
          </w:tcPr>
          <w:p w14:paraId="1A4621B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782" w:type="dxa"/>
            <w:shd w:val="clear" w:color="auto" w:fill="auto"/>
          </w:tcPr>
          <w:p w14:paraId="0F88F25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5283" w:type="dxa"/>
            <w:shd w:val="clear" w:color="auto" w:fill="auto"/>
          </w:tcPr>
          <w:p w14:paraId="13C6445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1620" w:type="dxa"/>
          </w:tcPr>
          <w:p w14:paraId="4B9B6FF5">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5218" w:type="dxa"/>
          </w:tcPr>
          <w:p w14:paraId="229BFDFD">
            <w:pPr>
              <w:spacing w:before="96" w:beforeLines="40" w:after="96" w:afterLines="40" w:line="24" w:lineRule="atLeast"/>
              <w:rPr>
                <w:rFonts w:eastAsia="Times New Roman"/>
                <w:sz w:val="18"/>
                <w:szCs w:val="18"/>
                <w:lang w:val="en-GB" w:eastAsia="en-GB"/>
              </w:rPr>
            </w:pPr>
            <w:r>
              <w:rPr>
                <w:rFonts w:hint="eastAsia"/>
                <w:sz w:val="18"/>
                <w:szCs w:val="18"/>
                <w:highlight w:val="none"/>
              </w:rPr>
              <w:t xml:space="preserve">We conducted a comprehensive analysis of heterogeneity using Cochran's Q test to evaluate the presence of heterogeneity, and employed forest plots to visually represent the effect size of each SNP.In order to detect potential horizontal pleiotropy among these SNPs, both the MR-Egger intercept and the MR-PRESSO Global test were employed to verify </w:t>
            </w:r>
            <w:r>
              <w:rPr>
                <w:sz w:val="18"/>
                <w:szCs w:val="18"/>
                <w:highlight w:val="none"/>
              </w:rPr>
              <w:t xml:space="preserve">sensitivity analyses for </w:t>
            </w:r>
            <w:r>
              <w:rPr>
                <w:rFonts w:hint="eastAsia"/>
                <w:sz w:val="18"/>
                <w:szCs w:val="18"/>
                <w:highlight w:val="none"/>
              </w:rPr>
              <w:t>MR</w:t>
            </w:r>
            <w:r>
              <w:rPr>
                <w:sz w:val="18"/>
                <w:szCs w:val="18"/>
                <w:highlight w:val="none"/>
              </w:rPr>
              <w:t xml:space="preserve"> studies </w:t>
            </w:r>
            <w:r>
              <w:rPr>
                <w:sz w:val="18"/>
                <w:szCs w:val="18"/>
                <w:highlight w:val="none"/>
              </w:rPr>
              <w:fldChar w:fldCharType="begin"/>
            </w:r>
            <w:r>
              <w:rPr>
                <w:rFonts w:hint="eastAsia"/>
                <w:sz w:val="18"/>
                <w:szCs w:val="18"/>
                <w:highlight w:val="none"/>
              </w:rPr>
              <w:instrText xml:space="preserve"> ADDIN EN.CITE </w:instrText>
            </w:r>
            <w:r>
              <w:rPr>
                <w:rFonts w:hint="eastAsia"/>
                <w:sz w:val="18"/>
                <w:szCs w:val="18"/>
                <w:highlight w:val="none"/>
              </w:rPr>
              <w:fldChar w:fldCharType="begin">
                <w:fldData xml:space="preserve">PEVuZE5vdGU+PENpdGU+PEF1dGhvcj5MaTwvQXV0aG9yPjxZZWFyPjIwMjQ8L1llYXI+PFJlY051
bT4zOTY8L1JlY051bT48RGlzcGxheVRleHQ+WzE5XTwvRGlzcGxheVRleHQ+PHJlY29yZD48cmVj
LW51bWJlcj4zOTY8L3JlYy1udW1iZXI+PGZvcmVpZ24ta2V5cz48a2V5IGFwcD0iRU4iIGRiLWlk
PSJ4eHY5ZXIwMm45eHJlbWV4cnQwNXJlcHp0ZHZyeHh4dzV0ZHMiIHRpbWVzdGFtcD0iMTcyNDE2
NTMwMCI+Mzk2PC9rZXk+PC9mb3JlaWduLWtleXM+PHJlZi10eXBlIG5hbWU9IkpvdXJuYWwgQXJ0
aWNsZSI+MTc8L3JlZi10eXBlPjxjb250cmlidXRvcnM+PGF1dGhvcnM+PGF1dGhvcj5MaSwgVy48
L2F1dGhvcj48YXV0aG9yPlh1LCBKLiBXLjwvYXV0aG9yPjxhdXRob3I+Q2hhaSwgSi4gTC48L2F1
dGhvcj48YXV0aG9yPkd1bywgQy4gQy48L2F1dGhvcj48YXV0aG9yPkxpLCBHLiBaLjwvYXV0aG9y
PjxhdXRob3I+R2FvLCBNLjwvYXV0aG9yPjxhdXRob3I+TGlhbmcsIFguIFouPC9hdXRob3I+PC9h
dXRob3JzPjwvY29udHJpYnV0b3JzPjxhdXRoLWFkZHJlc3M+Q29sbGVnZSBvZiBUcmFkaXRpb25h
bCBDaGluZXNlIE1lZGljaW5lLiYjeEQ7Rmlyc3QgQ29sbGVnZSBvZiBDbGluaWNhbCBNZWRpY2lu
ZS4mI3hEO0RlcGFydG1lbnQgb2YgQ2FyZGlvbG9neSwgVGhlIEZpcnN0IEFmZmlsaWF0ZWQgSG9z
cGl0YWwgb2YgU2hhbmRvbmcgRmlyc3QgTWVkaWNhbCBVbml2ZXJzaXR5ICZhbXA7IFNoYW5kb25n
IFByb3ZpbmNpYWwgUWlhbmZvc2hhbiBIb3NwaXRhbCwgU2hhbmRvbmcgTWVkaWNpbmUgYW5kIEhl
YWx0aCBLZXkgTGFib3JhdG9yeSBvZiBDYXJkaWFjIEVsZWN0cm9waHlzaW9sb2d5IGFuZCBBcnJo
eXRobWlhLCBKaW5hbiwgQ2hpbmEuJiN4RDtDb2xsZWdlIG9mIFBoYXJtYWN5LiYjeEQ7RGVwYXJ0
bWVudCBvZiBFbmRvY3Jpbm9sb2d5IGFuZCBNZXRhYm9sb2d5LCBUaGUgRmlyc3QgQWZmaWxpYXRl
ZCBIb3NwaXRhbCBvZiBTaGFuZG9uZyBGaXJzdCBNZWRpY2FsIFVuaXZlcnNpdHkgJmFtcDsgU2hh
bmRvbmcgUHJvdmluY2lhbCBRaWFuZm9zaGFuIEhvc3BpdGFsLiYjeEQ7T3J0aG9wYWVkaWMgTWlj
cm9zdXJnZXJ5LCBBZmZpbGlhdGVkIEhvc3BpdGFsIG9mIFNoYW5kb25nIFVuaXZlcnNpdHkgb2Yg
VHJhZGl0aW9uYWwgQ2hpbmVzZSBNZWRpY2luZSwgU2hhbmRvbmcuPC9hdXRoLWFkZHJlc3M+PHRp
dGxlcz48dGl0bGU+Q29tcGxleCBjYXVzYWwgYXNzb2NpYXRpb24gYmV0d2VlbiBnZW5ldGljYWxs
eSBwcmVkaWN0ZWQgNzMxIGltbXVub2N5dGUgcGhlbm90eXBlIGFuZCBvc3Rlb25lY3Jvc2lzOiBh
IGJpZGlyZWN0aW9uYWwgdHdvLXNhbXBsZSBNZW5kZWxpYW4gcmFuZG9taXphdGlvbiBhbmFseXNp
czwvdGl0bGU+PHNlY29uZGFyeS10aXRsZT5JbnQgSiBTdXJnPC9zZWNvbmRhcnktdGl0bGU+PGFs
dC10aXRsZT5JbnRlcm5hdGlvbmFsIGpvdXJuYWwgb2Ygc3VyZ2VyeSAoTG9uZG9uLCBFbmdsYW5k
KTwvYWx0LXRpdGxlPjwvdGl0bGVzPjxwZXJpb2RpY2FsPjxmdWxsLXRpdGxlPkludCBKIFN1cmc8
L2Z1bGwtdGl0bGU+PGFiYnItMT5JbnRlcm5hdGlvbmFsIGpvdXJuYWwgb2Ygc3VyZ2VyeSAoTG9u
ZG9uLCBFbmdsYW5kKTwvYWJici0xPjwvcGVyaW9kaWNhbD48YWx0LXBlcmlvZGljYWw+PGZ1bGwt
dGl0bGU+SW50IEogU3VyZzwvZnVsbC10aXRsZT48YWJici0xPkludGVybmF0aW9uYWwgam91cm5h
bCBvZiBzdXJnZXJ5IChMb25kb24sIEVuZ2xhbmQpPC9hYmJyLTE+PC9hbHQtcGVyaW9kaWNhbD48
cGFnZXM+MzI4NS0zMjkzPC9wYWdlcz48dm9sdW1lPjExMDwvdm9sdW1lPjxudW1iZXI+NjwvbnVt
YmVyPjxlZGl0aW9uPjIwMjQvMDMvMTk8L2VkaXRpb24+PGtleXdvcmRzPjxrZXl3b3JkPipNZW5k
ZWxpYW4gUmFuZG9taXphdGlvbiBBbmFseXNpczwva2V5d29yZD48a2V5d29yZD5IdW1hbnM8L2tl
eXdvcmQ+PGtleXdvcmQ+Kk9zdGVvbmVjcm9zaXMvZ2VuZXRpY3MvaW1tdW5vbG9neTwva2V5d29y
ZD48a2V5d29yZD4qUGhlbm90eXBlPC9rZXl3b3JkPjxrZXl3b3JkPipHZW5vbWUtV2lkZSBBc3Nv
Y2lhdGlvbiBTdHVkeTwva2V5d29yZD48a2V5d29yZD5HZW5ldGljIFByZWRpc3Bvc2l0aW9uIHRv
IERpc2Vhc2U8L2tleXdvcmQ+PGtleXdvcmQ+UG9seW1vcnBoaXNtLCBTaW5nbGUgTnVjbGVvdGlk
ZTwva2V5d29yZD48L2tleXdvcmRzPjxkYXRlcz48eWVhcj4yMDI0PC95ZWFyPjxwdWItZGF0ZXM+
PGRhdGU+SnVuIDE8L2RhdGU+PC9wdWItZGF0ZXM+PC9kYXRlcz48aXNibj4xNzQzLTkxOTEgKFBy
aW50KSYjeEQ7MTc0My05MTU5PC9pc2JuPjxhY2Nlc3Npb24tbnVtPjM4NDk4NDA0PC9hY2Nlc3Np
b24tbnVtPjx1cmxzPjwvdXJscz48Y3VzdG9tMj5QTUMxMTE3NTgwNCBubyBjb25mbGljdCBvZiBp
bnRlcmVzdC48L2N1c3RvbTI+PGVsZWN0cm9uaWMtcmVzb3VyY2UtbnVtPjEwLjEwOTcvanM5LjAw
MDAwMDAwMDAwMDEzMjc8L2VsZWN0cm9uaWMtcmVzb3VyY2UtbnVtPjxyZW1vdGUtZGF0YWJhc2Ut
cHJvdmlkZXI+TkxNPC9yZW1vdGUtZGF0YWJhc2UtcHJvdmlkZXI+PGxhbmd1YWdlPmVuZzwvbGFu
Z3VhZ2U+PC9yZWNvcmQ+PC9DaXRlPjwvRW5kTm90ZT4A
</w:fldData>
              </w:fldChar>
            </w:r>
            <w:r>
              <w:rPr>
                <w:rFonts w:hint="eastAsia"/>
                <w:sz w:val="18"/>
                <w:szCs w:val="18"/>
                <w:highlight w:val="none"/>
              </w:rPr>
              <w:instrText xml:space="preserve"> ADDIN EN.CITE.DATA </w:instrText>
            </w:r>
            <w:r>
              <w:rPr>
                <w:rFonts w:hint="eastAsia"/>
                <w:sz w:val="18"/>
                <w:szCs w:val="18"/>
                <w:highlight w:val="none"/>
              </w:rPr>
              <w:fldChar w:fldCharType="separate"/>
            </w:r>
            <w:r>
              <w:rPr>
                <w:rFonts w:hint="eastAsia"/>
                <w:sz w:val="18"/>
                <w:szCs w:val="18"/>
                <w:highlight w:val="none"/>
              </w:rPr>
              <w:fldChar w:fldCharType="end"/>
            </w:r>
            <w:r>
              <w:rPr>
                <w:sz w:val="18"/>
                <w:szCs w:val="18"/>
                <w:highlight w:val="none"/>
              </w:rPr>
              <w:fldChar w:fldCharType="separate"/>
            </w:r>
            <w:r>
              <w:rPr>
                <w:rFonts w:hint="eastAsia"/>
                <w:sz w:val="18"/>
                <w:szCs w:val="18"/>
                <w:highlight w:val="none"/>
              </w:rPr>
              <w:t>[19]</w:t>
            </w:r>
            <w:r>
              <w:rPr>
                <w:sz w:val="18"/>
                <w:szCs w:val="18"/>
                <w:highlight w:val="none"/>
              </w:rPr>
              <w:fldChar w:fldCharType="end"/>
            </w:r>
            <w:r>
              <w:rPr>
                <w:rFonts w:hint="eastAsia"/>
                <w:sz w:val="18"/>
                <w:szCs w:val="18"/>
                <w:highlight w:val="none"/>
              </w:rPr>
              <w:t>.Among them, MR-Egger intercept recognizes horizontal pleiotropy via evaluating the intercept term into the regression analysis.The MR-PRESSO global test is designed to address horizontal pleiotropy by reassessing causality through the identification and exclusion of outliers and biases</w:t>
            </w:r>
            <w:r>
              <w:rPr>
                <w:rFonts w:hint="eastAsia"/>
                <w:sz w:val="18"/>
                <w:szCs w:val="18"/>
                <w:highlight w:val="none"/>
              </w:rPr>
              <w:fldChar w:fldCharType="begin"/>
            </w:r>
            <w:r>
              <w:rPr>
                <w:rFonts w:hint="eastAsia"/>
                <w:sz w:val="18"/>
                <w:szCs w:val="18"/>
                <w:highlight w:val="none"/>
              </w:rPr>
              <w:instrText xml:space="preserve"> ADDIN EN.CITE </w:instrText>
            </w:r>
            <w:r>
              <w:rPr>
                <w:rFonts w:hint="eastAsia"/>
                <w:sz w:val="18"/>
                <w:szCs w:val="18"/>
                <w:highlight w:val="none"/>
              </w:rPr>
              <w:fldChar w:fldCharType="begin">
                <w:fldData xml:space="preserve">PEVuZE5vdGU+PENpdGU+PEF1dGhvcj5TYW5kZXJzb248L0F1dGhvcj48WWVhcj4yMDIyPC9ZZWFy
PjxSZWNOdW0+Mzk4PC9SZWNOdW0+PERpc3BsYXlUZXh0PlsyMF08L0Rpc3BsYXlUZXh0PjxyZWNv
cmQ+PHJlYy1udW1iZXI+Mzk4PC9yZWMtbnVtYmVyPjxmb3JlaWduLWtleXM+PGtleSBhcHA9IkVO
IiBkYi1pZD0ieHh2OWVyMDJuOXhyZW1leHJ0MDVyZXB6dGR2cnh4eHc1dGRzIiB0aW1lc3RhbXA9
IjE3MjQxNjUzNDAiPjM5ODwva2V5PjwvZm9yZWlnbi1rZXlzPjxyZWYtdHlwZSBuYW1lPSJKb3Vy
bmFsIEFydGljbGUiPjE3PC9yZWYtdHlwZT48Y29udHJpYnV0b3JzPjxhdXRob3JzPjxhdXRob3I+
U2FuZGVyc29uLCBFLjwvYXV0aG9yPjxhdXRob3I+R2x5bW91ciwgTS4gTS48L2F1dGhvcj48YXV0
aG9yPkhvbG1lcywgTS4gVi48L2F1dGhvcj48YXV0aG9yPkthbmcsIEguPC9hdXRob3I+PGF1dGhv
cj5Nb3JyaXNvbiwgSi48L2F1dGhvcj48YXV0aG9yPk11bmFmw7IsIE0uIFIuPC9hdXRob3I+PGF1
dGhvcj5QYWxtZXIsIFQuPC9hdXRob3I+PGF1dGhvcj5TY2hvb2xpbmcsIEMuIE0uPC9hdXRob3I+
PGF1dGhvcj5XYWxsYWNlLCBDLjwvYXV0aG9yPjxhdXRob3I+WmhhbywgUS48L2F1dGhvcj48YXV0
aG9yPlNtaXRoLCBHLiBELjwvYXV0aG9yPjwvYXV0aG9ycz48L2NvbnRyaWJ1dG9ycz48YXV0aC1h
ZGRyZXNzPk1lZGljYWwgUmVzZWFyY2ggQ291bmNpbCAoTVJDKSBJbnRlZ3JhdGl2ZSBFcGlkZW1p
b2xvZ3kgVW5pdCwgVW5pdmVyc2l0eSBvZiBCcmlzdG9sLCBCcmlzdG9sLCBVSy4mI3hEO1BvcHVs
YXRpb24gSGVhbHRoIFNjaWVuY2VzLCBCcmlzdG9sIE1lZGljYWwgU2Nob29sLCBVbml2ZXJzaXR5
IG9mIEJyaXN0b2wsIEJyaXN0b2wsIFVLLiYjeEQ7RGVwYXJ0bWVudCBvZiBFcGlkZW1pb2xvZ3kg
YW5kIEJpb3N0YXRpc3RpY3MsIFVuaXZlcnNpdHkgb2YgQ2FsaWZvcm5pYSwgU2FuIEZyYW5jaXNj
bywgQ0EsIFVTQS4mI3hEO01SQyBQb3B1bGF0aW9uIEhlYWx0aCBSZXNlYXJjaCBVbml0LCBVbml2
ZXJzaXR5IG9mIE94Zm9yZCwgT3hmb3JkLCBVSy4mI3hEO0NsaW5pY2FsIFRyaWFsIFNlcnZpY2Ug
VW5pdCBhbmQgRXBpZGVtaW9sb2dpY2FsIFN0dWRpZXMgVW5pdCwgTnVmZmllbGQgRGVwYXJ0bWVu
dCBvZiBQb3B1bGF0aW9uIEhlYWx0aCwgVW5pdmVyc2l0eSBvZiBPeGZvcmQsIE94Zm9yZCwgVUsu
JiN4RDtEZXBhcnRtZW50IG9mIFN0YXRpc3RpY3MsIFVuaXZlcnNpdHkgb2YgV2lzY29uc2luLU1h
ZGlzb24sIE1hZGlzb24sIFdJLCBVU0EuJiN4RDtEZXBhcnRtZW50IG9mIEJpb3N0YXRpc3RpY3Ms
IFVuaXZlcnNpdHkgb2YgTWljaGlnYW4sIEFubiBBcmJvciwgTUksIFVTQS4mI3hEO1NjaG9vbCBv
ZiBQc3ljaG9sb2dpY2FsIFNjaWVuY2UsIFVuaXZlcnNpdHkgb2YgQnJpc3RvbCwgQnJpc3RvbCwg
VUsuJiN4RDtOYXRpb25hbCBJbnN0aXR1dGUgZm9yIEhlYWx0aCBSZXNlYXJjaCAoTklIUiksIEJp
b21lZGljYWwgUmVzZWFyY2ggQ2VudHJlLCBVbml2ZXJzaXR5IG9mIEJyaXN0b2wsIEJyaXN0b2ws
IFVLLiYjeEQ7U2Nob29sIG9mIFB1YmxpYyBIZWFsdGgsIExpIEthIFNoaW5nLCBGYWN1bHR5IG9m
IE1lZGljaW5lLCBUaGUgVW5pdmVyc2l0eSBvZiBIb25nIEtvbmcsIEhvbmcgS29uZywgQ2hpbmEu
JiN4RDtTY2hvb2wgb2YgUHVibGljIEhlYWx0aCwgQ2l0eSBVbml2ZXJzaXR5IG9mIE5ldyBZb3Jr
LCBOZXcgWW9yaywgVVNBLiYjeEQ7TVJDIEJpb3N0YXRpc3RpY3MgVW5pdCwgVW5pdmVyc2l0eSBv
ZiBDYW1icmlkZ2UsIENhbWJyaWRnZSwgVUsuJiN4RDtDYW1icmlkZ2UgSW5zdGl0dXRlIG9mIFRo
ZXJhcGV1dGljIEltbXVub2xvZ3kgJmFtcDsgSW5mZWN0aW91cyBEaXNlYXNlIChDSVRJSUQpLCBV
bml2ZXJzaXR5IG9mIENhbWJyaWRnZSwgQ2FtYnJpZGdlLCBVSy4mI3hEO1N0YXRpc3RpY2FsIExh
Ym9yYXRvcnksIFVuaXZlcnNpdHkgb2YgQ2FtYnJpZGdlLCBDYW1icmlkZ2UsIFVLLjwvYXV0aC1h
ZGRyZXNzPjx0aXRsZXM+PHRpdGxlPk1lbmRlbGlhbiByYW5kb21pemF0aW9uPC90aXRsZT48c2Vj
b25kYXJ5LXRpdGxlPk5hdCBSZXYgTWV0aG9kcyBQcmltZXJzPC9zZWNvbmRhcnktdGl0bGU+PGFs
dC10aXRsZT5OYXR1cmUgcmV2aWV3cy4gTWV0aG9kcyBwcmltZXJzPC9hbHQtdGl0bGU+PC90aXRs
ZXM+PHBlcmlvZGljYWw+PGZ1bGwtdGl0bGU+TmF0IFJldiBNZXRob2RzIFByaW1lcnM8L2Z1bGwt
dGl0bGU+PGFiYnItMT5OYXR1cmUgcmV2aWV3cy4gTWV0aG9kcyBwcmltZXJzPC9hYmJyLTE+PC9w
ZXJpb2RpY2FsPjxhbHQtcGVyaW9kaWNhbD48ZnVsbC10aXRsZT5OYXQgUmV2IE1ldGhvZHMgUHJp
bWVyczwvZnVsbC10aXRsZT48YWJici0xPk5hdHVyZSByZXZpZXdzLiBNZXRob2RzIHByaW1lcnM8
L2FiYnItMT48L2FsdC1wZXJpb2RpY2FsPjx2b2x1bWU+Mjwvdm9sdW1lPjxlZGl0aW9uPjIwMjIv
MDIvMTA8L2VkaXRpb24+PGRhdGVzPjx5ZWFyPjIwMjI8L3llYXI+PHB1Yi1kYXRlcz48ZGF0ZT5G
ZWIgMTA8L2RhdGU+PC9wdWItZGF0ZXM+PC9kYXRlcz48aXNibj4yNjYyLTg0NDk8L2lzYm4+PGFj
Y2Vzc2lvbi1udW0+MzczMjUxOTQ8L2FjY2Vzc2lvbi1udW0+PHVybHM+PC91cmxzPjxjdXN0b20y
PlBNQzc2MTQ2MzU8L2N1c3RvbTI+PGN1c3RvbTY+RU1TMTQyMTY4PC9jdXN0b202PjxlbGVjdHJv
bmljLXJlc291cmNlLW51bT4xMC4xMDM4L3M0MzU4Ni0wMjEtMDAwOTItNTwvZWxlY3Ryb25pYy1y
ZXNvdXJjZS1udW0+PHJlbW90ZS1kYXRhYmFzZS1wcm92aWRlcj5OTE08L3JlbW90ZS1kYXRhYmFz
ZS1wcm92aWRlcj48bGFuZ3VhZ2U+ZW5nPC9sYW5ndWFnZT48L3JlY29yZD48L0NpdGU+PC9FbmRO
b3RlPg==
</w:fldData>
              </w:fldChar>
            </w:r>
            <w:r>
              <w:rPr>
                <w:rFonts w:hint="eastAsia"/>
                <w:sz w:val="18"/>
                <w:szCs w:val="18"/>
                <w:highlight w:val="none"/>
              </w:rPr>
              <w:instrText xml:space="preserve"> ADDIN EN.CITE.DATA </w:instrText>
            </w:r>
            <w:r>
              <w:rPr>
                <w:rFonts w:hint="eastAsia"/>
                <w:sz w:val="18"/>
                <w:szCs w:val="18"/>
                <w:highlight w:val="none"/>
              </w:rPr>
              <w:fldChar w:fldCharType="separate"/>
            </w:r>
            <w:r>
              <w:rPr>
                <w:rFonts w:hint="eastAsia"/>
                <w:sz w:val="18"/>
                <w:szCs w:val="18"/>
                <w:highlight w:val="none"/>
              </w:rPr>
              <w:fldChar w:fldCharType="end"/>
            </w:r>
            <w:r>
              <w:rPr>
                <w:rFonts w:hint="eastAsia"/>
                <w:sz w:val="18"/>
                <w:szCs w:val="18"/>
                <w:highlight w:val="none"/>
              </w:rPr>
              <w:fldChar w:fldCharType="separate"/>
            </w:r>
            <w:r>
              <w:rPr>
                <w:rFonts w:hint="eastAsia"/>
                <w:sz w:val="18"/>
                <w:szCs w:val="18"/>
                <w:highlight w:val="none"/>
              </w:rPr>
              <w:t>[20]</w:t>
            </w:r>
            <w:r>
              <w:rPr>
                <w:rFonts w:hint="eastAsia"/>
                <w:sz w:val="18"/>
                <w:szCs w:val="18"/>
                <w:highlight w:val="none"/>
              </w:rPr>
              <w:fldChar w:fldCharType="end"/>
            </w:r>
            <w:r>
              <w:rPr>
                <w:rFonts w:hint="eastAsia"/>
                <w:sz w:val="18"/>
                <w:szCs w:val="18"/>
                <w:highlight w:val="none"/>
              </w:rPr>
              <w:t xml:space="preserve">.The process of SNPs detection employed a systematic </w:t>
            </w:r>
            <w:r>
              <w:rPr>
                <w:sz w:val="18"/>
                <w:szCs w:val="18"/>
                <w:highlight w:val="none"/>
              </w:rPr>
              <w:t>“</w:t>
            </w:r>
            <w:r>
              <w:rPr>
                <w:rFonts w:hint="eastAsia"/>
                <w:sz w:val="18"/>
                <w:szCs w:val="18"/>
                <w:highlight w:val="none"/>
              </w:rPr>
              <w:t>Leave-one-out</w:t>
            </w:r>
            <w:r>
              <w:rPr>
                <w:sz w:val="18"/>
                <w:szCs w:val="18"/>
                <w:highlight w:val="none"/>
              </w:rPr>
              <w:t>”</w:t>
            </w:r>
            <w:r>
              <w:rPr>
                <w:rFonts w:hint="eastAsia"/>
                <w:sz w:val="18"/>
                <w:szCs w:val="18"/>
                <w:highlight w:val="none"/>
              </w:rPr>
              <w:t xml:space="preserve">procedure to guarantee the reliability of the study by emliminating SNPs with potential heterogeneity. </w:t>
            </w:r>
            <w:r>
              <w:rPr>
                <w:sz w:val="18"/>
                <w:szCs w:val="18"/>
                <w:highlight w:val="none"/>
              </w:rPr>
              <w:t>“</w:t>
            </w:r>
            <w:r>
              <w:rPr>
                <w:rFonts w:hint="eastAsia"/>
                <w:sz w:val="18"/>
                <w:szCs w:val="18"/>
                <w:highlight w:val="none"/>
              </w:rPr>
              <w:t>Leave-one-out</w:t>
            </w:r>
            <w:r>
              <w:rPr>
                <w:sz w:val="18"/>
                <w:szCs w:val="18"/>
                <w:highlight w:val="none"/>
              </w:rPr>
              <w:t>”</w:t>
            </w:r>
            <w:r>
              <w:rPr>
                <w:rFonts w:hint="eastAsia"/>
                <w:sz w:val="18"/>
                <w:szCs w:val="18"/>
                <w:highlight w:val="none"/>
              </w:rPr>
              <w:t>sensitivity analysis, funnel plots, scatter plots, and forest plots further corroborate the observed heterogeneity and robustness.</w:t>
            </w:r>
          </w:p>
        </w:tc>
      </w:tr>
      <w:tr w14:paraId="55C7A410">
        <w:tblPrEx>
          <w:tblCellMar>
            <w:top w:w="0" w:type="dxa"/>
            <w:left w:w="108" w:type="dxa"/>
            <w:bottom w:w="0" w:type="dxa"/>
            <w:right w:w="108" w:type="dxa"/>
          </w:tblCellMar>
        </w:tblPrEx>
        <w:tc>
          <w:tcPr>
            <w:tcW w:w="587" w:type="dxa"/>
            <w:shd w:val="clear" w:color="auto" w:fill="EEEEEE"/>
          </w:tcPr>
          <w:p w14:paraId="056075D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782" w:type="dxa"/>
            <w:shd w:val="clear" w:color="auto" w:fill="EEEEEE"/>
          </w:tcPr>
          <w:p w14:paraId="6096809E">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5283" w:type="dxa"/>
            <w:shd w:val="clear" w:color="auto" w:fill="EEEEEE"/>
          </w:tcPr>
          <w:p w14:paraId="08D1055E">
            <w:pPr>
              <w:spacing w:before="96" w:beforeLines="40" w:after="96" w:afterLines="40" w:line="24" w:lineRule="atLeast"/>
              <w:rPr>
                <w:rFonts w:eastAsia="Cambria"/>
                <w:sz w:val="18"/>
                <w:szCs w:val="18"/>
                <w:lang w:val="en-GB" w:eastAsia="en-US"/>
              </w:rPr>
            </w:pPr>
          </w:p>
        </w:tc>
        <w:tc>
          <w:tcPr>
            <w:tcW w:w="1620" w:type="dxa"/>
            <w:shd w:val="clear" w:color="auto" w:fill="EEEEEE"/>
          </w:tcPr>
          <w:p w14:paraId="721E714E">
            <w:pPr>
              <w:spacing w:before="96" w:beforeLines="40" w:after="96" w:afterLines="40" w:line="24" w:lineRule="atLeast"/>
              <w:rPr>
                <w:rFonts w:eastAsia="Cambria"/>
                <w:sz w:val="18"/>
                <w:szCs w:val="18"/>
                <w:lang w:val="en-GB" w:eastAsia="en-US"/>
              </w:rPr>
            </w:pPr>
          </w:p>
        </w:tc>
        <w:tc>
          <w:tcPr>
            <w:tcW w:w="5218" w:type="dxa"/>
            <w:shd w:val="clear" w:color="auto" w:fill="EEEEEE"/>
          </w:tcPr>
          <w:p w14:paraId="495710C0">
            <w:pPr>
              <w:spacing w:before="96" w:beforeLines="40" w:after="96" w:afterLines="40" w:line="24" w:lineRule="atLeast"/>
              <w:rPr>
                <w:rFonts w:eastAsia="Cambria"/>
                <w:sz w:val="18"/>
                <w:szCs w:val="18"/>
                <w:lang w:val="en-GB" w:eastAsia="en-US"/>
              </w:rPr>
            </w:pPr>
          </w:p>
        </w:tc>
      </w:tr>
      <w:tr w14:paraId="5EA9EBD1">
        <w:tblPrEx>
          <w:tblCellMar>
            <w:top w:w="0" w:type="dxa"/>
            <w:left w:w="108" w:type="dxa"/>
            <w:bottom w:w="0" w:type="dxa"/>
            <w:right w:w="108" w:type="dxa"/>
          </w:tblCellMar>
        </w:tblPrEx>
        <w:tc>
          <w:tcPr>
            <w:tcW w:w="587" w:type="dxa"/>
            <w:shd w:val="clear" w:color="auto" w:fill="auto"/>
          </w:tcPr>
          <w:p w14:paraId="66EDED80">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50BD32B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auto"/>
          </w:tcPr>
          <w:p w14:paraId="054FBA4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1620" w:type="dxa"/>
          </w:tcPr>
          <w:p w14:paraId="305BB821">
            <w:pPr>
              <w:spacing w:before="96" w:beforeLines="40" w:after="96" w:afterLines="40" w:line="24" w:lineRule="atLeast"/>
              <w:rPr>
                <w:rFonts w:hint="eastAsia" w:eastAsia="宋体"/>
                <w:sz w:val="18"/>
                <w:szCs w:val="18"/>
                <w:lang w:val="en-US" w:eastAsia="zh-CN"/>
              </w:rPr>
            </w:pPr>
            <w:r>
              <w:rPr>
                <w:rFonts w:hint="eastAsia" w:eastAsia="宋体"/>
                <w:sz w:val="18"/>
                <w:szCs w:val="18"/>
                <w:lang w:val="en-US" w:eastAsia="zh-CN"/>
              </w:rPr>
              <w:t>5</w:t>
            </w:r>
          </w:p>
        </w:tc>
        <w:tc>
          <w:tcPr>
            <w:tcW w:w="5218" w:type="dxa"/>
          </w:tcPr>
          <w:p w14:paraId="79626260">
            <w:pPr>
              <w:spacing w:before="96" w:beforeLines="40" w:after="96" w:afterLines="40" w:line="24" w:lineRule="atLeast"/>
              <w:rPr>
                <w:rFonts w:hint="eastAsia" w:eastAsia="宋体"/>
                <w:sz w:val="18"/>
                <w:szCs w:val="18"/>
                <w:lang w:val="en-US" w:eastAsia="zh-CN"/>
              </w:rPr>
            </w:pPr>
            <w:r>
              <w:rPr>
                <w:rFonts w:eastAsia="Times New Roman"/>
                <w:sz w:val="18"/>
                <w:szCs w:val="18"/>
                <w:lang w:val="en-GB" w:eastAsia="en-GB"/>
              </w:rPr>
              <w:t>We performed statistical analyses using R software (version 4.2.2) and further refined the results with the Two</w:t>
            </w:r>
            <w:r>
              <w:rPr>
                <w:rFonts w:hint="eastAsia" w:eastAsia="Times New Roman"/>
                <w:sz w:val="18"/>
                <w:szCs w:val="18"/>
                <w:lang w:val="en-GB" w:eastAsia="en-GB"/>
              </w:rPr>
              <w:t xml:space="preserve"> </w:t>
            </w:r>
            <w:r>
              <w:rPr>
                <w:rFonts w:eastAsia="Times New Roman"/>
                <w:sz w:val="18"/>
                <w:szCs w:val="18"/>
                <w:lang w:val="en-GB" w:eastAsia="en-GB"/>
              </w:rPr>
              <w:t>sample</w:t>
            </w:r>
            <w:r>
              <w:rPr>
                <w:rFonts w:hint="eastAsia" w:eastAsia="Times New Roman"/>
                <w:sz w:val="18"/>
                <w:szCs w:val="18"/>
                <w:lang w:val="en-GB" w:eastAsia="en-GB"/>
              </w:rPr>
              <w:t xml:space="preserve"> </w:t>
            </w:r>
            <w:r>
              <w:rPr>
                <w:rFonts w:eastAsia="Times New Roman"/>
                <w:sz w:val="18"/>
                <w:szCs w:val="18"/>
                <w:lang w:val="en-GB" w:eastAsia="en-GB"/>
              </w:rPr>
              <w:t>MR software package (version</w:t>
            </w:r>
            <w:r>
              <w:rPr>
                <w:rFonts w:hint="eastAsia" w:eastAsia="Times New Roman"/>
                <w:sz w:val="18"/>
                <w:szCs w:val="18"/>
                <w:lang w:val="en-GB" w:eastAsia="en-GB"/>
              </w:rPr>
              <w:t xml:space="preserve"> </w:t>
            </w:r>
            <w:r>
              <w:rPr>
                <w:rFonts w:eastAsia="Times New Roman"/>
                <w:sz w:val="18"/>
                <w:szCs w:val="18"/>
                <w:lang w:val="en-GB" w:eastAsia="en-GB"/>
              </w:rPr>
              <w:t>0.56)</w:t>
            </w:r>
            <w:r>
              <w:rPr>
                <w:rFonts w:hint="eastAsia" w:eastAsia="宋体"/>
                <w:sz w:val="18"/>
                <w:szCs w:val="18"/>
                <w:lang w:val="en-US" w:eastAsia="zh-CN"/>
              </w:rPr>
              <w:t>.</w:t>
            </w:r>
          </w:p>
        </w:tc>
      </w:tr>
      <w:tr w14:paraId="6A631D93">
        <w:tblPrEx>
          <w:tblCellMar>
            <w:top w:w="0" w:type="dxa"/>
            <w:left w:w="108" w:type="dxa"/>
            <w:bottom w:w="0" w:type="dxa"/>
            <w:right w:w="108" w:type="dxa"/>
          </w:tblCellMar>
        </w:tblPrEx>
        <w:tc>
          <w:tcPr>
            <w:tcW w:w="587" w:type="dxa"/>
            <w:tcBorders>
              <w:bottom w:val="single" w:color="7F7F7F" w:sz="6" w:space="0"/>
            </w:tcBorders>
            <w:shd w:val="clear" w:color="auto" w:fill="EEEEEE"/>
          </w:tcPr>
          <w:p w14:paraId="37C88958">
            <w:pPr>
              <w:spacing w:before="96" w:beforeLines="40" w:after="96" w:afterLines="40" w:line="24" w:lineRule="atLeast"/>
              <w:jc w:val="right"/>
              <w:rPr>
                <w:rFonts w:eastAsia="Cambria"/>
                <w:b/>
                <w:bCs/>
                <w:sz w:val="18"/>
                <w:szCs w:val="18"/>
                <w:lang w:val="en-GB" w:eastAsia="en-US"/>
              </w:rPr>
            </w:pPr>
          </w:p>
        </w:tc>
        <w:tc>
          <w:tcPr>
            <w:tcW w:w="1782" w:type="dxa"/>
            <w:tcBorders>
              <w:bottom w:val="single" w:color="7F7F7F" w:sz="6" w:space="0"/>
            </w:tcBorders>
            <w:shd w:val="clear" w:color="auto" w:fill="EEEEEE"/>
          </w:tcPr>
          <w:p w14:paraId="2349B55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tcBorders>
              <w:bottom w:val="single" w:color="7F7F7F" w:sz="6" w:space="0"/>
            </w:tcBorders>
            <w:shd w:val="clear" w:color="auto" w:fill="EEEEEE"/>
          </w:tcPr>
          <w:p w14:paraId="5DBE58D7">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1620" w:type="dxa"/>
            <w:tcBorders>
              <w:bottom w:val="single" w:color="7F7F7F" w:sz="6" w:space="0"/>
            </w:tcBorders>
            <w:shd w:val="clear" w:color="auto" w:fill="EEEEEE"/>
          </w:tcPr>
          <w:p w14:paraId="2325504F">
            <w:pPr>
              <w:spacing w:before="96" w:beforeLines="40" w:after="96" w:afterLines="40" w:line="24" w:lineRule="atLeast"/>
              <w:rPr>
                <w:rFonts w:eastAsia="Times New Roman"/>
                <w:sz w:val="18"/>
                <w:szCs w:val="18"/>
                <w:lang w:val="en-GB" w:eastAsia="en-GB"/>
              </w:rPr>
            </w:pPr>
          </w:p>
        </w:tc>
        <w:tc>
          <w:tcPr>
            <w:tcW w:w="5218" w:type="dxa"/>
            <w:tcBorders>
              <w:bottom w:val="single" w:color="7F7F7F" w:sz="6" w:space="0"/>
            </w:tcBorders>
            <w:shd w:val="clear" w:color="auto" w:fill="EEEEEE"/>
          </w:tcPr>
          <w:p w14:paraId="3EFCD231">
            <w:pPr>
              <w:spacing w:before="96" w:beforeLines="40" w:after="96" w:afterLines="40" w:line="24" w:lineRule="atLeast"/>
              <w:rPr>
                <w:rFonts w:eastAsia="Times New Roman"/>
                <w:sz w:val="18"/>
                <w:szCs w:val="18"/>
                <w:lang w:val="en-GB" w:eastAsia="en-GB"/>
              </w:rPr>
            </w:pPr>
          </w:p>
        </w:tc>
      </w:tr>
      <w:tr w14:paraId="040F15E5">
        <w:tblPrEx>
          <w:tblCellMar>
            <w:top w:w="0" w:type="dxa"/>
            <w:left w:w="108" w:type="dxa"/>
            <w:bottom w:w="0" w:type="dxa"/>
            <w:right w:w="108" w:type="dxa"/>
          </w:tblCellMar>
        </w:tblPrEx>
        <w:tc>
          <w:tcPr>
            <w:tcW w:w="587" w:type="dxa"/>
            <w:tcBorders>
              <w:top w:val="single" w:color="7F7F7F" w:sz="6" w:space="0"/>
            </w:tcBorders>
            <w:shd w:val="clear" w:color="auto" w:fill="auto"/>
          </w:tcPr>
          <w:p w14:paraId="777278B3">
            <w:pPr>
              <w:spacing w:before="96" w:beforeLines="40" w:after="96" w:afterLines="40" w:line="24" w:lineRule="atLeast"/>
              <w:rPr>
                <w:rFonts w:eastAsia="Times New Roman"/>
                <w:b/>
                <w:bCs/>
                <w:sz w:val="18"/>
                <w:szCs w:val="18"/>
                <w:lang w:val="en-GB" w:eastAsia="en-GB"/>
              </w:rPr>
            </w:pPr>
          </w:p>
        </w:tc>
        <w:tc>
          <w:tcPr>
            <w:tcW w:w="1782" w:type="dxa"/>
            <w:tcBorders>
              <w:top w:val="single" w:color="7F7F7F" w:sz="6" w:space="0"/>
            </w:tcBorders>
            <w:shd w:val="clear" w:color="auto" w:fill="auto"/>
          </w:tcPr>
          <w:p w14:paraId="7D8D653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5283" w:type="dxa"/>
            <w:tcBorders>
              <w:top w:val="single" w:color="7F7F7F" w:sz="6" w:space="0"/>
            </w:tcBorders>
            <w:shd w:val="clear" w:color="auto" w:fill="auto"/>
          </w:tcPr>
          <w:p w14:paraId="34719287">
            <w:pPr>
              <w:spacing w:before="96" w:beforeLines="40" w:after="96" w:afterLines="40" w:line="24" w:lineRule="atLeast"/>
              <w:rPr>
                <w:rFonts w:eastAsia="Cambria"/>
                <w:sz w:val="18"/>
                <w:szCs w:val="18"/>
                <w:lang w:val="en-GB" w:eastAsia="en-US"/>
              </w:rPr>
            </w:pPr>
          </w:p>
        </w:tc>
        <w:tc>
          <w:tcPr>
            <w:tcW w:w="1620" w:type="dxa"/>
            <w:tcBorders>
              <w:top w:val="single" w:color="7F7F7F" w:sz="6" w:space="0"/>
            </w:tcBorders>
          </w:tcPr>
          <w:p w14:paraId="0E355A69">
            <w:pPr>
              <w:spacing w:before="96" w:beforeLines="40" w:after="96" w:afterLines="40" w:line="24" w:lineRule="atLeast"/>
              <w:rPr>
                <w:rFonts w:eastAsia="Cambria"/>
                <w:sz w:val="18"/>
                <w:szCs w:val="18"/>
                <w:lang w:val="en-GB" w:eastAsia="en-US"/>
              </w:rPr>
            </w:pPr>
          </w:p>
        </w:tc>
        <w:tc>
          <w:tcPr>
            <w:tcW w:w="5218" w:type="dxa"/>
            <w:tcBorders>
              <w:top w:val="single" w:color="7F7F7F" w:sz="6" w:space="0"/>
            </w:tcBorders>
          </w:tcPr>
          <w:p w14:paraId="33E956D1">
            <w:pPr>
              <w:spacing w:before="96" w:beforeLines="40" w:after="96" w:afterLines="40" w:line="24" w:lineRule="atLeast"/>
              <w:rPr>
                <w:rFonts w:eastAsia="Cambria"/>
                <w:sz w:val="18"/>
                <w:szCs w:val="18"/>
                <w:lang w:val="en-GB" w:eastAsia="en-US"/>
              </w:rPr>
            </w:pPr>
          </w:p>
        </w:tc>
      </w:tr>
      <w:tr w14:paraId="67F47EED">
        <w:tblPrEx>
          <w:tblCellMar>
            <w:top w:w="0" w:type="dxa"/>
            <w:left w:w="108" w:type="dxa"/>
            <w:bottom w:w="0" w:type="dxa"/>
            <w:right w:w="108" w:type="dxa"/>
          </w:tblCellMar>
        </w:tblPrEx>
        <w:tc>
          <w:tcPr>
            <w:tcW w:w="587" w:type="dxa"/>
            <w:shd w:val="clear" w:color="auto" w:fill="EEEEEE"/>
          </w:tcPr>
          <w:p w14:paraId="51C7A54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782" w:type="dxa"/>
            <w:shd w:val="clear" w:color="auto" w:fill="EEEEEE"/>
          </w:tcPr>
          <w:p w14:paraId="731D0370">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5283" w:type="dxa"/>
            <w:shd w:val="clear" w:color="auto" w:fill="EEEEEE"/>
          </w:tcPr>
          <w:p w14:paraId="3B19CDAF">
            <w:pPr>
              <w:spacing w:before="96" w:beforeLines="40" w:after="96" w:afterLines="40" w:line="24" w:lineRule="atLeast"/>
              <w:rPr>
                <w:rFonts w:eastAsia="Cambria"/>
                <w:sz w:val="18"/>
                <w:szCs w:val="18"/>
                <w:lang w:val="en-GB" w:eastAsia="en-US"/>
              </w:rPr>
            </w:pPr>
          </w:p>
        </w:tc>
        <w:tc>
          <w:tcPr>
            <w:tcW w:w="1620" w:type="dxa"/>
            <w:shd w:val="clear" w:color="auto" w:fill="EEEEEE"/>
          </w:tcPr>
          <w:p w14:paraId="1091FF57">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6.7</w:t>
            </w:r>
          </w:p>
        </w:tc>
        <w:tc>
          <w:tcPr>
            <w:tcW w:w="5218" w:type="dxa"/>
            <w:shd w:val="clear" w:color="auto" w:fill="EEEEEE"/>
          </w:tcPr>
          <w:p w14:paraId="04FB573F">
            <w:pPr>
              <w:rPr>
                <w:b/>
                <w:bCs/>
                <w:sz w:val="18"/>
                <w:szCs w:val="18"/>
                <w:highlight w:val="none"/>
              </w:rPr>
            </w:pPr>
            <w:r>
              <w:rPr>
                <w:b/>
                <w:bCs/>
                <w:sz w:val="18"/>
                <w:szCs w:val="18"/>
                <w:highlight w:val="none"/>
              </w:rPr>
              <w:t>Immune Cells’ Data Sources</w:t>
            </w:r>
          </w:p>
          <w:p w14:paraId="6F7140F2">
            <w:pPr>
              <w:rPr>
                <w:sz w:val="18"/>
                <w:szCs w:val="18"/>
                <w:highlight w:val="none"/>
              </w:rPr>
            </w:pPr>
            <w:r>
              <w:rPr>
                <w:sz w:val="18"/>
                <w:szCs w:val="18"/>
                <w:highlight w:val="none"/>
              </w:rPr>
              <w:t>The single-nucleotide polymorphism</w:t>
            </w:r>
            <w:r>
              <w:rPr>
                <w:rFonts w:hint="eastAsia"/>
                <w:sz w:val="18"/>
                <w:szCs w:val="18"/>
                <w:highlight w:val="none"/>
                <w:lang w:val="en-US" w:eastAsia="zh-CN"/>
              </w:rPr>
              <w:t>s</w:t>
            </w:r>
            <w:r>
              <w:rPr>
                <w:sz w:val="18"/>
                <w:szCs w:val="18"/>
                <w:highlight w:val="none"/>
              </w:rPr>
              <w:t xml:space="preserve"> (SNP</w:t>
            </w:r>
            <w:r>
              <w:rPr>
                <w:rFonts w:hint="eastAsia"/>
                <w:sz w:val="18"/>
                <w:szCs w:val="18"/>
                <w:highlight w:val="none"/>
                <w:lang w:val="en-US" w:eastAsia="zh-CN"/>
              </w:rPr>
              <w:t>s</w:t>
            </w:r>
            <w:r>
              <w:rPr>
                <w:sz w:val="18"/>
                <w:szCs w:val="18"/>
                <w:highlight w:val="none"/>
              </w:rPr>
              <w:t xml:space="preserve">) associated with </w:t>
            </w:r>
            <w:r>
              <w:rPr>
                <w:rFonts w:hint="eastAsia" w:eastAsia="宋体"/>
                <w:sz w:val="18"/>
                <w:szCs w:val="18"/>
                <w:highlight w:val="none"/>
                <w:lang w:val="en-US" w:eastAsia="zh-CN"/>
              </w:rPr>
              <w:t>cirrhosis</w:t>
            </w:r>
            <w:r>
              <w:rPr>
                <w:sz w:val="18"/>
                <w:szCs w:val="18"/>
                <w:highlight w:val="none"/>
              </w:rPr>
              <w:t xml:space="preserve"> used in this study were obtained from the</w:t>
            </w:r>
            <w:r>
              <w:rPr>
                <w:rFonts w:hint="eastAsia"/>
                <w:sz w:val="18"/>
                <w:szCs w:val="18"/>
                <w:highlight w:val="none"/>
                <w:lang w:val="en-US" w:eastAsia="zh-CN"/>
              </w:rPr>
              <w:t xml:space="preserve"> </w:t>
            </w:r>
            <w:r>
              <w:rPr>
                <w:rFonts w:hint="eastAsia"/>
                <w:sz w:val="18"/>
                <w:szCs w:val="18"/>
                <w:highlight w:val="none"/>
              </w:rPr>
              <w:t>Genome-wide association study</w:t>
            </w:r>
            <w:r>
              <w:rPr>
                <w:rFonts w:hint="eastAsia"/>
                <w:sz w:val="18"/>
                <w:szCs w:val="18"/>
                <w:highlight w:val="none"/>
                <w:lang w:val="en-US" w:eastAsia="zh-CN"/>
              </w:rPr>
              <w:t>(</w:t>
            </w:r>
            <w:r>
              <w:rPr>
                <w:sz w:val="18"/>
                <w:szCs w:val="18"/>
                <w:highlight w:val="none"/>
              </w:rPr>
              <w:t>GWAS</w:t>
            </w:r>
            <w:r>
              <w:rPr>
                <w:rFonts w:hint="eastAsia"/>
                <w:sz w:val="18"/>
                <w:szCs w:val="18"/>
                <w:highlight w:val="none"/>
                <w:lang w:val="en-US" w:eastAsia="zh-CN"/>
              </w:rPr>
              <w:t>)</w:t>
            </w:r>
            <w:r>
              <w:rPr>
                <w:sz w:val="18"/>
                <w:szCs w:val="18"/>
                <w:highlight w:val="none"/>
              </w:rPr>
              <w:t xml:space="preserve"> dataset. We conducted a systematic search from the GWAS catalogue database with the aim of comprehensively nerfing the relevant data and will eventually assemble a dataset of 731 immune features representing different subsets of human immune cells.</w:t>
            </w:r>
          </w:p>
          <w:p w14:paraId="16AA233A">
            <w:pPr>
              <w:rPr>
                <w:b/>
                <w:bCs/>
                <w:sz w:val="18"/>
                <w:szCs w:val="18"/>
                <w:highlight w:val="none"/>
                <w:shd w:val="clear" w:color="auto" w:fill="FFFFFF"/>
              </w:rPr>
            </w:pPr>
            <w:r>
              <w:rPr>
                <w:b/>
                <w:bCs/>
                <w:sz w:val="18"/>
                <w:szCs w:val="18"/>
                <w:highlight w:val="none"/>
                <w:shd w:val="clear" w:color="auto" w:fill="FFFFFF"/>
              </w:rPr>
              <w:t xml:space="preserve">Data </w:t>
            </w:r>
            <w:r>
              <w:rPr>
                <w:rFonts w:hint="eastAsia"/>
                <w:b/>
                <w:bCs/>
                <w:sz w:val="18"/>
                <w:szCs w:val="18"/>
                <w:highlight w:val="none"/>
                <w:shd w:val="clear" w:color="auto" w:fill="FFFFFF"/>
                <w:lang w:val="en-US" w:eastAsia="zh-CN"/>
              </w:rPr>
              <w:t>S</w:t>
            </w:r>
            <w:r>
              <w:rPr>
                <w:b/>
                <w:bCs/>
                <w:sz w:val="18"/>
                <w:szCs w:val="18"/>
                <w:highlight w:val="none"/>
                <w:shd w:val="clear" w:color="auto" w:fill="FFFFFF"/>
              </w:rPr>
              <w:t xml:space="preserve">ources for </w:t>
            </w:r>
            <w:r>
              <w:rPr>
                <w:rFonts w:hint="eastAsia"/>
                <w:b/>
                <w:bCs/>
                <w:sz w:val="18"/>
                <w:szCs w:val="18"/>
                <w:highlight w:val="none"/>
                <w:shd w:val="clear" w:color="auto" w:fill="FFFFFF"/>
                <w:lang w:val="en-US" w:eastAsia="zh-CN"/>
              </w:rPr>
              <w:t>O</w:t>
            </w:r>
            <w:r>
              <w:rPr>
                <w:b/>
                <w:bCs/>
                <w:sz w:val="18"/>
                <w:szCs w:val="18"/>
                <w:highlight w:val="none"/>
                <w:shd w:val="clear" w:color="auto" w:fill="FFFFFF"/>
              </w:rPr>
              <w:t xml:space="preserve">utcome </w:t>
            </w:r>
            <w:r>
              <w:rPr>
                <w:rFonts w:hint="eastAsia"/>
                <w:b/>
                <w:bCs/>
                <w:sz w:val="18"/>
                <w:szCs w:val="18"/>
                <w:highlight w:val="none"/>
                <w:shd w:val="clear" w:color="auto" w:fill="FFFFFF"/>
                <w:lang w:val="en-US" w:eastAsia="zh-CN"/>
              </w:rPr>
              <w:t>D</w:t>
            </w:r>
            <w:r>
              <w:rPr>
                <w:b/>
                <w:bCs/>
                <w:sz w:val="18"/>
                <w:szCs w:val="18"/>
                <w:highlight w:val="none"/>
                <w:shd w:val="clear" w:color="auto" w:fill="FFFFFF"/>
              </w:rPr>
              <w:t>ata</w:t>
            </w:r>
          </w:p>
          <w:p w14:paraId="61D7F95E">
            <w:pPr>
              <w:spacing w:before="96" w:beforeLines="40" w:after="96" w:afterLines="40" w:line="24" w:lineRule="atLeast"/>
              <w:rPr>
                <w:rFonts w:hint="eastAsia" w:eastAsia="宋体"/>
                <w:sz w:val="18"/>
                <w:szCs w:val="18"/>
                <w:lang w:val="en-US" w:eastAsia="zh-CN"/>
              </w:rPr>
            </w:pPr>
            <w:r>
              <w:rPr>
                <w:sz w:val="18"/>
                <w:szCs w:val="18"/>
                <w:highlight w:val="none"/>
                <w:shd w:val="clear" w:color="auto" w:fill="FFFFFF"/>
              </w:rPr>
              <w:t>The overall</w:t>
            </w:r>
            <w:r>
              <w:rPr>
                <w:rFonts w:hint="eastAsia"/>
                <w:sz w:val="18"/>
                <w:szCs w:val="18"/>
                <w:highlight w:val="none"/>
                <w:shd w:val="clear" w:color="auto" w:fill="FFFFFF"/>
                <w:lang w:val="en-US" w:eastAsia="zh-CN"/>
              </w:rPr>
              <w:t xml:space="preserve"> cirrhosis(emcompassed 412,181 individuals  from 4,380 Cirrhosis cases and 407,801 controls.)</w:t>
            </w:r>
            <w:r>
              <w:rPr>
                <w:sz w:val="18"/>
                <w:szCs w:val="18"/>
                <w:highlight w:val="none"/>
                <w:shd w:val="clear" w:color="auto" w:fill="FFFFFF"/>
              </w:rPr>
              <w:t>used in this study</w:t>
            </w:r>
            <w:r>
              <w:rPr>
                <w:rFonts w:eastAsia="宋体"/>
                <w:sz w:val="18"/>
                <w:szCs w:val="18"/>
                <w:highlight w:val="none"/>
                <w:shd w:val="clear" w:color="auto" w:fill="FFFFFF"/>
              </w:rPr>
              <w:t xml:space="preserve"> </w:t>
            </w:r>
            <w:r>
              <w:rPr>
                <w:sz w:val="18"/>
                <w:szCs w:val="18"/>
                <w:highlight w:val="none"/>
                <w:shd w:val="clear" w:color="auto" w:fill="FFFFFF"/>
              </w:rPr>
              <w:t>were obtained from the FinnGen database (</w:t>
            </w:r>
            <w:r>
              <w:rPr>
                <w:rFonts w:hint="eastAsia"/>
                <w:sz w:val="18"/>
                <w:szCs w:val="18"/>
                <w:highlight w:val="none"/>
                <w:shd w:val="clear" w:color="auto" w:fill="FFFFFF"/>
              </w:rPr>
              <w:t>the FinnGen R10 database (</w:t>
            </w:r>
            <w:bookmarkStart w:id="20" w:name="OLE_LINK11"/>
            <w:r>
              <w:rPr>
                <w:rFonts w:hint="eastAsia"/>
                <w:sz w:val="18"/>
                <w:szCs w:val="18"/>
                <w:highlight w:val="none"/>
                <w:shd w:val="clear" w:color="auto" w:fill="FFFFFF"/>
              </w:rPr>
              <w:t>https://storage.googleapis.com/finngen-public-data-r10/summary_stats/finngen_R10_CIRRHOSIS_BROAD.gz</w:t>
            </w:r>
            <w:bookmarkEnd w:id="20"/>
            <w:r>
              <w:rPr>
                <w:rFonts w:hint="eastAsia"/>
                <w:sz w:val="18"/>
                <w:szCs w:val="18"/>
                <w:highlight w:val="none"/>
                <w:shd w:val="clear" w:color="auto" w:fill="FFFFFF"/>
              </w:rPr>
              <w:t>).</w:t>
            </w:r>
            <w:r>
              <w:rPr>
                <w:sz w:val="18"/>
                <w:szCs w:val="18"/>
                <w:highlight w:val="none"/>
                <w:shd w:val="clear" w:color="auto" w:fill="FFFFFF"/>
              </w:rPr>
              <w:t>As this study was based on publicly available pooled data, no additional ethical approval or consent to participate was required</w:t>
            </w:r>
            <w:r>
              <w:rPr>
                <w:rFonts w:hint="eastAsia" w:eastAsia="宋体"/>
                <w:sz w:val="18"/>
                <w:szCs w:val="18"/>
                <w:highlight w:val="none"/>
                <w:shd w:val="clear" w:color="auto" w:fill="FFFFFF"/>
                <w:lang w:val="en-US" w:eastAsia="zh-CN"/>
              </w:rPr>
              <w:t>.</w:t>
            </w:r>
          </w:p>
        </w:tc>
      </w:tr>
      <w:tr w14:paraId="6CA228D1">
        <w:tblPrEx>
          <w:tblCellMar>
            <w:top w:w="0" w:type="dxa"/>
            <w:left w:w="108" w:type="dxa"/>
            <w:bottom w:w="0" w:type="dxa"/>
            <w:right w:w="108" w:type="dxa"/>
          </w:tblCellMar>
        </w:tblPrEx>
        <w:tc>
          <w:tcPr>
            <w:tcW w:w="587" w:type="dxa"/>
            <w:shd w:val="clear" w:color="auto" w:fill="auto"/>
          </w:tcPr>
          <w:p w14:paraId="29B62776">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4C1499C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auto"/>
          </w:tcPr>
          <w:p w14:paraId="4D5C652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1620" w:type="dxa"/>
          </w:tcPr>
          <w:p w14:paraId="7AF8CC23">
            <w:pPr>
              <w:spacing w:before="96" w:beforeLines="40" w:after="96" w:afterLines="40" w:line="24" w:lineRule="atLeast"/>
              <w:rPr>
                <w:rFonts w:eastAsia="Times New Roman"/>
                <w:sz w:val="18"/>
                <w:szCs w:val="18"/>
                <w:lang w:val="en-GB" w:eastAsia="en-GB"/>
              </w:rPr>
            </w:pPr>
          </w:p>
        </w:tc>
        <w:tc>
          <w:tcPr>
            <w:tcW w:w="5218" w:type="dxa"/>
          </w:tcPr>
          <w:p w14:paraId="00D65497">
            <w:pPr>
              <w:spacing w:before="96" w:beforeLines="40" w:after="96" w:afterLines="40" w:line="24" w:lineRule="atLeast"/>
              <w:rPr>
                <w:rFonts w:eastAsia="Times New Roman"/>
                <w:sz w:val="18"/>
                <w:szCs w:val="18"/>
                <w:lang w:val="en-GB" w:eastAsia="en-GB"/>
              </w:rPr>
            </w:pPr>
          </w:p>
        </w:tc>
      </w:tr>
      <w:tr w14:paraId="0765C344">
        <w:tblPrEx>
          <w:tblCellMar>
            <w:top w:w="0" w:type="dxa"/>
            <w:left w:w="108" w:type="dxa"/>
            <w:bottom w:w="0" w:type="dxa"/>
            <w:right w:w="108" w:type="dxa"/>
          </w:tblCellMar>
        </w:tblPrEx>
        <w:tc>
          <w:tcPr>
            <w:tcW w:w="587" w:type="dxa"/>
            <w:shd w:val="clear" w:color="auto" w:fill="EEEEEE"/>
          </w:tcPr>
          <w:p w14:paraId="2404BFFB">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6545C2F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EEEEEE"/>
          </w:tcPr>
          <w:p w14:paraId="405491A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1620" w:type="dxa"/>
            <w:shd w:val="clear" w:color="auto" w:fill="EEEEEE"/>
          </w:tcPr>
          <w:p w14:paraId="03BBA613">
            <w:pPr>
              <w:spacing w:before="96" w:beforeLines="40" w:after="96" w:afterLines="40" w:line="24" w:lineRule="atLeast"/>
              <w:rPr>
                <w:rFonts w:eastAsia="Times New Roman"/>
                <w:sz w:val="18"/>
                <w:szCs w:val="18"/>
                <w:lang w:val="en-GB" w:eastAsia="en-GB"/>
              </w:rPr>
            </w:pPr>
          </w:p>
        </w:tc>
        <w:tc>
          <w:tcPr>
            <w:tcW w:w="5218" w:type="dxa"/>
            <w:shd w:val="clear" w:color="auto" w:fill="EEEEEE"/>
          </w:tcPr>
          <w:p w14:paraId="0FD9D468">
            <w:pPr>
              <w:spacing w:before="96" w:beforeLines="40" w:after="96" w:afterLines="40" w:line="24" w:lineRule="atLeast"/>
              <w:rPr>
                <w:rFonts w:eastAsia="Times New Roman"/>
                <w:sz w:val="18"/>
                <w:szCs w:val="18"/>
                <w:lang w:val="en-GB" w:eastAsia="en-GB"/>
              </w:rPr>
            </w:pPr>
          </w:p>
        </w:tc>
      </w:tr>
      <w:tr w14:paraId="48F10342">
        <w:tblPrEx>
          <w:tblCellMar>
            <w:top w:w="0" w:type="dxa"/>
            <w:left w:w="108" w:type="dxa"/>
            <w:bottom w:w="0" w:type="dxa"/>
            <w:right w:w="108" w:type="dxa"/>
          </w:tblCellMar>
        </w:tblPrEx>
        <w:tc>
          <w:tcPr>
            <w:tcW w:w="587" w:type="dxa"/>
            <w:shd w:val="clear" w:color="auto" w:fill="auto"/>
          </w:tcPr>
          <w:p w14:paraId="6600AF43">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435099F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5283" w:type="dxa"/>
            <w:shd w:val="clear" w:color="auto" w:fill="auto"/>
          </w:tcPr>
          <w:p w14:paraId="062EB56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1620" w:type="dxa"/>
          </w:tcPr>
          <w:p w14:paraId="10F6EF39">
            <w:pPr>
              <w:spacing w:before="96" w:beforeLines="40" w:after="96" w:afterLines="40" w:line="24" w:lineRule="atLeast"/>
              <w:rPr>
                <w:rFonts w:eastAsia="Times New Roman"/>
                <w:sz w:val="18"/>
                <w:szCs w:val="18"/>
                <w:lang w:val="en-GB" w:eastAsia="en-GB"/>
              </w:rPr>
            </w:pPr>
          </w:p>
        </w:tc>
        <w:tc>
          <w:tcPr>
            <w:tcW w:w="5218" w:type="dxa"/>
          </w:tcPr>
          <w:p w14:paraId="449D40FD">
            <w:pPr>
              <w:spacing w:before="96" w:beforeLines="40" w:after="96" w:afterLines="40" w:line="24" w:lineRule="atLeast"/>
              <w:rPr>
                <w:rFonts w:eastAsia="Times New Roman"/>
                <w:sz w:val="18"/>
                <w:szCs w:val="18"/>
                <w:lang w:val="en-GB" w:eastAsia="en-GB"/>
              </w:rPr>
            </w:pPr>
          </w:p>
        </w:tc>
      </w:tr>
      <w:tr w14:paraId="51930A8C">
        <w:tblPrEx>
          <w:tblCellMar>
            <w:top w:w="0" w:type="dxa"/>
            <w:left w:w="108" w:type="dxa"/>
            <w:bottom w:w="0" w:type="dxa"/>
            <w:right w:w="108" w:type="dxa"/>
          </w:tblCellMar>
        </w:tblPrEx>
        <w:tc>
          <w:tcPr>
            <w:tcW w:w="587" w:type="dxa"/>
            <w:shd w:val="clear" w:color="auto" w:fill="EEEEEE"/>
          </w:tcPr>
          <w:p w14:paraId="6116DD95">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453F787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5283" w:type="dxa"/>
            <w:shd w:val="clear" w:color="auto" w:fill="EEEEEE"/>
          </w:tcPr>
          <w:p w14:paraId="2EFD57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48065368">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w:t>
            </w:r>
            <w:bookmarkStart w:id="21" w:name="OLE_LINK7"/>
            <w:r>
              <w:rPr>
                <w:rFonts w:eastAsia="Times New Roman"/>
                <w:sz w:val="18"/>
                <w:szCs w:val="18"/>
                <w:lang w:val="en-GB" w:eastAsia="en-GB"/>
              </w:rPr>
              <w:t>i.  Provide justification of the similarity of the genetic variant-exposure associations between the exposure and outcome samples</w:t>
            </w:r>
          </w:p>
          <w:p w14:paraId="35BA928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bookmarkEnd w:id="21"/>
          </w:p>
        </w:tc>
        <w:tc>
          <w:tcPr>
            <w:tcW w:w="1620" w:type="dxa"/>
            <w:shd w:val="clear" w:color="auto" w:fill="EEEEEE"/>
          </w:tcPr>
          <w:p w14:paraId="4948EE3D">
            <w:pPr>
              <w:spacing w:before="96" w:beforeLines="40" w:after="96" w:afterLines="40" w:line="24" w:lineRule="atLeast"/>
              <w:rPr>
                <w:rFonts w:eastAsia="Times New Roman"/>
                <w:sz w:val="18"/>
                <w:szCs w:val="18"/>
                <w:lang w:val="en-GB" w:eastAsia="en-GB"/>
              </w:rPr>
            </w:pPr>
          </w:p>
        </w:tc>
        <w:tc>
          <w:tcPr>
            <w:tcW w:w="5218" w:type="dxa"/>
            <w:shd w:val="clear" w:color="auto" w:fill="EEEEEE"/>
          </w:tcPr>
          <w:p w14:paraId="5B2A1A71">
            <w:pPr>
              <w:spacing w:before="96" w:beforeLines="40" w:after="96" w:afterLines="40" w:line="24" w:lineRule="atLeast"/>
              <w:rPr>
                <w:rFonts w:eastAsia="Times New Roman"/>
                <w:sz w:val="18"/>
                <w:szCs w:val="18"/>
                <w:lang w:val="en-GB" w:eastAsia="en-GB"/>
              </w:rPr>
            </w:pPr>
          </w:p>
        </w:tc>
      </w:tr>
      <w:tr w14:paraId="52CFCA59">
        <w:tblPrEx>
          <w:tblCellMar>
            <w:top w:w="0" w:type="dxa"/>
            <w:left w:w="108" w:type="dxa"/>
            <w:bottom w:w="0" w:type="dxa"/>
            <w:right w:w="108" w:type="dxa"/>
          </w:tblCellMar>
        </w:tblPrEx>
        <w:tc>
          <w:tcPr>
            <w:tcW w:w="587" w:type="dxa"/>
            <w:shd w:val="clear" w:color="auto" w:fill="auto"/>
          </w:tcPr>
          <w:p w14:paraId="110872B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782" w:type="dxa"/>
            <w:shd w:val="clear" w:color="auto" w:fill="auto"/>
          </w:tcPr>
          <w:p w14:paraId="0C26298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5283" w:type="dxa"/>
            <w:shd w:val="clear" w:color="auto" w:fill="auto"/>
          </w:tcPr>
          <w:p w14:paraId="2F14FA37">
            <w:pPr>
              <w:spacing w:before="96" w:beforeLines="40" w:after="96" w:afterLines="40" w:line="24" w:lineRule="atLeast"/>
              <w:rPr>
                <w:rFonts w:eastAsia="Cambria"/>
                <w:sz w:val="18"/>
                <w:szCs w:val="18"/>
                <w:lang w:val="en-GB" w:eastAsia="en-US"/>
              </w:rPr>
            </w:pPr>
          </w:p>
        </w:tc>
        <w:tc>
          <w:tcPr>
            <w:tcW w:w="1620" w:type="dxa"/>
          </w:tcPr>
          <w:p w14:paraId="035B3367">
            <w:pPr>
              <w:spacing w:before="96" w:beforeLines="40" w:after="96" w:afterLines="40" w:line="24" w:lineRule="atLeast"/>
              <w:rPr>
                <w:rFonts w:eastAsia="Cambria"/>
                <w:sz w:val="18"/>
                <w:szCs w:val="18"/>
                <w:lang w:val="en-GB" w:eastAsia="en-US"/>
              </w:rPr>
            </w:pPr>
          </w:p>
        </w:tc>
        <w:tc>
          <w:tcPr>
            <w:tcW w:w="5218" w:type="dxa"/>
          </w:tcPr>
          <w:p w14:paraId="0AFA0083">
            <w:pPr>
              <w:spacing w:before="96" w:beforeLines="40" w:after="96" w:afterLines="40" w:line="24" w:lineRule="atLeast"/>
              <w:rPr>
                <w:rFonts w:eastAsia="Cambria"/>
                <w:sz w:val="18"/>
                <w:szCs w:val="18"/>
                <w:lang w:val="en-GB" w:eastAsia="en-US"/>
              </w:rPr>
            </w:pPr>
          </w:p>
        </w:tc>
      </w:tr>
      <w:tr w14:paraId="56845A2A">
        <w:tblPrEx>
          <w:tblCellMar>
            <w:top w:w="0" w:type="dxa"/>
            <w:left w:w="108" w:type="dxa"/>
            <w:bottom w:w="0" w:type="dxa"/>
            <w:right w:w="108" w:type="dxa"/>
          </w:tblCellMar>
        </w:tblPrEx>
        <w:tc>
          <w:tcPr>
            <w:tcW w:w="587" w:type="dxa"/>
            <w:shd w:val="clear" w:color="auto" w:fill="EEEEEE"/>
          </w:tcPr>
          <w:p w14:paraId="0892A548">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7CDB72A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EEEEEE"/>
          </w:tcPr>
          <w:p w14:paraId="09CB478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1620" w:type="dxa"/>
            <w:shd w:val="clear" w:color="auto" w:fill="EEEEEE"/>
          </w:tcPr>
          <w:p w14:paraId="7F1B8B69">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6,7</w:t>
            </w:r>
          </w:p>
        </w:tc>
        <w:tc>
          <w:tcPr>
            <w:tcW w:w="5218" w:type="dxa"/>
            <w:shd w:val="clear" w:color="auto" w:fill="EEEEEE"/>
          </w:tcPr>
          <w:p w14:paraId="31343874">
            <w:pPr>
              <w:rPr>
                <w:b/>
                <w:bCs/>
                <w:sz w:val="18"/>
                <w:szCs w:val="18"/>
                <w:highlight w:val="none"/>
              </w:rPr>
            </w:pPr>
            <w:r>
              <w:rPr>
                <w:b/>
                <w:bCs/>
                <w:sz w:val="18"/>
                <w:szCs w:val="18"/>
                <w:highlight w:val="none"/>
              </w:rPr>
              <w:t>Genetic Instruments for Immune Cells</w:t>
            </w:r>
          </w:p>
          <w:p w14:paraId="45C8DFB3">
            <w:pPr>
              <w:rPr>
                <w:rFonts w:hint="eastAsia"/>
                <w:b w:val="0"/>
                <w:bCs w:val="0"/>
                <w:sz w:val="18"/>
                <w:szCs w:val="18"/>
                <w:highlight w:val="none"/>
              </w:rPr>
            </w:pPr>
            <w:r>
              <w:rPr>
                <w:rFonts w:hint="eastAsia"/>
                <w:b w:val="0"/>
                <w:bCs w:val="0"/>
                <w:sz w:val="18"/>
                <w:szCs w:val="18"/>
                <w:highlight w:val="none"/>
              </w:rPr>
              <w:t>To explore high-quality IVs,our study indentified 14 immunophenotypes with IVs ranging from 14 to 28 SNPs through stringent measures.The correlation P values of the IVW method were all below 0.05,confirming the reliability of our study.Each retained SNP exhibited an F-statistic exceeding the threshold of 10,indicating a minimal likelihood of weak IVs.Comprehensive sensitivity analysis was conducted on all MR results, including assessment of heterogeneity using Cochran's Q test and investigation potential pleiotropy via MR-Egger intercept and MR-Presso Global test, with P-values exceeding 0.05.</w:t>
            </w:r>
          </w:p>
          <w:p w14:paraId="20DE3E63">
            <w:pPr>
              <w:rPr>
                <w:rFonts w:hint="default" w:eastAsiaTheme="minorEastAsia"/>
                <w:b/>
                <w:bCs/>
                <w:sz w:val="18"/>
                <w:szCs w:val="18"/>
                <w:highlight w:val="none"/>
                <w:lang w:val="en-US" w:eastAsia="zh-CN"/>
              </w:rPr>
            </w:pPr>
            <w:r>
              <w:rPr>
                <w:b/>
                <w:bCs/>
                <w:sz w:val="18"/>
                <w:szCs w:val="18"/>
                <w:highlight w:val="none"/>
              </w:rPr>
              <w:t xml:space="preserve">Causal Effect of Immune Cells on </w:t>
            </w:r>
            <w:r>
              <w:rPr>
                <w:rFonts w:hint="eastAsia"/>
                <w:b/>
                <w:bCs/>
                <w:sz w:val="18"/>
                <w:szCs w:val="18"/>
                <w:highlight w:val="none"/>
                <w:lang w:val="en-US" w:eastAsia="zh-CN"/>
              </w:rPr>
              <w:t>CRC</w:t>
            </w:r>
          </w:p>
          <w:p w14:paraId="7624BE35">
            <w:pPr>
              <w:rPr>
                <w:rFonts w:eastAsia="Times New Roman"/>
                <w:sz w:val="18"/>
                <w:szCs w:val="18"/>
                <w:lang w:val="en-GB" w:eastAsia="en-GB"/>
              </w:rPr>
            </w:pPr>
            <w:r>
              <w:rPr>
                <w:rFonts w:hint="eastAsia" w:cs="Times New Roman"/>
                <w:sz w:val="18"/>
                <w:szCs w:val="18"/>
                <w:highlight w:val="none"/>
                <w:lang w:val="en-US" w:eastAsia="zh-CN"/>
              </w:rPr>
              <w:t>To explore high-quality IVs,our study indentified 14 immunophenotypes significant associations with cirrhosis.</w:t>
            </w:r>
          </w:p>
        </w:tc>
      </w:tr>
      <w:tr w14:paraId="2FAEFE68">
        <w:tblPrEx>
          <w:tblCellMar>
            <w:top w:w="0" w:type="dxa"/>
            <w:left w:w="108" w:type="dxa"/>
            <w:bottom w:w="0" w:type="dxa"/>
            <w:right w:w="108" w:type="dxa"/>
          </w:tblCellMar>
        </w:tblPrEx>
        <w:tc>
          <w:tcPr>
            <w:tcW w:w="587" w:type="dxa"/>
            <w:shd w:val="clear" w:color="auto" w:fill="auto"/>
          </w:tcPr>
          <w:p w14:paraId="2E83DFB7">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142A3CE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auto"/>
          </w:tcPr>
          <w:p w14:paraId="336E75E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1620" w:type="dxa"/>
          </w:tcPr>
          <w:p w14:paraId="1E1B567F">
            <w:pPr>
              <w:spacing w:before="96" w:beforeLines="40" w:after="96" w:afterLines="40" w:line="24" w:lineRule="atLeast"/>
              <w:rPr>
                <w:rFonts w:eastAsia="Times New Roman"/>
                <w:sz w:val="18"/>
                <w:szCs w:val="18"/>
                <w:lang w:val="en-GB" w:eastAsia="en-GB"/>
              </w:rPr>
            </w:pPr>
          </w:p>
        </w:tc>
        <w:tc>
          <w:tcPr>
            <w:tcW w:w="5218" w:type="dxa"/>
          </w:tcPr>
          <w:p w14:paraId="4564CEDB">
            <w:pPr>
              <w:spacing w:before="96" w:beforeLines="40" w:after="96" w:afterLines="40" w:line="24" w:lineRule="atLeast"/>
              <w:rPr>
                <w:rFonts w:eastAsia="Times New Roman"/>
                <w:sz w:val="18"/>
                <w:szCs w:val="18"/>
                <w:lang w:val="en-GB" w:eastAsia="en-GB"/>
              </w:rPr>
            </w:pPr>
          </w:p>
        </w:tc>
      </w:tr>
      <w:tr w14:paraId="1FAC379E">
        <w:tblPrEx>
          <w:tblCellMar>
            <w:top w:w="0" w:type="dxa"/>
            <w:left w:w="108" w:type="dxa"/>
            <w:bottom w:w="0" w:type="dxa"/>
            <w:right w:w="108" w:type="dxa"/>
          </w:tblCellMar>
        </w:tblPrEx>
        <w:tc>
          <w:tcPr>
            <w:tcW w:w="587" w:type="dxa"/>
            <w:shd w:val="clear" w:color="auto" w:fill="EEEEEE"/>
          </w:tcPr>
          <w:p w14:paraId="6762B88A">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514E816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5283" w:type="dxa"/>
            <w:shd w:val="clear" w:color="auto" w:fill="EEEEEE"/>
          </w:tcPr>
          <w:p w14:paraId="4BC6AB7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1620" w:type="dxa"/>
            <w:shd w:val="clear" w:color="auto" w:fill="EEEEEE"/>
          </w:tcPr>
          <w:p w14:paraId="326BA5CA">
            <w:pPr>
              <w:spacing w:before="96" w:beforeLines="40" w:after="96" w:afterLines="40" w:line="24" w:lineRule="atLeast"/>
              <w:rPr>
                <w:rFonts w:eastAsia="Times New Roman"/>
                <w:sz w:val="18"/>
                <w:szCs w:val="18"/>
                <w:lang w:val="en-GB" w:eastAsia="en-GB"/>
              </w:rPr>
            </w:pPr>
          </w:p>
        </w:tc>
        <w:tc>
          <w:tcPr>
            <w:tcW w:w="5218" w:type="dxa"/>
            <w:shd w:val="clear" w:color="auto" w:fill="EEEEEE"/>
          </w:tcPr>
          <w:p w14:paraId="4A2216FF">
            <w:pPr>
              <w:spacing w:before="96" w:beforeLines="40" w:after="96" w:afterLines="40" w:line="24" w:lineRule="atLeast"/>
              <w:rPr>
                <w:rFonts w:eastAsia="Times New Roman"/>
                <w:sz w:val="18"/>
                <w:szCs w:val="18"/>
                <w:lang w:val="en-GB" w:eastAsia="en-GB"/>
              </w:rPr>
            </w:pPr>
          </w:p>
        </w:tc>
      </w:tr>
      <w:tr w14:paraId="00F87C74">
        <w:tblPrEx>
          <w:tblCellMar>
            <w:top w:w="0" w:type="dxa"/>
            <w:left w:w="108" w:type="dxa"/>
            <w:bottom w:w="0" w:type="dxa"/>
            <w:right w:w="108" w:type="dxa"/>
          </w:tblCellMar>
        </w:tblPrEx>
        <w:tc>
          <w:tcPr>
            <w:tcW w:w="587" w:type="dxa"/>
            <w:shd w:val="clear" w:color="auto" w:fill="auto"/>
          </w:tcPr>
          <w:p w14:paraId="2CDE5DE6">
            <w:pPr>
              <w:spacing w:before="96" w:beforeLines="40" w:after="96" w:afterLines="40" w:line="24" w:lineRule="atLeast"/>
              <w:jc w:val="right"/>
              <w:rPr>
                <w:rFonts w:eastAsia="Cambria"/>
                <w:b/>
                <w:bCs/>
                <w:sz w:val="18"/>
                <w:szCs w:val="18"/>
                <w:lang w:val="en-GB" w:eastAsia="en-US"/>
              </w:rPr>
            </w:pPr>
            <w:bookmarkStart w:id="22" w:name="OLE_LINK8" w:colFirst="4" w:colLast="4"/>
          </w:p>
        </w:tc>
        <w:tc>
          <w:tcPr>
            <w:tcW w:w="1782" w:type="dxa"/>
            <w:shd w:val="clear" w:color="auto" w:fill="auto"/>
          </w:tcPr>
          <w:p w14:paraId="69C50E8E">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5283" w:type="dxa"/>
            <w:shd w:val="clear" w:color="auto" w:fill="auto"/>
          </w:tcPr>
          <w:p w14:paraId="47CC3AC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1620" w:type="dxa"/>
          </w:tcPr>
          <w:p w14:paraId="1F309F22">
            <w:pPr>
              <w:rPr>
                <w:rFonts w:hint="default" w:cs="Times New Roman"/>
                <w:sz w:val="18"/>
                <w:szCs w:val="18"/>
                <w:highlight w:val="none"/>
                <w:lang w:val="en-US" w:eastAsia="zh-CN"/>
              </w:rPr>
            </w:pPr>
          </w:p>
        </w:tc>
        <w:tc>
          <w:tcPr>
            <w:tcW w:w="5218" w:type="dxa"/>
          </w:tcPr>
          <w:p w14:paraId="7B9F0A4D">
            <w:pPr>
              <w:rPr>
                <w:rFonts w:hint="default" w:cs="Times New Roman"/>
                <w:sz w:val="18"/>
                <w:szCs w:val="18"/>
                <w:highlight w:val="none"/>
                <w:lang w:val="en-US" w:eastAsia="en-GB"/>
              </w:rPr>
            </w:pPr>
            <w:r>
              <w:rPr>
                <w:rFonts w:hint="eastAsia" w:cs="Times New Roman"/>
                <w:sz w:val="18"/>
                <w:szCs w:val="18"/>
                <w:highlight w:val="none"/>
                <w:lang w:val="en-US" w:eastAsia="zh-CN"/>
              </w:rPr>
              <w:t>See Figure 2,3,4  and Supplementary Figure S1-13 online.</w:t>
            </w:r>
          </w:p>
        </w:tc>
      </w:tr>
      <w:bookmarkEnd w:id="22"/>
      <w:tr w14:paraId="62E6DFEA">
        <w:tblPrEx>
          <w:tblCellMar>
            <w:top w:w="0" w:type="dxa"/>
            <w:left w:w="108" w:type="dxa"/>
            <w:bottom w:w="0" w:type="dxa"/>
            <w:right w:w="108" w:type="dxa"/>
          </w:tblCellMar>
        </w:tblPrEx>
        <w:tc>
          <w:tcPr>
            <w:tcW w:w="587" w:type="dxa"/>
            <w:shd w:val="clear" w:color="auto" w:fill="EEEEEE"/>
          </w:tcPr>
          <w:p w14:paraId="57CB278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782" w:type="dxa"/>
            <w:shd w:val="clear" w:color="auto" w:fill="EEEEEE"/>
          </w:tcPr>
          <w:p w14:paraId="27B891D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5283" w:type="dxa"/>
            <w:shd w:val="clear" w:color="auto" w:fill="EEEEEE"/>
          </w:tcPr>
          <w:p w14:paraId="6EC050C1">
            <w:pPr>
              <w:spacing w:before="96" w:beforeLines="40" w:after="96" w:afterLines="40" w:line="24" w:lineRule="atLeast"/>
              <w:rPr>
                <w:rFonts w:eastAsia="Cambria"/>
                <w:sz w:val="18"/>
                <w:szCs w:val="18"/>
                <w:lang w:val="en-GB" w:eastAsia="en-US"/>
              </w:rPr>
            </w:pPr>
          </w:p>
        </w:tc>
        <w:tc>
          <w:tcPr>
            <w:tcW w:w="1620" w:type="dxa"/>
            <w:shd w:val="clear" w:color="auto" w:fill="EEEEEE"/>
          </w:tcPr>
          <w:p w14:paraId="3871A389">
            <w:pPr>
              <w:spacing w:before="96" w:beforeLines="40" w:after="96" w:afterLines="40" w:line="24" w:lineRule="atLeast"/>
              <w:rPr>
                <w:rFonts w:eastAsia="Cambria"/>
                <w:sz w:val="18"/>
                <w:szCs w:val="18"/>
                <w:lang w:val="en-GB" w:eastAsia="en-US"/>
              </w:rPr>
            </w:pPr>
          </w:p>
        </w:tc>
        <w:tc>
          <w:tcPr>
            <w:tcW w:w="5218" w:type="dxa"/>
            <w:shd w:val="clear" w:color="auto" w:fill="EEEEEE"/>
          </w:tcPr>
          <w:p w14:paraId="10C8ADE2">
            <w:pPr>
              <w:spacing w:before="96" w:beforeLines="40" w:after="96" w:afterLines="40" w:line="24" w:lineRule="atLeast"/>
              <w:rPr>
                <w:rFonts w:eastAsia="Cambria"/>
                <w:sz w:val="18"/>
                <w:szCs w:val="18"/>
                <w:lang w:val="en-GB" w:eastAsia="en-US"/>
              </w:rPr>
            </w:pPr>
          </w:p>
        </w:tc>
      </w:tr>
      <w:tr w14:paraId="48EE0AFA">
        <w:tblPrEx>
          <w:tblCellMar>
            <w:top w:w="0" w:type="dxa"/>
            <w:left w:w="108" w:type="dxa"/>
            <w:bottom w:w="0" w:type="dxa"/>
            <w:right w:w="108" w:type="dxa"/>
          </w:tblCellMar>
        </w:tblPrEx>
        <w:tc>
          <w:tcPr>
            <w:tcW w:w="587" w:type="dxa"/>
            <w:shd w:val="clear" w:color="auto" w:fill="auto"/>
          </w:tcPr>
          <w:p w14:paraId="4E29121D">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18A8B0E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auto"/>
          </w:tcPr>
          <w:p w14:paraId="1A97B45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1620" w:type="dxa"/>
          </w:tcPr>
          <w:p w14:paraId="6E2D56F0">
            <w:pPr>
              <w:spacing w:before="96" w:beforeLines="40" w:after="96" w:afterLines="40" w:line="24" w:lineRule="atLeast"/>
              <w:rPr>
                <w:rFonts w:eastAsia="Times New Roman"/>
                <w:sz w:val="18"/>
                <w:szCs w:val="18"/>
                <w:lang w:val="en-GB" w:eastAsia="en-GB"/>
              </w:rPr>
            </w:pPr>
          </w:p>
        </w:tc>
        <w:tc>
          <w:tcPr>
            <w:tcW w:w="5218" w:type="dxa"/>
          </w:tcPr>
          <w:p w14:paraId="5E7081D1">
            <w:pPr>
              <w:spacing w:before="96" w:beforeLines="40" w:after="96" w:afterLines="40" w:line="24" w:lineRule="atLeast"/>
              <w:rPr>
                <w:rFonts w:eastAsia="Times New Roman"/>
                <w:sz w:val="18"/>
                <w:szCs w:val="18"/>
                <w:lang w:val="en-GB" w:eastAsia="en-GB"/>
              </w:rPr>
            </w:pPr>
          </w:p>
        </w:tc>
      </w:tr>
      <w:tr w14:paraId="7BDA55CD">
        <w:tblPrEx>
          <w:tblCellMar>
            <w:top w:w="0" w:type="dxa"/>
            <w:left w:w="108" w:type="dxa"/>
            <w:bottom w:w="0" w:type="dxa"/>
            <w:right w:w="108" w:type="dxa"/>
          </w:tblCellMar>
        </w:tblPrEx>
        <w:tc>
          <w:tcPr>
            <w:tcW w:w="587" w:type="dxa"/>
            <w:shd w:val="clear" w:color="auto" w:fill="EEEEEE"/>
          </w:tcPr>
          <w:p w14:paraId="6F27FA73">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6BC0019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EEEEEE"/>
          </w:tcPr>
          <w:p w14:paraId="400ADD5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1620" w:type="dxa"/>
            <w:shd w:val="clear" w:color="auto" w:fill="EEEEEE"/>
          </w:tcPr>
          <w:p w14:paraId="2D6E39C6">
            <w:pPr>
              <w:spacing w:before="96" w:beforeLines="40" w:after="96" w:afterLines="40" w:line="24" w:lineRule="atLeast"/>
              <w:rPr>
                <w:rFonts w:hint="default" w:eastAsia="宋体"/>
                <w:sz w:val="18"/>
                <w:szCs w:val="18"/>
                <w:lang w:val="en-US" w:eastAsia="zh-CN"/>
              </w:rPr>
            </w:pPr>
          </w:p>
        </w:tc>
        <w:tc>
          <w:tcPr>
            <w:tcW w:w="5218" w:type="dxa"/>
            <w:shd w:val="clear" w:color="auto" w:fill="EEEEEE"/>
          </w:tcPr>
          <w:p w14:paraId="205C4ED8">
            <w:pPr>
              <w:spacing w:before="96" w:beforeLines="40" w:after="96" w:afterLines="40" w:line="24" w:lineRule="atLeast"/>
              <w:rPr>
                <w:rFonts w:eastAsia="Times New Roman"/>
                <w:sz w:val="18"/>
                <w:szCs w:val="18"/>
                <w:lang w:val="en-GB" w:eastAsia="en-GB"/>
              </w:rPr>
            </w:pPr>
          </w:p>
        </w:tc>
      </w:tr>
      <w:tr w14:paraId="23F1C43D">
        <w:tblPrEx>
          <w:tblCellMar>
            <w:top w:w="0" w:type="dxa"/>
            <w:left w:w="108" w:type="dxa"/>
            <w:bottom w:w="0" w:type="dxa"/>
            <w:right w:w="108" w:type="dxa"/>
          </w:tblCellMar>
        </w:tblPrEx>
        <w:tc>
          <w:tcPr>
            <w:tcW w:w="587" w:type="dxa"/>
            <w:shd w:val="clear" w:color="auto" w:fill="auto"/>
          </w:tcPr>
          <w:p w14:paraId="021A9BB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782" w:type="dxa"/>
            <w:shd w:val="clear" w:color="auto" w:fill="auto"/>
          </w:tcPr>
          <w:p w14:paraId="51D3F02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5283" w:type="dxa"/>
            <w:shd w:val="clear" w:color="auto" w:fill="auto"/>
          </w:tcPr>
          <w:p w14:paraId="4AB1D97F">
            <w:pPr>
              <w:spacing w:before="96" w:beforeLines="40" w:after="96" w:afterLines="40" w:line="24" w:lineRule="atLeast"/>
              <w:rPr>
                <w:rFonts w:eastAsia="Cambria"/>
                <w:sz w:val="18"/>
                <w:szCs w:val="18"/>
                <w:lang w:val="en-GB" w:eastAsia="en-US"/>
              </w:rPr>
            </w:pPr>
          </w:p>
        </w:tc>
        <w:tc>
          <w:tcPr>
            <w:tcW w:w="1620" w:type="dxa"/>
          </w:tcPr>
          <w:p w14:paraId="50481D19">
            <w:pPr>
              <w:spacing w:before="96" w:beforeLines="40" w:after="96" w:afterLines="40" w:line="24" w:lineRule="atLeast"/>
              <w:rPr>
                <w:rFonts w:hint="default" w:eastAsia="宋体"/>
                <w:sz w:val="18"/>
                <w:szCs w:val="18"/>
                <w:lang w:val="en-US" w:eastAsia="zh-CN"/>
              </w:rPr>
            </w:pPr>
          </w:p>
        </w:tc>
        <w:tc>
          <w:tcPr>
            <w:tcW w:w="5218" w:type="dxa"/>
          </w:tcPr>
          <w:p w14:paraId="0F2C43F0">
            <w:pPr>
              <w:spacing w:before="96" w:beforeLines="40" w:after="96" w:afterLines="40" w:line="24" w:lineRule="atLeast"/>
              <w:rPr>
                <w:rFonts w:eastAsia="Cambria"/>
                <w:sz w:val="18"/>
                <w:szCs w:val="18"/>
                <w:lang w:val="en-GB" w:eastAsia="en-US"/>
              </w:rPr>
            </w:pPr>
          </w:p>
        </w:tc>
      </w:tr>
      <w:tr w14:paraId="1ABE2F1D">
        <w:tblPrEx>
          <w:tblCellMar>
            <w:top w:w="0" w:type="dxa"/>
            <w:left w:w="108" w:type="dxa"/>
            <w:bottom w:w="0" w:type="dxa"/>
            <w:right w:w="108" w:type="dxa"/>
          </w:tblCellMar>
        </w:tblPrEx>
        <w:tc>
          <w:tcPr>
            <w:tcW w:w="587" w:type="dxa"/>
            <w:shd w:val="clear" w:color="auto" w:fill="EEEEEE"/>
          </w:tcPr>
          <w:p w14:paraId="0D022F9B">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27E8FFD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EEEEEE"/>
          </w:tcPr>
          <w:p w14:paraId="30AA926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1620" w:type="dxa"/>
            <w:shd w:val="clear" w:color="auto" w:fill="EEEEEE"/>
          </w:tcPr>
          <w:p w14:paraId="39DB2F0E">
            <w:pPr>
              <w:spacing w:before="96" w:beforeLines="40" w:after="96" w:afterLines="40" w:line="24" w:lineRule="atLeast"/>
              <w:rPr>
                <w:rFonts w:eastAsia="Times New Roman"/>
                <w:sz w:val="18"/>
                <w:szCs w:val="18"/>
                <w:lang w:val="en-GB" w:eastAsia="en-GB"/>
              </w:rPr>
            </w:pPr>
          </w:p>
        </w:tc>
        <w:tc>
          <w:tcPr>
            <w:tcW w:w="5218" w:type="dxa"/>
            <w:shd w:val="clear" w:color="auto" w:fill="EEEEEE"/>
          </w:tcPr>
          <w:p w14:paraId="73386906">
            <w:pPr>
              <w:spacing w:before="96" w:beforeLines="40" w:after="96" w:afterLines="40" w:line="24" w:lineRule="atLeast"/>
              <w:rPr>
                <w:rFonts w:eastAsia="Times New Roman"/>
                <w:sz w:val="18"/>
                <w:szCs w:val="18"/>
                <w:lang w:val="en-GB" w:eastAsia="en-GB"/>
              </w:rPr>
            </w:pPr>
          </w:p>
        </w:tc>
      </w:tr>
      <w:tr w14:paraId="3696A9F1">
        <w:tblPrEx>
          <w:tblCellMar>
            <w:top w:w="0" w:type="dxa"/>
            <w:left w:w="108" w:type="dxa"/>
            <w:bottom w:w="0" w:type="dxa"/>
            <w:right w:w="108" w:type="dxa"/>
          </w:tblCellMar>
        </w:tblPrEx>
        <w:tc>
          <w:tcPr>
            <w:tcW w:w="587" w:type="dxa"/>
            <w:shd w:val="clear" w:color="auto" w:fill="auto"/>
          </w:tcPr>
          <w:p w14:paraId="0D2234E5">
            <w:pPr>
              <w:spacing w:before="96" w:beforeLines="40" w:after="96" w:afterLines="40" w:line="24" w:lineRule="atLeast"/>
              <w:jc w:val="right"/>
              <w:rPr>
                <w:rFonts w:eastAsia="Cambria"/>
                <w:b/>
                <w:bCs/>
                <w:sz w:val="18"/>
                <w:szCs w:val="18"/>
                <w:lang w:val="en-GB" w:eastAsia="en-US"/>
              </w:rPr>
            </w:pPr>
            <w:bookmarkStart w:id="23" w:name="OLE_LINK9" w:colFirst="4" w:colLast="4"/>
          </w:p>
        </w:tc>
        <w:tc>
          <w:tcPr>
            <w:tcW w:w="1782" w:type="dxa"/>
            <w:shd w:val="clear" w:color="auto" w:fill="auto"/>
          </w:tcPr>
          <w:p w14:paraId="7453E1F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auto"/>
          </w:tcPr>
          <w:p w14:paraId="5111E54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1620" w:type="dxa"/>
          </w:tcPr>
          <w:p w14:paraId="447F5BF5">
            <w:pPr>
              <w:spacing w:before="96" w:beforeLines="40" w:after="96" w:afterLines="40" w:line="24" w:lineRule="atLeast"/>
              <w:rPr>
                <w:rFonts w:eastAsia="Times New Roman"/>
                <w:sz w:val="18"/>
                <w:szCs w:val="18"/>
                <w:lang w:val="en-GB" w:eastAsia="en-GB"/>
              </w:rPr>
            </w:pPr>
          </w:p>
        </w:tc>
        <w:tc>
          <w:tcPr>
            <w:tcW w:w="5218" w:type="dxa"/>
            <w:shd w:val="clear"/>
            <w:vAlign w:val="top"/>
          </w:tcPr>
          <w:p w14:paraId="5BB83735">
            <w:pPr>
              <w:rPr>
                <w:rFonts w:hint="default" w:ascii="Arial" w:hAnsi="Arial" w:eastAsia="Arial" w:cs="Times New Roman"/>
                <w:sz w:val="18"/>
                <w:szCs w:val="18"/>
                <w:highlight w:val="none"/>
                <w:lang w:val="en-GB" w:eastAsia="en-GB" w:bidi="ar-SA"/>
              </w:rPr>
            </w:pPr>
            <w:r>
              <w:rPr>
                <w:rFonts w:hint="eastAsia" w:cs="Times New Roman"/>
                <w:sz w:val="18"/>
                <w:szCs w:val="18"/>
                <w:highlight w:val="none"/>
                <w:lang w:val="en-US" w:eastAsia="zh-CN"/>
              </w:rPr>
              <w:t>See  Supplementary Figure S1-13 online.</w:t>
            </w:r>
          </w:p>
        </w:tc>
      </w:tr>
      <w:bookmarkEnd w:id="23"/>
      <w:tr w14:paraId="1650BAB8">
        <w:tblPrEx>
          <w:tblCellMar>
            <w:top w:w="0" w:type="dxa"/>
            <w:left w:w="108" w:type="dxa"/>
            <w:bottom w:w="0" w:type="dxa"/>
            <w:right w:w="108" w:type="dxa"/>
          </w:tblCellMar>
        </w:tblPrEx>
        <w:tc>
          <w:tcPr>
            <w:tcW w:w="587" w:type="dxa"/>
            <w:shd w:val="clear" w:color="auto" w:fill="EEEEEE"/>
          </w:tcPr>
          <w:p w14:paraId="4D025CC4">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6EAD995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5283" w:type="dxa"/>
            <w:shd w:val="clear" w:color="auto" w:fill="EEEEEE"/>
          </w:tcPr>
          <w:p w14:paraId="14E0FCD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1620" w:type="dxa"/>
            <w:shd w:val="clear" w:color="auto" w:fill="EEEEEE"/>
          </w:tcPr>
          <w:p w14:paraId="03D1A085">
            <w:pPr>
              <w:spacing w:before="96" w:beforeLines="40" w:after="96" w:afterLines="40" w:line="24" w:lineRule="atLeast"/>
              <w:rPr>
                <w:rFonts w:eastAsia="Times New Roman"/>
                <w:sz w:val="18"/>
                <w:szCs w:val="18"/>
                <w:lang w:val="en-GB" w:eastAsia="en-GB"/>
              </w:rPr>
            </w:pPr>
          </w:p>
        </w:tc>
        <w:tc>
          <w:tcPr>
            <w:tcW w:w="5218" w:type="dxa"/>
            <w:shd w:val="clear" w:color="auto" w:fill="EEEEEE"/>
          </w:tcPr>
          <w:p w14:paraId="66751F07">
            <w:pPr>
              <w:spacing w:before="96" w:beforeLines="40" w:after="96" w:afterLines="40" w:line="24" w:lineRule="atLeast"/>
              <w:rPr>
                <w:rFonts w:eastAsia="Times New Roman"/>
                <w:sz w:val="18"/>
                <w:szCs w:val="18"/>
                <w:lang w:val="en-GB" w:eastAsia="en-GB"/>
              </w:rPr>
            </w:pPr>
          </w:p>
        </w:tc>
      </w:tr>
      <w:tr w14:paraId="2034ACF7">
        <w:tblPrEx>
          <w:tblCellMar>
            <w:top w:w="0" w:type="dxa"/>
            <w:left w:w="108" w:type="dxa"/>
            <w:bottom w:w="0" w:type="dxa"/>
            <w:right w:w="108" w:type="dxa"/>
          </w:tblCellMar>
        </w:tblPrEx>
        <w:tc>
          <w:tcPr>
            <w:tcW w:w="587" w:type="dxa"/>
            <w:shd w:val="clear" w:color="auto" w:fill="auto"/>
          </w:tcPr>
          <w:p w14:paraId="3217ECED">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5AE90FE5">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5283" w:type="dxa"/>
            <w:shd w:val="clear" w:color="auto" w:fill="auto"/>
          </w:tcPr>
          <w:p w14:paraId="3A13AF3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1620" w:type="dxa"/>
          </w:tcPr>
          <w:p w14:paraId="528F9F4C">
            <w:pPr>
              <w:spacing w:before="96" w:beforeLines="40" w:after="96" w:afterLines="40" w:line="24" w:lineRule="atLeast"/>
              <w:rPr>
                <w:rFonts w:eastAsia="Times New Roman"/>
                <w:sz w:val="18"/>
                <w:szCs w:val="18"/>
                <w:lang w:val="en-GB" w:eastAsia="en-GB"/>
              </w:rPr>
            </w:pPr>
          </w:p>
        </w:tc>
        <w:tc>
          <w:tcPr>
            <w:tcW w:w="5218" w:type="dxa"/>
          </w:tcPr>
          <w:p w14:paraId="7B882C5B">
            <w:pPr>
              <w:spacing w:before="96" w:beforeLines="40" w:after="96" w:afterLines="40" w:line="24" w:lineRule="atLeast"/>
              <w:rPr>
                <w:rFonts w:eastAsia="Times New Roman"/>
                <w:sz w:val="18"/>
                <w:szCs w:val="18"/>
                <w:lang w:val="en-GB" w:eastAsia="en-GB"/>
              </w:rPr>
            </w:pPr>
          </w:p>
        </w:tc>
      </w:tr>
      <w:tr w14:paraId="3E7CFBFC">
        <w:tblPrEx>
          <w:tblCellMar>
            <w:top w:w="0" w:type="dxa"/>
            <w:left w:w="108" w:type="dxa"/>
            <w:bottom w:w="0" w:type="dxa"/>
            <w:right w:w="108" w:type="dxa"/>
          </w:tblCellMar>
        </w:tblPrEx>
        <w:tc>
          <w:tcPr>
            <w:tcW w:w="587" w:type="dxa"/>
            <w:tcBorders>
              <w:bottom w:val="single" w:color="7F7F7F" w:sz="6" w:space="0"/>
            </w:tcBorders>
            <w:shd w:val="clear" w:color="auto" w:fill="EEEEEE"/>
          </w:tcPr>
          <w:p w14:paraId="1FDC421F">
            <w:pPr>
              <w:spacing w:before="96" w:beforeLines="40" w:after="96" w:afterLines="40" w:line="24" w:lineRule="atLeast"/>
              <w:jc w:val="right"/>
              <w:rPr>
                <w:rFonts w:eastAsia="Cambria"/>
                <w:b/>
                <w:bCs/>
                <w:sz w:val="18"/>
                <w:szCs w:val="18"/>
                <w:lang w:val="en-GB" w:eastAsia="en-US"/>
              </w:rPr>
            </w:pPr>
          </w:p>
        </w:tc>
        <w:tc>
          <w:tcPr>
            <w:tcW w:w="1782" w:type="dxa"/>
            <w:tcBorders>
              <w:bottom w:val="single" w:color="7F7F7F" w:sz="6" w:space="0"/>
            </w:tcBorders>
            <w:shd w:val="clear" w:color="auto" w:fill="EEEEEE"/>
          </w:tcPr>
          <w:p w14:paraId="5FE1503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5283" w:type="dxa"/>
            <w:tcBorders>
              <w:bottom w:val="single" w:color="7F7F7F" w:sz="6" w:space="0"/>
            </w:tcBorders>
            <w:shd w:val="clear" w:color="auto" w:fill="EEEEEE"/>
          </w:tcPr>
          <w:p w14:paraId="61CE32B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1620" w:type="dxa"/>
            <w:tcBorders>
              <w:bottom w:val="single" w:color="7F7F7F" w:sz="6" w:space="0"/>
            </w:tcBorders>
            <w:shd w:val="clear" w:color="auto" w:fill="EEEEEE"/>
          </w:tcPr>
          <w:p w14:paraId="33892A62">
            <w:pPr>
              <w:spacing w:before="96" w:beforeLines="40" w:after="96" w:afterLines="40" w:line="24" w:lineRule="atLeast"/>
              <w:rPr>
                <w:rFonts w:hint="default" w:eastAsia="宋体"/>
                <w:sz w:val="18"/>
                <w:szCs w:val="18"/>
                <w:lang w:val="en-US" w:eastAsia="zh-CN"/>
              </w:rPr>
            </w:pPr>
          </w:p>
        </w:tc>
        <w:tc>
          <w:tcPr>
            <w:tcW w:w="5218" w:type="dxa"/>
            <w:tcBorders>
              <w:bottom w:val="single" w:color="7F7F7F" w:sz="6" w:space="0"/>
            </w:tcBorders>
            <w:shd w:val="clear" w:color="auto" w:fill="auto"/>
            <w:vAlign w:val="top"/>
          </w:tcPr>
          <w:p w14:paraId="03A6AB93">
            <w:pPr>
              <w:rPr>
                <w:rFonts w:hint="default" w:ascii="Arial" w:hAnsi="Arial" w:eastAsia="Arial" w:cs="Times New Roman"/>
                <w:sz w:val="18"/>
                <w:szCs w:val="18"/>
                <w:highlight w:val="none"/>
                <w:lang w:val="en-GB" w:eastAsia="en-GB" w:bidi="ar-SA"/>
              </w:rPr>
            </w:pPr>
            <w:r>
              <w:rPr>
                <w:rFonts w:hint="eastAsia" w:cs="Times New Roman"/>
                <w:sz w:val="18"/>
                <w:szCs w:val="18"/>
                <w:highlight w:val="none"/>
                <w:lang w:val="en-US" w:eastAsia="zh-CN"/>
              </w:rPr>
              <w:t>See  Figure 2 and Supplementary Figure S1-13 online.</w:t>
            </w:r>
          </w:p>
        </w:tc>
      </w:tr>
      <w:tr w14:paraId="5B7D2773">
        <w:tblPrEx>
          <w:tblCellMar>
            <w:top w:w="0" w:type="dxa"/>
            <w:left w:w="108" w:type="dxa"/>
            <w:bottom w:w="0" w:type="dxa"/>
            <w:right w:w="108" w:type="dxa"/>
          </w:tblCellMar>
        </w:tblPrEx>
        <w:tc>
          <w:tcPr>
            <w:tcW w:w="587" w:type="dxa"/>
            <w:tcBorders>
              <w:top w:val="single" w:color="7F7F7F" w:sz="6" w:space="0"/>
            </w:tcBorders>
            <w:shd w:val="clear" w:color="auto" w:fill="auto"/>
          </w:tcPr>
          <w:p w14:paraId="5BDBDA65">
            <w:pPr>
              <w:spacing w:before="96" w:beforeLines="40" w:after="96" w:afterLines="40" w:line="24" w:lineRule="atLeast"/>
              <w:rPr>
                <w:rFonts w:eastAsia="Times New Roman"/>
                <w:b/>
                <w:bCs/>
                <w:sz w:val="18"/>
                <w:szCs w:val="18"/>
                <w:lang w:val="en-GB" w:eastAsia="en-GB"/>
              </w:rPr>
            </w:pPr>
          </w:p>
        </w:tc>
        <w:tc>
          <w:tcPr>
            <w:tcW w:w="1782" w:type="dxa"/>
            <w:tcBorders>
              <w:top w:val="single" w:color="7F7F7F" w:sz="6" w:space="0"/>
            </w:tcBorders>
            <w:shd w:val="clear" w:color="auto" w:fill="auto"/>
          </w:tcPr>
          <w:p w14:paraId="1C564B75">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5283" w:type="dxa"/>
            <w:tcBorders>
              <w:top w:val="single" w:color="7F7F7F" w:sz="6" w:space="0"/>
            </w:tcBorders>
            <w:shd w:val="clear" w:color="auto" w:fill="auto"/>
          </w:tcPr>
          <w:p w14:paraId="35997729">
            <w:pPr>
              <w:spacing w:before="96" w:beforeLines="40" w:after="96" w:afterLines="40" w:line="24" w:lineRule="atLeast"/>
              <w:rPr>
                <w:rFonts w:eastAsia="Cambria"/>
                <w:sz w:val="18"/>
                <w:szCs w:val="18"/>
                <w:lang w:val="en-GB" w:eastAsia="en-US"/>
              </w:rPr>
            </w:pPr>
          </w:p>
        </w:tc>
        <w:tc>
          <w:tcPr>
            <w:tcW w:w="1620" w:type="dxa"/>
            <w:tcBorders>
              <w:top w:val="single" w:color="7F7F7F" w:sz="6" w:space="0"/>
            </w:tcBorders>
          </w:tcPr>
          <w:p w14:paraId="1AAD7FFB">
            <w:pPr>
              <w:spacing w:before="96" w:beforeLines="40" w:after="96" w:afterLines="40" w:line="24" w:lineRule="atLeast"/>
              <w:rPr>
                <w:rFonts w:eastAsia="Cambria"/>
                <w:sz w:val="18"/>
                <w:szCs w:val="18"/>
                <w:lang w:val="en-GB" w:eastAsia="en-US"/>
              </w:rPr>
            </w:pPr>
          </w:p>
        </w:tc>
        <w:tc>
          <w:tcPr>
            <w:tcW w:w="5218" w:type="dxa"/>
            <w:tcBorders>
              <w:top w:val="single" w:color="7F7F7F" w:sz="6" w:space="0"/>
            </w:tcBorders>
          </w:tcPr>
          <w:p w14:paraId="2AE3A897">
            <w:pPr>
              <w:spacing w:before="96" w:beforeLines="40" w:after="96" w:afterLines="40" w:line="24" w:lineRule="atLeast"/>
              <w:rPr>
                <w:rFonts w:eastAsia="Cambria"/>
                <w:sz w:val="18"/>
                <w:szCs w:val="18"/>
                <w:lang w:val="en-GB" w:eastAsia="en-US"/>
              </w:rPr>
            </w:pPr>
          </w:p>
        </w:tc>
      </w:tr>
      <w:tr w14:paraId="1800AF05">
        <w:tblPrEx>
          <w:tblCellMar>
            <w:top w:w="0" w:type="dxa"/>
            <w:left w:w="108" w:type="dxa"/>
            <w:bottom w:w="0" w:type="dxa"/>
            <w:right w:w="108" w:type="dxa"/>
          </w:tblCellMar>
        </w:tblPrEx>
        <w:tc>
          <w:tcPr>
            <w:tcW w:w="587" w:type="dxa"/>
            <w:shd w:val="clear" w:color="auto" w:fill="EEEEEE"/>
          </w:tcPr>
          <w:p w14:paraId="6B5F528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782" w:type="dxa"/>
            <w:shd w:val="clear" w:color="auto" w:fill="EEEEEE"/>
          </w:tcPr>
          <w:p w14:paraId="42EDC02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5283" w:type="dxa"/>
            <w:shd w:val="clear" w:color="auto" w:fill="EEEEEE"/>
          </w:tcPr>
          <w:p w14:paraId="35F1CAD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1620" w:type="dxa"/>
            <w:shd w:val="clear" w:color="auto" w:fill="EEEEEE"/>
          </w:tcPr>
          <w:p w14:paraId="2C7117BF">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11</w:t>
            </w:r>
          </w:p>
        </w:tc>
        <w:tc>
          <w:tcPr>
            <w:tcW w:w="5218" w:type="dxa"/>
            <w:shd w:val="clear" w:color="auto" w:fill="EEEEEE"/>
          </w:tcPr>
          <w:p w14:paraId="436471D5">
            <w:pPr>
              <w:rPr>
                <w:rFonts w:hint="default"/>
                <w:sz w:val="18"/>
                <w:szCs w:val="18"/>
                <w:highlight w:val="none"/>
                <w:lang w:val="en-US" w:eastAsia="zh-CN"/>
              </w:rPr>
            </w:pPr>
            <w:r>
              <w:rPr>
                <w:rFonts w:hint="eastAsia"/>
                <w:sz w:val="18"/>
                <w:szCs w:val="18"/>
                <w:highlight w:val="none"/>
                <w:lang w:val="en-US" w:eastAsia="zh-CN"/>
              </w:rPr>
              <w:t>(1)</w:t>
            </w:r>
            <w:r>
              <w:rPr>
                <w:rFonts w:hint="default"/>
                <w:sz w:val="18"/>
                <w:szCs w:val="18"/>
                <w:highlight w:val="none"/>
                <w:lang w:val="en-US" w:eastAsia="zh-CN"/>
              </w:rPr>
              <w:t xml:space="preserve">The role of immune cells in liver cirrhosis has been highlighted by </w:t>
            </w:r>
            <w:r>
              <w:rPr>
                <w:rFonts w:hint="eastAsia"/>
                <w:sz w:val="18"/>
                <w:szCs w:val="18"/>
                <w:highlight w:val="none"/>
                <w:lang w:val="en-US" w:eastAsia="zh-CN"/>
              </w:rPr>
              <w:t>MR</w:t>
            </w:r>
            <w:r>
              <w:rPr>
                <w:rFonts w:hint="default"/>
                <w:sz w:val="18"/>
                <w:szCs w:val="18"/>
                <w:highlight w:val="none"/>
                <w:lang w:val="en-US" w:eastAsia="zh-CN"/>
              </w:rPr>
              <w:t xml:space="preserve"> study.</w:t>
            </w:r>
          </w:p>
          <w:p w14:paraId="6DA71F35">
            <w:pPr>
              <w:rPr>
                <w:rFonts w:hint="default"/>
                <w:sz w:val="18"/>
                <w:szCs w:val="18"/>
                <w:highlight w:val="none"/>
                <w:lang w:val="en-US" w:eastAsia="zh-CN"/>
              </w:rPr>
            </w:pPr>
            <w:r>
              <w:rPr>
                <w:rFonts w:hint="eastAsia"/>
                <w:sz w:val="18"/>
                <w:szCs w:val="18"/>
                <w:highlight w:val="none"/>
                <w:lang w:val="en-US" w:eastAsia="zh-CN"/>
              </w:rPr>
              <w:t>(2)</w:t>
            </w:r>
            <w:r>
              <w:rPr>
                <w:rFonts w:hint="default"/>
                <w:sz w:val="18"/>
                <w:szCs w:val="18"/>
                <w:highlight w:val="none"/>
              </w:rPr>
              <w:t xml:space="preserve">The immune-cell marker CD33, along with B cells, is correlated with an elevated susceptibility to </w:t>
            </w:r>
            <w:r>
              <w:rPr>
                <w:rFonts w:hint="eastAsia"/>
                <w:sz w:val="18"/>
                <w:szCs w:val="18"/>
                <w:highlight w:val="none"/>
                <w:lang w:val="en-US" w:eastAsia="zh-CN"/>
              </w:rPr>
              <w:t xml:space="preserve">liver </w:t>
            </w:r>
            <w:r>
              <w:rPr>
                <w:rFonts w:hint="default"/>
                <w:sz w:val="18"/>
                <w:szCs w:val="18"/>
                <w:highlight w:val="none"/>
              </w:rPr>
              <w:t>cirrhosis</w:t>
            </w:r>
            <w:r>
              <w:rPr>
                <w:rFonts w:hint="default"/>
                <w:sz w:val="18"/>
                <w:szCs w:val="18"/>
                <w:highlight w:val="none"/>
                <w:lang w:val="en-US" w:eastAsia="zh-CN"/>
              </w:rPr>
              <w:t>.</w:t>
            </w:r>
          </w:p>
          <w:p w14:paraId="2F973D45">
            <w:pPr>
              <w:rPr>
                <w:sz w:val="18"/>
                <w:szCs w:val="18"/>
                <w:highlight w:val="none"/>
              </w:rPr>
            </w:pPr>
            <w:r>
              <w:rPr>
                <w:rFonts w:hint="eastAsia"/>
                <w:sz w:val="18"/>
                <w:szCs w:val="18"/>
                <w:highlight w:val="none"/>
                <w:lang w:val="en-US" w:eastAsia="zh-CN"/>
              </w:rPr>
              <w:t>(3)I</w:t>
            </w:r>
            <w:r>
              <w:rPr>
                <w:sz w:val="18"/>
                <w:szCs w:val="18"/>
                <w:highlight w:val="none"/>
              </w:rPr>
              <w:t>mmunophenotypes</w:t>
            </w:r>
            <w:r>
              <w:rPr>
                <w:rFonts w:hint="eastAsia"/>
                <w:sz w:val="18"/>
                <w:szCs w:val="18"/>
                <w:highlight w:val="none"/>
                <w:lang w:val="en-US" w:eastAsia="zh-CN"/>
              </w:rPr>
              <w:t xml:space="preserve"> </w:t>
            </w:r>
            <w:r>
              <w:rPr>
                <w:rFonts w:hint="default"/>
                <w:sz w:val="18"/>
                <w:szCs w:val="18"/>
                <w:highlight w:val="none"/>
              </w:rPr>
              <w:t>has the potential to emerge as a novel target for the diagnosis and treatment of liver cirrhosis.</w:t>
            </w:r>
          </w:p>
          <w:p w14:paraId="1A1A9B7F">
            <w:pPr>
              <w:spacing w:before="96" w:beforeLines="40" w:after="96" w:afterLines="40" w:line="24" w:lineRule="atLeast"/>
              <w:rPr>
                <w:rFonts w:eastAsia="Times New Roman"/>
                <w:sz w:val="18"/>
                <w:szCs w:val="18"/>
                <w:lang w:val="en-GB" w:eastAsia="en-GB"/>
              </w:rPr>
            </w:pPr>
          </w:p>
        </w:tc>
      </w:tr>
      <w:tr w14:paraId="06BFAFA4">
        <w:tblPrEx>
          <w:tblCellMar>
            <w:top w:w="0" w:type="dxa"/>
            <w:left w:w="108" w:type="dxa"/>
            <w:bottom w:w="0" w:type="dxa"/>
            <w:right w:w="108" w:type="dxa"/>
          </w:tblCellMar>
        </w:tblPrEx>
        <w:tc>
          <w:tcPr>
            <w:tcW w:w="587" w:type="dxa"/>
            <w:shd w:val="clear" w:color="auto" w:fill="auto"/>
          </w:tcPr>
          <w:p w14:paraId="6D471CC5">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782" w:type="dxa"/>
            <w:shd w:val="clear" w:color="auto" w:fill="auto"/>
          </w:tcPr>
          <w:p w14:paraId="5C27961E">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5283" w:type="dxa"/>
            <w:shd w:val="clear" w:color="auto" w:fill="auto"/>
          </w:tcPr>
          <w:p w14:paraId="75B6F41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1620" w:type="dxa"/>
          </w:tcPr>
          <w:p w14:paraId="201D4281">
            <w:pPr>
              <w:spacing w:before="96" w:beforeLines="40" w:after="96" w:afterLines="40" w:line="24" w:lineRule="atLeast"/>
              <w:rPr>
                <w:rFonts w:hint="default" w:eastAsia="宋体"/>
                <w:sz w:val="18"/>
                <w:szCs w:val="18"/>
                <w:lang w:val="en-US" w:eastAsia="zh-CN"/>
              </w:rPr>
            </w:pPr>
            <w:r>
              <w:rPr>
                <w:rFonts w:hint="eastAsia" w:eastAsia="宋体"/>
                <w:sz w:val="18"/>
                <w:szCs w:val="18"/>
                <w:lang w:val="en-US" w:eastAsia="zh-CN"/>
              </w:rPr>
              <w:t>10</w:t>
            </w:r>
          </w:p>
        </w:tc>
        <w:tc>
          <w:tcPr>
            <w:tcW w:w="5218" w:type="dxa"/>
          </w:tcPr>
          <w:p w14:paraId="4AB66594">
            <w:pPr>
              <w:rPr>
                <w:rFonts w:eastAsia="Times New Roman"/>
                <w:sz w:val="18"/>
                <w:szCs w:val="18"/>
                <w:lang w:val="en-GB" w:eastAsia="en-GB"/>
              </w:rPr>
            </w:pPr>
            <w:r>
              <w:rPr>
                <w:rFonts w:hint="eastAsia" w:eastAsia="Times New Roman"/>
                <w:sz w:val="18"/>
                <w:szCs w:val="18"/>
                <w:lang w:val="en-GB" w:eastAsia="en-GB"/>
              </w:rPr>
              <w:t>o</w:t>
            </w:r>
            <w:r>
              <w:rPr>
                <w:rFonts w:eastAsia="Times New Roman"/>
                <w:sz w:val="18"/>
                <w:szCs w:val="18"/>
                <w:lang w:val="en-GB" w:eastAsia="en-GB"/>
              </w:rPr>
              <w:t xml:space="preserve">ur study also has certain limitations. Firstly, our data source primarily consisted of adults with European ancestry, which may compromise the generalizability and accuracy of the </w:t>
            </w:r>
            <w:r>
              <w:rPr>
                <w:rFonts w:hint="eastAsia" w:eastAsia="Times New Roman"/>
                <w:sz w:val="18"/>
                <w:szCs w:val="18"/>
                <w:lang w:val="en-GB" w:eastAsia="en-GB"/>
              </w:rPr>
              <w:t>research</w:t>
            </w:r>
            <w:r>
              <w:rPr>
                <w:rFonts w:eastAsia="Times New Roman"/>
                <w:sz w:val="18"/>
                <w:szCs w:val="18"/>
                <w:lang w:val="en-GB" w:eastAsia="en-GB"/>
              </w:rPr>
              <w:t>s. Therefore, it is necessary to validate these results in larger and more</w:t>
            </w:r>
            <w:r>
              <w:rPr>
                <w:rFonts w:hint="eastAsia" w:eastAsia="Times New Roman"/>
                <w:sz w:val="18"/>
                <w:szCs w:val="18"/>
                <w:lang w:val="en-GB" w:eastAsia="en-GB"/>
              </w:rPr>
              <w:t xml:space="preserve"> ethnically</w:t>
            </w:r>
            <w:r>
              <w:rPr>
                <w:rFonts w:eastAsia="Times New Roman"/>
                <w:sz w:val="18"/>
                <w:szCs w:val="18"/>
                <w:lang w:val="en-GB" w:eastAsia="en-GB"/>
              </w:rPr>
              <w:t xml:space="preserve"> diverse patient cohorts in the future. Secondly, although we rigorously screened 731 </w:t>
            </w:r>
            <w:r>
              <w:rPr>
                <w:rFonts w:hint="eastAsia" w:eastAsia="Times New Roman"/>
                <w:sz w:val="18"/>
                <w:szCs w:val="18"/>
                <w:lang w:val="en-GB" w:eastAsia="en-GB"/>
              </w:rPr>
              <w:t xml:space="preserve">immunophenotypes </w:t>
            </w:r>
            <w:r>
              <w:rPr>
                <w:rFonts w:eastAsia="Times New Roman"/>
                <w:sz w:val="18"/>
                <w:szCs w:val="18"/>
                <w:lang w:val="en-GB" w:eastAsia="en-GB"/>
              </w:rPr>
              <w:t xml:space="preserve">using robust methods, </w:t>
            </w:r>
            <w:r>
              <w:rPr>
                <w:rFonts w:hint="eastAsia" w:eastAsia="Times New Roman"/>
                <w:sz w:val="18"/>
                <w:szCs w:val="18"/>
                <w:lang w:val="en-GB" w:eastAsia="en-GB"/>
              </w:rPr>
              <w:t>certain</w:t>
            </w:r>
            <w:r>
              <w:rPr>
                <w:rFonts w:eastAsia="Times New Roman"/>
                <w:sz w:val="18"/>
                <w:szCs w:val="18"/>
                <w:lang w:val="en-GB" w:eastAsia="en-GB"/>
              </w:rPr>
              <w:t xml:space="preserve"> phenotypes </w:t>
            </w:r>
            <w:r>
              <w:rPr>
                <w:rFonts w:hint="eastAsia" w:eastAsia="Times New Roman"/>
                <w:sz w:val="18"/>
                <w:szCs w:val="18"/>
                <w:lang w:val="en-GB" w:eastAsia="en-GB"/>
              </w:rPr>
              <w:t xml:space="preserve">were unable to be </w:t>
            </w:r>
            <w:r>
              <w:rPr>
                <w:rFonts w:eastAsia="Times New Roman"/>
                <w:sz w:val="18"/>
                <w:szCs w:val="18"/>
                <w:lang w:val="en-GB" w:eastAsia="en-GB"/>
              </w:rPr>
              <w:t xml:space="preserve">analyzed due to </w:t>
            </w:r>
            <w:r>
              <w:rPr>
                <w:rFonts w:hint="eastAsia" w:eastAsia="Times New Roman"/>
                <w:sz w:val="18"/>
                <w:szCs w:val="18"/>
                <w:lang w:val="en-GB" w:eastAsia="en-GB"/>
              </w:rPr>
              <w:t xml:space="preserve">the limitations in the available </w:t>
            </w:r>
            <w:r>
              <w:rPr>
                <w:rFonts w:eastAsia="Times New Roman"/>
                <w:sz w:val="18"/>
                <w:szCs w:val="18"/>
                <w:lang w:val="en-GB" w:eastAsia="en-GB"/>
              </w:rPr>
              <w:t>data. Moreover, the selection criteria for IVs</w:t>
            </w:r>
            <w:r>
              <w:rPr>
                <w:rFonts w:hint="eastAsia" w:eastAsia="Times New Roman"/>
                <w:sz w:val="18"/>
                <w:szCs w:val="18"/>
                <w:lang w:val="en-GB" w:eastAsia="en-GB"/>
              </w:rPr>
              <w:t xml:space="preserve"> </w:t>
            </w:r>
            <w:r>
              <w:rPr>
                <w:rFonts w:eastAsia="Times New Roman"/>
                <w:sz w:val="18"/>
                <w:szCs w:val="18"/>
                <w:lang w:val="en-GB" w:eastAsia="en-GB"/>
              </w:rPr>
              <w:t xml:space="preserve">in our study were relatively permissive (p&lt;1×10-5), </w:t>
            </w:r>
            <w:r>
              <w:rPr>
                <w:rFonts w:hint="eastAsia" w:eastAsia="Times New Roman"/>
                <w:sz w:val="18"/>
                <w:szCs w:val="18"/>
                <w:lang w:val="en-GB" w:eastAsia="en-GB"/>
              </w:rPr>
              <w:t xml:space="preserve">potentially </w:t>
            </w:r>
            <w:r>
              <w:rPr>
                <w:rFonts w:eastAsia="Times New Roman"/>
                <w:sz w:val="18"/>
                <w:szCs w:val="18"/>
                <w:lang w:val="en-GB" w:eastAsia="en-GB"/>
              </w:rPr>
              <w:t>result</w:t>
            </w:r>
            <w:r>
              <w:rPr>
                <w:rFonts w:hint="eastAsia" w:eastAsia="Times New Roman"/>
                <w:sz w:val="18"/>
                <w:szCs w:val="18"/>
                <w:lang w:val="en-GB" w:eastAsia="en-GB"/>
              </w:rPr>
              <w:t>ing</w:t>
            </w:r>
            <w:r>
              <w:rPr>
                <w:rFonts w:eastAsia="Times New Roman"/>
                <w:sz w:val="18"/>
                <w:szCs w:val="18"/>
                <w:lang w:val="en-GB" w:eastAsia="en-GB"/>
              </w:rPr>
              <w:t xml:space="preserve"> in an </w:t>
            </w:r>
            <w:r>
              <w:rPr>
                <w:rFonts w:hint="eastAsia" w:eastAsia="Times New Roman"/>
                <w:sz w:val="18"/>
                <w:szCs w:val="18"/>
                <w:lang w:val="en-GB" w:eastAsia="en-GB"/>
              </w:rPr>
              <w:t>elevated</w:t>
            </w:r>
            <w:r>
              <w:rPr>
                <w:rFonts w:eastAsia="Times New Roman"/>
                <w:sz w:val="18"/>
                <w:szCs w:val="18"/>
                <w:lang w:val="en-GB" w:eastAsia="en-GB"/>
              </w:rPr>
              <w:t xml:space="preserve"> risk of false positives. However, it is worth noting that all IVs exhibited a robust F-statistic &gt;10, thereby mitigating potential biases arising from weak instrument bias.</w:t>
            </w:r>
            <w:r>
              <w:rPr>
                <w:rFonts w:hint="eastAsia" w:eastAsia="Times New Roman"/>
                <w:sz w:val="18"/>
                <w:szCs w:val="18"/>
                <w:lang w:val="en-GB" w:eastAsia="en-GB"/>
              </w:rPr>
              <w:t>Finally,t</w:t>
            </w:r>
            <w:r>
              <w:rPr>
                <w:rFonts w:eastAsia="Times New Roman"/>
                <w:sz w:val="18"/>
                <w:szCs w:val="18"/>
                <w:lang w:val="en-GB" w:eastAsia="en-GB"/>
              </w:rPr>
              <w:t xml:space="preserve">he causal </w:t>
            </w:r>
            <w:r>
              <w:rPr>
                <w:rFonts w:hint="eastAsia" w:eastAsia="Times New Roman"/>
                <w:sz w:val="18"/>
                <w:szCs w:val="18"/>
                <w:lang w:val="en-GB" w:eastAsia="en-GB"/>
              </w:rPr>
              <w:t>relationship</w:t>
            </w:r>
            <w:r>
              <w:rPr>
                <w:rFonts w:eastAsia="Times New Roman"/>
                <w:sz w:val="18"/>
                <w:szCs w:val="18"/>
                <w:lang w:val="en-GB" w:eastAsia="en-GB"/>
              </w:rPr>
              <w:t xml:space="preserve"> between immunophenotypes and </w:t>
            </w:r>
            <w:r>
              <w:rPr>
                <w:rFonts w:hint="eastAsia" w:eastAsia="Times New Roman"/>
                <w:sz w:val="18"/>
                <w:szCs w:val="18"/>
                <w:lang w:val="en-GB" w:eastAsia="en-GB"/>
              </w:rPr>
              <w:t>cirrhosis</w:t>
            </w:r>
            <w:r>
              <w:rPr>
                <w:rFonts w:eastAsia="Times New Roman"/>
                <w:sz w:val="18"/>
                <w:szCs w:val="18"/>
                <w:lang w:val="en-GB" w:eastAsia="en-GB"/>
              </w:rPr>
              <w:t xml:space="preserve"> was solely investigated, without delving into their underlying mechanisms.</w:t>
            </w:r>
          </w:p>
        </w:tc>
      </w:tr>
      <w:tr w14:paraId="71F8B8B5">
        <w:tblPrEx>
          <w:tblCellMar>
            <w:top w:w="0" w:type="dxa"/>
            <w:left w:w="108" w:type="dxa"/>
            <w:bottom w:w="0" w:type="dxa"/>
            <w:right w:w="108" w:type="dxa"/>
          </w:tblCellMar>
        </w:tblPrEx>
        <w:tc>
          <w:tcPr>
            <w:tcW w:w="587" w:type="dxa"/>
            <w:shd w:val="clear" w:color="auto" w:fill="EEEEEE"/>
          </w:tcPr>
          <w:p w14:paraId="02C1D590">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782" w:type="dxa"/>
            <w:shd w:val="clear" w:color="auto" w:fill="EEEEEE"/>
          </w:tcPr>
          <w:p w14:paraId="612AA484">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5283" w:type="dxa"/>
            <w:shd w:val="clear" w:color="auto" w:fill="EEEEEE"/>
          </w:tcPr>
          <w:p w14:paraId="3BF6466E">
            <w:pPr>
              <w:spacing w:before="96" w:beforeLines="40" w:after="96" w:afterLines="40" w:line="24" w:lineRule="atLeast"/>
              <w:rPr>
                <w:rFonts w:eastAsia="Cambria"/>
                <w:sz w:val="18"/>
                <w:szCs w:val="18"/>
                <w:lang w:val="en-GB" w:eastAsia="en-US"/>
              </w:rPr>
            </w:pPr>
          </w:p>
        </w:tc>
        <w:tc>
          <w:tcPr>
            <w:tcW w:w="1620" w:type="dxa"/>
            <w:shd w:val="clear" w:color="auto" w:fill="EEEEEE"/>
          </w:tcPr>
          <w:p w14:paraId="4B5179B2">
            <w:pPr>
              <w:spacing w:before="96" w:beforeLines="40" w:after="96" w:afterLines="40" w:line="24" w:lineRule="atLeast"/>
              <w:rPr>
                <w:rFonts w:hint="default" w:eastAsia="宋体"/>
                <w:sz w:val="18"/>
                <w:szCs w:val="18"/>
                <w:lang w:val="en-US" w:eastAsia="zh-CN"/>
              </w:rPr>
            </w:pPr>
          </w:p>
        </w:tc>
        <w:tc>
          <w:tcPr>
            <w:tcW w:w="5218" w:type="dxa"/>
            <w:shd w:val="clear" w:color="auto" w:fill="EEEEEE"/>
          </w:tcPr>
          <w:p w14:paraId="1C445080">
            <w:pPr>
              <w:spacing w:before="96" w:beforeLines="40" w:after="96" w:afterLines="40" w:line="24" w:lineRule="atLeast"/>
              <w:rPr>
                <w:rFonts w:eastAsia="Cambria"/>
                <w:sz w:val="18"/>
                <w:szCs w:val="18"/>
                <w:lang w:val="en-GB" w:eastAsia="en-US"/>
              </w:rPr>
            </w:pPr>
          </w:p>
        </w:tc>
      </w:tr>
      <w:tr w14:paraId="62E6D51A">
        <w:tblPrEx>
          <w:tblCellMar>
            <w:top w:w="0" w:type="dxa"/>
            <w:left w:w="108" w:type="dxa"/>
            <w:bottom w:w="0" w:type="dxa"/>
            <w:right w:w="108" w:type="dxa"/>
          </w:tblCellMar>
        </w:tblPrEx>
        <w:tc>
          <w:tcPr>
            <w:tcW w:w="587" w:type="dxa"/>
            <w:shd w:val="clear" w:color="auto" w:fill="auto"/>
          </w:tcPr>
          <w:p w14:paraId="6DD2F448">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50F26A2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5283" w:type="dxa"/>
            <w:shd w:val="clear" w:color="auto" w:fill="auto"/>
          </w:tcPr>
          <w:p w14:paraId="7EDF986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1620" w:type="dxa"/>
          </w:tcPr>
          <w:p w14:paraId="565CC165">
            <w:pPr>
              <w:spacing w:before="96" w:beforeLines="40" w:after="96" w:afterLines="40" w:line="24" w:lineRule="atLeast"/>
              <w:rPr>
                <w:rFonts w:eastAsia="Times New Roman"/>
                <w:sz w:val="18"/>
                <w:szCs w:val="18"/>
                <w:lang w:val="en-GB" w:eastAsia="en-GB"/>
              </w:rPr>
            </w:pPr>
          </w:p>
        </w:tc>
        <w:tc>
          <w:tcPr>
            <w:tcW w:w="5218" w:type="dxa"/>
          </w:tcPr>
          <w:p w14:paraId="5251245C">
            <w:pPr>
              <w:spacing w:before="96" w:beforeLines="40" w:after="96" w:afterLines="40" w:line="24" w:lineRule="atLeast"/>
              <w:rPr>
                <w:rFonts w:eastAsia="Times New Roman"/>
                <w:sz w:val="18"/>
                <w:szCs w:val="18"/>
                <w:lang w:val="en-GB" w:eastAsia="en-GB"/>
              </w:rPr>
            </w:pPr>
          </w:p>
        </w:tc>
      </w:tr>
      <w:tr w14:paraId="156B69E5">
        <w:tblPrEx>
          <w:tblCellMar>
            <w:top w:w="0" w:type="dxa"/>
            <w:left w:w="108" w:type="dxa"/>
            <w:bottom w:w="0" w:type="dxa"/>
            <w:right w:w="108" w:type="dxa"/>
          </w:tblCellMar>
        </w:tblPrEx>
        <w:tc>
          <w:tcPr>
            <w:tcW w:w="587" w:type="dxa"/>
            <w:shd w:val="clear" w:color="auto" w:fill="EEEEEE"/>
          </w:tcPr>
          <w:p w14:paraId="4C8A2215">
            <w:pPr>
              <w:spacing w:before="96" w:beforeLines="40" w:after="96" w:afterLines="40" w:line="24" w:lineRule="atLeast"/>
              <w:jc w:val="right"/>
              <w:rPr>
                <w:rFonts w:eastAsia="Cambria"/>
                <w:b/>
                <w:bCs/>
                <w:sz w:val="18"/>
                <w:szCs w:val="18"/>
                <w:lang w:val="en-GB" w:eastAsia="en-US"/>
              </w:rPr>
            </w:pPr>
          </w:p>
        </w:tc>
        <w:tc>
          <w:tcPr>
            <w:tcW w:w="1782" w:type="dxa"/>
            <w:shd w:val="clear" w:color="auto" w:fill="EEEEEE"/>
          </w:tcPr>
          <w:p w14:paraId="6A4A5F1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5283" w:type="dxa"/>
            <w:shd w:val="clear" w:color="auto" w:fill="EEEEEE"/>
          </w:tcPr>
          <w:p w14:paraId="422EB89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1620" w:type="dxa"/>
            <w:shd w:val="clear" w:color="auto" w:fill="EEEEEE"/>
          </w:tcPr>
          <w:p w14:paraId="2FA4AA4D">
            <w:pPr>
              <w:spacing w:before="96" w:beforeLines="40" w:after="96" w:afterLines="40" w:line="24" w:lineRule="atLeast"/>
              <w:rPr>
                <w:rFonts w:hint="default" w:eastAsia="宋体"/>
                <w:sz w:val="18"/>
                <w:szCs w:val="18"/>
                <w:lang w:val="en-US" w:eastAsia="zh-CN"/>
              </w:rPr>
            </w:pPr>
          </w:p>
        </w:tc>
        <w:tc>
          <w:tcPr>
            <w:tcW w:w="5218" w:type="dxa"/>
            <w:shd w:val="clear" w:color="auto" w:fill="EEEEEE"/>
          </w:tcPr>
          <w:p w14:paraId="3A91F000">
            <w:pPr>
              <w:spacing w:before="96" w:beforeLines="40" w:after="96" w:afterLines="40" w:line="24" w:lineRule="atLeast"/>
              <w:rPr>
                <w:rFonts w:hint="default" w:eastAsia="宋体"/>
                <w:sz w:val="18"/>
                <w:szCs w:val="18"/>
                <w:lang w:val="en-US" w:eastAsia="zh-CN"/>
              </w:rPr>
            </w:pPr>
          </w:p>
        </w:tc>
      </w:tr>
      <w:tr w14:paraId="203390A0">
        <w:tblPrEx>
          <w:tblCellMar>
            <w:top w:w="0" w:type="dxa"/>
            <w:left w:w="108" w:type="dxa"/>
            <w:bottom w:w="0" w:type="dxa"/>
            <w:right w:w="108" w:type="dxa"/>
          </w:tblCellMar>
        </w:tblPrEx>
        <w:tc>
          <w:tcPr>
            <w:tcW w:w="587" w:type="dxa"/>
            <w:shd w:val="clear" w:color="auto" w:fill="auto"/>
          </w:tcPr>
          <w:p w14:paraId="54CA3A27">
            <w:pPr>
              <w:spacing w:before="96" w:beforeLines="40" w:after="96" w:afterLines="40" w:line="24" w:lineRule="atLeast"/>
              <w:jc w:val="right"/>
              <w:rPr>
                <w:rFonts w:eastAsia="Cambria"/>
                <w:b/>
                <w:bCs/>
                <w:sz w:val="18"/>
                <w:szCs w:val="18"/>
                <w:lang w:val="en-GB" w:eastAsia="en-US"/>
              </w:rPr>
            </w:pPr>
          </w:p>
        </w:tc>
        <w:tc>
          <w:tcPr>
            <w:tcW w:w="1782" w:type="dxa"/>
            <w:shd w:val="clear" w:color="auto" w:fill="auto"/>
          </w:tcPr>
          <w:p w14:paraId="6D25BA5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5283" w:type="dxa"/>
            <w:shd w:val="clear" w:color="auto" w:fill="auto"/>
          </w:tcPr>
          <w:p w14:paraId="5B6A8315">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1620" w:type="dxa"/>
          </w:tcPr>
          <w:p w14:paraId="32FCF028">
            <w:pPr>
              <w:tabs>
                <w:tab w:val="left" w:pos="1350"/>
              </w:tabs>
              <w:spacing w:before="96" w:beforeLines="40" w:after="96" w:afterLines="40" w:line="24" w:lineRule="atLeast"/>
              <w:rPr>
                <w:rFonts w:hint="default" w:eastAsia="宋体"/>
                <w:sz w:val="18"/>
                <w:szCs w:val="18"/>
                <w:lang w:val="en-US" w:eastAsia="zh-CN"/>
              </w:rPr>
            </w:pPr>
          </w:p>
        </w:tc>
        <w:tc>
          <w:tcPr>
            <w:tcW w:w="5218" w:type="dxa"/>
          </w:tcPr>
          <w:p w14:paraId="78058AE6">
            <w:pPr>
              <w:tabs>
                <w:tab w:val="left" w:pos="1350"/>
              </w:tabs>
              <w:spacing w:before="96" w:beforeLines="40" w:after="96" w:afterLines="40" w:line="24" w:lineRule="atLeast"/>
              <w:rPr>
                <w:rFonts w:eastAsia="Times New Roman"/>
                <w:sz w:val="18"/>
                <w:szCs w:val="18"/>
                <w:lang w:val="en-GB" w:eastAsia="en-GB"/>
              </w:rPr>
            </w:pPr>
          </w:p>
        </w:tc>
      </w:tr>
      <w:tr w14:paraId="71FDAFC1">
        <w:tblPrEx>
          <w:tblCellMar>
            <w:top w:w="0" w:type="dxa"/>
            <w:left w:w="108" w:type="dxa"/>
            <w:bottom w:w="0" w:type="dxa"/>
            <w:right w:w="108" w:type="dxa"/>
          </w:tblCellMar>
        </w:tblPrEx>
        <w:tc>
          <w:tcPr>
            <w:tcW w:w="587" w:type="dxa"/>
            <w:tcBorders>
              <w:bottom w:val="single" w:color="7F7F7F" w:sz="6" w:space="0"/>
            </w:tcBorders>
            <w:shd w:val="clear" w:color="auto" w:fill="EEEEEE"/>
          </w:tcPr>
          <w:p w14:paraId="7540155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782" w:type="dxa"/>
            <w:tcBorders>
              <w:bottom w:val="single" w:color="7F7F7F" w:sz="6" w:space="0"/>
            </w:tcBorders>
            <w:shd w:val="clear" w:color="auto" w:fill="EEEEEE"/>
          </w:tcPr>
          <w:p w14:paraId="3680059F">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5283" w:type="dxa"/>
            <w:tcBorders>
              <w:bottom w:val="single" w:color="7F7F7F" w:sz="6" w:space="0"/>
            </w:tcBorders>
            <w:shd w:val="clear" w:color="auto" w:fill="EEEEEE"/>
          </w:tcPr>
          <w:p w14:paraId="68647C3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1620" w:type="dxa"/>
            <w:tcBorders>
              <w:bottom w:val="single" w:color="7F7F7F" w:sz="6" w:space="0"/>
            </w:tcBorders>
            <w:shd w:val="clear" w:color="auto" w:fill="EEEEEE"/>
          </w:tcPr>
          <w:p w14:paraId="3ACD3D08">
            <w:pPr>
              <w:spacing w:before="96" w:beforeLines="40" w:after="96" w:afterLines="40" w:line="24" w:lineRule="atLeast"/>
              <w:rPr>
                <w:rFonts w:eastAsia="Times New Roman"/>
                <w:sz w:val="18"/>
                <w:szCs w:val="18"/>
                <w:lang w:val="en-GB" w:eastAsia="en-GB"/>
              </w:rPr>
            </w:pPr>
          </w:p>
        </w:tc>
        <w:tc>
          <w:tcPr>
            <w:tcW w:w="5218" w:type="dxa"/>
            <w:tcBorders>
              <w:bottom w:val="single" w:color="7F7F7F" w:sz="6" w:space="0"/>
            </w:tcBorders>
            <w:shd w:val="clear" w:color="auto" w:fill="EEEEEE"/>
          </w:tcPr>
          <w:p w14:paraId="41ABF5A9">
            <w:pPr>
              <w:spacing w:before="96" w:beforeLines="40" w:after="96" w:afterLines="40" w:line="24" w:lineRule="atLeast"/>
              <w:rPr>
                <w:rFonts w:eastAsia="Times New Roman"/>
                <w:sz w:val="18"/>
                <w:szCs w:val="18"/>
                <w:lang w:val="en-GB" w:eastAsia="en-GB"/>
              </w:rPr>
            </w:pPr>
          </w:p>
        </w:tc>
      </w:tr>
      <w:tr w14:paraId="57884E75">
        <w:tblPrEx>
          <w:tblCellMar>
            <w:top w:w="0" w:type="dxa"/>
            <w:left w:w="108" w:type="dxa"/>
            <w:bottom w:w="0" w:type="dxa"/>
            <w:right w:w="108" w:type="dxa"/>
          </w:tblCellMar>
        </w:tblPrEx>
        <w:tc>
          <w:tcPr>
            <w:tcW w:w="587" w:type="dxa"/>
            <w:tcBorders>
              <w:top w:val="single" w:color="7F7F7F" w:sz="6" w:space="0"/>
            </w:tcBorders>
            <w:shd w:val="clear" w:color="auto" w:fill="auto"/>
          </w:tcPr>
          <w:p w14:paraId="2C4C694A">
            <w:pPr>
              <w:spacing w:before="96" w:beforeLines="40" w:after="96" w:afterLines="40" w:line="24" w:lineRule="atLeast"/>
              <w:rPr>
                <w:rFonts w:eastAsia="Times New Roman"/>
                <w:b/>
                <w:bCs/>
                <w:sz w:val="18"/>
                <w:szCs w:val="18"/>
                <w:lang w:val="en-GB" w:eastAsia="en-GB"/>
              </w:rPr>
            </w:pPr>
          </w:p>
        </w:tc>
        <w:tc>
          <w:tcPr>
            <w:tcW w:w="1782" w:type="dxa"/>
            <w:tcBorders>
              <w:top w:val="single" w:color="7F7F7F" w:sz="6" w:space="0"/>
            </w:tcBorders>
            <w:shd w:val="clear" w:color="auto" w:fill="auto"/>
          </w:tcPr>
          <w:p w14:paraId="0A6FFE3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5283" w:type="dxa"/>
            <w:tcBorders>
              <w:top w:val="single" w:color="7F7F7F" w:sz="6" w:space="0"/>
            </w:tcBorders>
            <w:shd w:val="clear" w:color="auto" w:fill="auto"/>
          </w:tcPr>
          <w:p w14:paraId="0577947E">
            <w:pPr>
              <w:spacing w:before="96" w:beforeLines="40" w:after="96" w:afterLines="40" w:line="24" w:lineRule="atLeast"/>
              <w:rPr>
                <w:rFonts w:eastAsia="Cambria"/>
                <w:sz w:val="18"/>
                <w:szCs w:val="18"/>
                <w:lang w:val="en-GB" w:eastAsia="en-US"/>
              </w:rPr>
            </w:pPr>
          </w:p>
        </w:tc>
        <w:tc>
          <w:tcPr>
            <w:tcW w:w="1620" w:type="dxa"/>
            <w:tcBorders>
              <w:top w:val="single" w:color="7F7F7F" w:sz="6" w:space="0"/>
            </w:tcBorders>
          </w:tcPr>
          <w:p w14:paraId="7561574C">
            <w:pPr>
              <w:spacing w:before="96" w:beforeLines="40" w:after="96" w:afterLines="40" w:line="24" w:lineRule="atLeast"/>
              <w:rPr>
                <w:rFonts w:eastAsia="Cambria"/>
                <w:sz w:val="18"/>
                <w:szCs w:val="18"/>
                <w:lang w:val="en-GB" w:eastAsia="en-US"/>
              </w:rPr>
            </w:pPr>
          </w:p>
        </w:tc>
        <w:tc>
          <w:tcPr>
            <w:tcW w:w="5218" w:type="dxa"/>
            <w:tcBorders>
              <w:top w:val="single" w:color="7F7F7F" w:sz="6" w:space="0"/>
            </w:tcBorders>
          </w:tcPr>
          <w:p w14:paraId="3718ED5B">
            <w:pPr>
              <w:spacing w:before="96" w:beforeLines="40" w:after="96" w:afterLines="40" w:line="24" w:lineRule="atLeast"/>
              <w:rPr>
                <w:rFonts w:eastAsia="Cambria"/>
                <w:sz w:val="18"/>
                <w:szCs w:val="18"/>
                <w:lang w:val="en-GB" w:eastAsia="en-US"/>
              </w:rPr>
            </w:pPr>
          </w:p>
        </w:tc>
      </w:tr>
      <w:tr w14:paraId="0014C6D1">
        <w:tblPrEx>
          <w:tblCellMar>
            <w:top w:w="0" w:type="dxa"/>
            <w:left w:w="108" w:type="dxa"/>
            <w:bottom w:w="0" w:type="dxa"/>
            <w:right w:w="108" w:type="dxa"/>
          </w:tblCellMar>
        </w:tblPrEx>
        <w:tc>
          <w:tcPr>
            <w:tcW w:w="587" w:type="dxa"/>
            <w:shd w:val="clear" w:color="auto" w:fill="EEEEEE"/>
          </w:tcPr>
          <w:p w14:paraId="2336D08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782" w:type="dxa"/>
            <w:shd w:val="clear" w:color="auto" w:fill="EEEEEE"/>
          </w:tcPr>
          <w:p w14:paraId="08EB4FD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5283" w:type="dxa"/>
            <w:shd w:val="clear" w:color="auto" w:fill="EEEEEE"/>
          </w:tcPr>
          <w:p w14:paraId="4663DCA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1620" w:type="dxa"/>
            <w:shd w:val="clear" w:color="auto" w:fill="EEEEEE"/>
          </w:tcPr>
          <w:p w14:paraId="33E2D855">
            <w:pPr>
              <w:spacing w:before="96" w:beforeLines="40" w:after="96" w:afterLines="40" w:line="24" w:lineRule="atLeast"/>
              <w:rPr>
                <w:rFonts w:hint="default" w:eastAsia="宋体"/>
                <w:sz w:val="18"/>
                <w:szCs w:val="18"/>
                <w:lang w:val="en-US" w:eastAsia="zh-CN"/>
              </w:rPr>
            </w:pPr>
          </w:p>
        </w:tc>
        <w:tc>
          <w:tcPr>
            <w:tcW w:w="5218" w:type="dxa"/>
            <w:shd w:val="clear" w:color="auto" w:fill="EEEEEE"/>
          </w:tcPr>
          <w:p w14:paraId="3C603878">
            <w:pPr>
              <w:spacing w:before="96" w:beforeLines="40" w:after="96" w:afterLines="40" w:line="24" w:lineRule="atLeast"/>
              <w:rPr>
                <w:rFonts w:eastAsia="Times New Roman"/>
                <w:sz w:val="18"/>
                <w:szCs w:val="18"/>
                <w:lang w:val="en-GB" w:eastAsia="en-GB"/>
              </w:rPr>
            </w:pPr>
          </w:p>
        </w:tc>
      </w:tr>
      <w:tr w14:paraId="1B22CB41">
        <w:tblPrEx>
          <w:tblCellMar>
            <w:top w:w="0" w:type="dxa"/>
            <w:left w:w="108" w:type="dxa"/>
            <w:bottom w:w="0" w:type="dxa"/>
            <w:right w:w="108" w:type="dxa"/>
          </w:tblCellMar>
        </w:tblPrEx>
        <w:tc>
          <w:tcPr>
            <w:tcW w:w="587" w:type="dxa"/>
            <w:shd w:val="clear" w:color="auto" w:fill="auto"/>
          </w:tcPr>
          <w:p w14:paraId="381BF2B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782" w:type="dxa"/>
            <w:shd w:val="clear" w:color="auto" w:fill="auto"/>
          </w:tcPr>
          <w:p w14:paraId="233BA942">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5283" w:type="dxa"/>
            <w:shd w:val="clear" w:color="auto" w:fill="auto"/>
          </w:tcPr>
          <w:p w14:paraId="42D9085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1620" w:type="dxa"/>
          </w:tcPr>
          <w:p w14:paraId="5725EE6D">
            <w:pPr>
              <w:spacing w:before="96" w:beforeLines="40" w:after="96" w:afterLines="40" w:line="24" w:lineRule="atLeast"/>
              <w:rPr>
                <w:rFonts w:hint="default" w:eastAsia="宋体"/>
                <w:sz w:val="18"/>
                <w:szCs w:val="18"/>
                <w:lang w:val="en-US" w:eastAsia="zh-CN"/>
              </w:rPr>
            </w:pPr>
          </w:p>
        </w:tc>
        <w:tc>
          <w:tcPr>
            <w:tcW w:w="5218" w:type="dxa"/>
          </w:tcPr>
          <w:p w14:paraId="38DE3AA7">
            <w:pPr>
              <w:spacing w:before="96" w:beforeLines="40" w:after="96" w:afterLines="40" w:line="24" w:lineRule="atLeast"/>
              <w:rPr>
                <w:rFonts w:eastAsia="Times New Roman"/>
                <w:sz w:val="18"/>
                <w:szCs w:val="18"/>
                <w:lang w:val="en-GB" w:eastAsia="en-GB"/>
              </w:rPr>
            </w:pPr>
          </w:p>
        </w:tc>
      </w:tr>
      <w:tr w14:paraId="1BFE6A86">
        <w:tblPrEx>
          <w:tblCellMar>
            <w:top w:w="0" w:type="dxa"/>
            <w:left w:w="108" w:type="dxa"/>
            <w:bottom w:w="0" w:type="dxa"/>
            <w:right w:w="108" w:type="dxa"/>
          </w:tblCellMar>
        </w:tblPrEx>
        <w:tc>
          <w:tcPr>
            <w:tcW w:w="587" w:type="dxa"/>
            <w:tcBorders>
              <w:bottom w:val="single" w:color="7F7F7F" w:sz="6" w:space="0"/>
            </w:tcBorders>
            <w:shd w:val="clear" w:color="auto" w:fill="EEEEEE"/>
          </w:tcPr>
          <w:p w14:paraId="20DC2C9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782" w:type="dxa"/>
            <w:tcBorders>
              <w:bottom w:val="single" w:color="7F7F7F" w:sz="6" w:space="0"/>
            </w:tcBorders>
            <w:shd w:val="clear" w:color="auto" w:fill="EEEEEE"/>
          </w:tcPr>
          <w:p w14:paraId="39A69A1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5283" w:type="dxa"/>
            <w:tcBorders>
              <w:bottom w:val="single" w:color="7F7F7F" w:sz="6" w:space="0"/>
            </w:tcBorders>
            <w:shd w:val="clear" w:color="auto" w:fill="EEEEEE"/>
          </w:tcPr>
          <w:p w14:paraId="4772D91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1620" w:type="dxa"/>
            <w:tcBorders>
              <w:bottom w:val="single" w:color="7F7F7F" w:sz="6" w:space="0"/>
            </w:tcBorders>
            <w:shd w:val="clear" w:color="auto" w:fill="EEEEEE"/>
          </w:tcPr>
          <w:p w14:paraId="1B63BC8B">
            <w:pPr>
              <w:spacing w:before="96" w:beforeLines="40" w:after="96" w:afterLines="40" w:line="24" w:lineRule="atLeast"/>
              <w:rPr>
                <w:rFonts w:hint="default" w:eastAsia="宋体"/>
                <w:sz w:val="18"/>
                <w:szCs w:val="18"/>
                <w:lang w:val="en-US" w:eastAsia="zh-CN"/>
              </w:rPr>
            </w:pPr>
          </w:p>
        </w:tc>
        <w:tc>
          <w:tcPr>
            <w:tcW w:w="5218" w:type="dxa"/>
            <w:tcBorders>
              <w:bottom w:val="single" w:color="7F7F7F" w:sz="6" w:space="0"/>
            </w:tcBorders>
            <w:shd w:val="clear" w:color="auto" w:fill="EEEEEE"/>
          </w:tcPr>
          <w:p w14:paraId="57BF870B">
            <w:pPr>
              <w:spacing w:before="96" w:beforeLines="40" w:after="96" w:afterLines="40" w:line="24" w:lineRule="atLeast"/>
              <w:rPr>
                <w:rFonts w:hint="eastAsia" w:eastAsia="Times New Roman"/>
                <w:sz w:val="18"/>
                <w:szCs w:val="18"/>
                <w:lang w:val="en-GB" w:eastAsia="en-GB"/>
              </w:rPr>
            </w:pPr>
            <w:r>
              <w:rPr>
                <w:rFonts w:eastAsia="Times New Roman"/>
                <w:sz w:val="18"/>
                <w:szCs w:val="18"/>
                <w:lang w:val="en-GB" w:eastAsia="en-GB"/>
              </w:rPr>
              <w:t>The authors declare that the research was conducted in the absence of any commercial or financial relationships that could be construed as a potential conflict of interest</w:t>
            </w:r>
            <w:r>
              <w:rPr>
                <w:rFonts w:hint="eastAsia" w:eastAsia="Times New Roman"/>
                <w:sz w:val="18"/>
                <w:szCs w:val="18"/>
                <w:lang w:val="en-GB" w:eastAsia="en-GB"/>
              </w:rPr>
              <w:t>.</w:t>
            </w:r>
          </w:p>
          <w:p w14:paraId="55C2DF88">
            <w:pPr>
              <w:spacing w:before="96" w:beforeLines="40" w:after="96" w:afterLines="40" w:line="24" w:lineRule="atLeast"/>
              <w:rPr>
                <w:rFonts w:eastAsia="Times New Roman"/>
                <w:sz w:val="18"/>
                <w:szCs w:val="18"/>
                <w:lang w:val="en-GB" w:eastAsia="en-GB"/>
              </w:rPr>
            </w:pPr>
            <w:bookmarkStart w:id="24" w:name="_GoBack"/>
            <w:bookmarkEnd w:id="24"/>
          </w:p>
        </w:tc>
      </w:tr>
    </w:tbl>
    <w:p w14:paraId="386115B2">
      <w:pPr>
        <w:spacing w:before="240" w:after="240"/>
        <w:rPr>
          <w:sz w:val="19"/>
          <w:szCs w:val="19"/>
        </w:rPr>
      </w:pPr>
      <w:r>
        <w:rPr>
          <w:sz w:val="19"/>
          <w:szCs w:val="19"/>
        </w:rPr>
        <w:t>This checklist is copyrighted by the Equator Network under the Creative Commons Attribution 3.0 Unported (CC BY 3.0) license.</w:t>
      </w:r>
    </w:p>
    <w:p w14:paraId="5DDF8A06">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63BF03A9">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B5E">
    <w:pPr>
      <w:pStyle w:val="2"/>
      <w:jc w:val="right"/>
    </w:pPr>
    <w:r>
      <w:fldChar w:fldCharType="begin"/>
    </w:r>
    <w:r>
      <w:instrText xml:space="preserve"> PAGE   \* MERGEFORMAT </w:instrText>
    </w:r>
    <w:r>
      <w:fldChar w:fldCharType="separate"/>
    </w:r>
    <w:r>
      <w:t>1</w:t>
    </w:r>
    <w:r>
      <w:fldChar w:fldCharType="end"/>
    </w:r>
  </w:p>
  <w:p w14:paraId="41D8967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A166">
    <w:pPr>
      <w:pStyle w:val="2"/>
      <w:framePr w:wrap="auto" w:vAnchor="text" w:hAnchor="margin" w:xAlign="right" w:y="1"/>
      <w:rPr>
        <w:rStyle w:val="5"/>
      </w:rPr>
    </w:pPr>
  </w:p>
  <w:p w14:paraId="40A0897E">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gzNDgwYjYzMWQyNjIxNGRmM2NmMWMwMjAyNDAxNGUifQ=="/>
  </w:docVars>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 w:val="2693344F"/>
    <w:rsid w:val="52A41626"/>
    <w:rsid w:val="77767D30"/>
    <w:rsid w:val="77CD60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Arial" w:cs="Arial"/>
      <w:sz w:val="22"/>
      <w:szCs w:val="22"/>
      <w:lang w:val="en" w:eastAsia="de-CH"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line="240" w:lineRule="auto"/>
    </w:pPr>
  </w:style>
  <w:style w:type="character" w:styleId="5">
    <w:name w:val="page number"/>
    <w:basedOn w:val="4"/>
    <w:semiHidden/>
    <w:unhideWhenUsed/>
    <w:qFormat/>
    <w:uiPriority w:val="99"/>
  </w:style>
  <w:style w:type="character" w:styleId="6">
    <w:name w:val="line number"/>
    <w:basedOn w:val="4"/>
    <w:semiHidden/>
    <w:unhideWhenUsed/>
    <w:qFormat/>
    <w:uiPriority w:val="99"/>
  </w:style>
  <w:style w:type="character" w:customStyle="1" w:styleId="7">
    <w:name w:val="Footer Char"/>
    <w:basedOn w:val="4"/>
    <w:link w:val="2"/>
    <w:qFormat/>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B0931C-FCE2-4CC4-80DE-15614B41F1F9}">
  <ds:schemaRefs/>
</ds:datastoreItem>
</file>

<file path=customXml/itemProps2.xml><?xml version="1.0" encoding="utf-8"?>
<ds:datastoreItem xmlns:ds="http://schemas.openxmlformats.org/officeDocument/2006/customXml" ds:itemID="{B7DA32DB-E5B8-4E32-AD11-08F2E668867B}">
  <ds:schemaRefs/>
</ds:datastoreItem>
</file>

<file path=customXml/itemProps3.xml><?xml version="1.0" encoding="utf-8"?>
<ds:datastoreItem xmlns:ds="http://schemas.openxmlformats.org/officeDocument/2006/customXml" ds:itemID="{A9898B61-61B7-44F1-9388-8B27875B1EDA}">
  <ds:schemaRefs/>
</ds:datastoreItem>
</file>

<file path=customXml/itemProps4.xml><?xml version="1.0" encoding="utf-8"?>
<ds:datastoreItem xmlns:ds="http://schemas.openxmlformats.org/officeDocument/2006/customXml" ds:itemID="{5DF20111-77FD-4F18-8E31-D737874646AB}">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Bern</Company>
  <Pages>9</Pages>
  <Words>2958</Words>
  <Characters>17306</Characters>
  <Lines>286</Lines>
  <Paragraphs>146</Paragraphs>
  <TotalTime>0</TotalTime>
  <ScaleCrop>false</ScaleCrop>
  <LinksUpToDate>false</LinksUpToDate>
  <CharactersWithSpaces>20111</CharactersWithSpaces>
  <Application>WPS Office_12.1.0.18166_F1E327BC-269C-435d-A152-05C5408002CA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Administrator</cp:lastModifiedBy>
  <cp:lastPrinted>2021-09-28T07:08:00Z</cp:lastPrinted>
  <dcterms:modified xsi:type="dcterms:W3CDTF">2024-09-12T14:32:51Z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2052-12.1.0.18166</vt:lpwstr>
  </property>
  <property fmtid="{D5CDD505-2E9C-101B-9397-08002B2CF9AE}" pid="27" name="ICV">
    <vt:lpwstr>C607B7F3C11C462B9FC09B384115FE46_13</vt:lpwstr>
  </property>
</Properties>
</file>