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4708B" w14:textId="77777777" w:rsidR="000E62CF" w:rsidRDefault="000E62CF" w:rsidP="000E62CF">
      <w:pPr>
        <w:pStyle w:val="BBAuthorName"/>
        <w:spacing w:after="0" w:line="240" w:lineRule="auto"/>
        <w:rPr>
          <w:i w:val="0"/>
          <w:sz w:val="44"/>
        </w:rPr>
      </w:pPr>
      <w:bookmarkStart w:id="0" w:name="_Toc129181114"/>
      <w:bookmarkStart w:id="1" w:name="_Toc132104842"/>
      <w:r>
        <w:rPr>
          <w:i w:val="0"/>
          <w:sz w:val="44"/>
          <w:highlight w:val="yellow"/>
        </w:rPr>
        <w:t>Physiochemical characterization and biological evaluation of amorphous solid dispersions of erlotinib HCl</w:t>
      </w:r>
      <w:r w:rsidRPr="00C63C71">
        <w:rPr>
          <w:i w:val="0"/>
          <w:sz w:val="44"/>
          <w:highlight w:val="yellow"/>
        </w:rPr>
        <w:t xml:space="preserve">; </w:t>
      </w:r>
      <w:r>
        <w:rPr>
          <w:i w:val="0"/>
          <w:sz w:val="44"/>
          <w:highlight w:val="yellow"/>
        </w:rPr>
        <w:t>b</w:t>
      </w:r>
      <w:r w:rsidRPr="00C63C71">
        <w:rPr>
          <w:i w:val="0"/>
          <w:sz w:val="44"/>
          <w:highlight w:val="yellow"/>
        </w:rPr>
        <w:t xml:space="preserve">etter </w:t>
      </w:r>
      <w:r>
        <w:rPr>
          <w:i w:val="0"/>
          <w:sz w:val="44"/>
          <w:highlight w:val="yellow"/>
        </w:rPr>
        <w:t>chemotherapeutic</w:t>
      </w:r>
      <w:r w:rsidRPr="00C63C71">
        <w:rPr>
          <w:i w:val="0"/>
          <w:sz w:val="44"/>
          <w:highlight w:val="yellow"/>
        </w:rPr>
        <w:t xml:space="preserve"> </w:t>
      </w:r>
      <w:r>
        <w:rPr>
          <w:i w:val="0"/>
          <w:sz w:val="44"/>
          <w:highlight w:val="yellow"/>
        </w:rPr>
        <w:t>e</w:t>
      </w:r>
      <w:r w:rsidRPr="00C63C71">
        <w:rPr>
          <w:i w:val="0"/>
          <w:sz w:val="44"/>
          <w:highlight w:val="yellow"/>
        </w:rPr>
        <w:t>fficacy</w:t>
      </w:r>
    </w:p>
    <w:p w14:paraId="533E490E" w14:textId="1432B1E6" w:rsidR="000E62CF" w:rsidRPr="00062108" w:rsidRDefault="000E62CF" w:rsidP="000E62CF">
      <w:pPr>
        <w:pStyle w:val="BBAuthorName"/>
        <w:spacing w:after="0" w:line="240" w:lineRule="auto"/>
      </w:pPr>
      <w:r w:rsidRPr="00062108">
        <w:t>K</w:t>
      </w:r>
      <w:r w:rsidR="00E96516">
        <w:t>.</w:t>
      </w:r>
      <w:r w:rsidRPr="00062108">
        <w:t>P</w:t>
      </w:r>
      <w:r w:rsidR="00E96516">
        <w:t>.</w:t>
      </w:r>
      <w:r w:rsidRPr="00062108">
        <w:t xml:space="preserve"> Safna </w:t>
      </w:r>
      <w:r w:rsidRPr="00062108">
        <w:rPr>
          <w:noProof/>
        </w:rPr>
        <w:t>Hussan</w:t>
      </w:r>
      <w:r>
        <w:rPr>
          <w:vertAlign w:val="superscript"/>
        </w:rPr>
        <w:t xml:space="preserve"> 1,</w:t>
      </w:r>
      <w:r w:rsidRPr="00062108">
        <w:rPr>
          <w:vertAlign w:val="superscript"/>
        </w:rPr>
        <w:t>2</w:t>
      </w:r>
      <w:r>
        <w:rPr>
          <w:vertAlign w:val="superscript"/>
        </w:rPr>
        <w:t>,3</w:t>
      </w:r>
      <w:r w:rsidRPr="00062108">
        <w:rPr>
          <w:vertAlign w:val="superscript"/>
        </w:rPr>
        <w:t>*</w:t>
      </w:r>
      <w:r w:rsidRPr="00062108">
        <w:t xml:space="preserve">, </w:t>
      </w:r>
      <w:proofErr w:type="spellStart"/>
      <w:r w:rsidRPr="00062108">
        <w:t>Thekkekara</w:t>
      </w:r>
      <w:proofErr w:type="spellEnd"/>
      <w:r w:rsidRPr="00062108">
        <w:t xml:space="preserve"> D Babu</w:t>
      </w:r>
      <w:r w:rsidRPr="00062108">
        <w:rPr>
          <w:vertAlign w:val="superscript"/>
        </w:rPr>
        <w:t>1</w:t>
      </w:r>
      <w:r w:rsidRPr="00062108">
        <w:t>, M. Shahin Thayyil</w:t>
      </w:r>
      <w:r>
        <w:rPr>
          <w:vertAlign w:val="superscript"/>
        </w:rPr>
        <w:t>4</w:t>
      </w:r>
      <w:r w:rsidRPr="00062108">
        <w:t xml:space="preserve">, </w:t>
      </w:r>
      <w:r w:rsidR="00E96516">
        <w:t xml:space="preserve">T.S. </w:t>
      </w:r>
      <w:r w:rsidRPr="00062108">
        <w:t>Sreeshma</w:t>
      </w:r>
      <w:r>
        <w:rPr>
          <w:vertAlign w:val="superscript"/>
        </w:rPr>
        <w:t>5</w:t>
      </w:r>
      <w:r w:rsidRPr="00062108">
        <w:t xml:space="preserve">, </w:t>
      </w:r>
      <w:r w:rsidR="00E96516">
        <w:t xml:space="preserve">A. </w:t>
      </w:r>
      <w:r w:rsidRPr="00062108">
        <w:t>Archana</w:t>
      </w:r>
      <w:r w:rsidRPr="00062108">
        <w:rPr>
          <w:vertAlign w:val="superscript"/>
        </w:rPr>
        <w:t>1</w:t>
      </w:r>
    </w:p>
    <w:p w14:paraId="17857FA5" w14:textId="77777777" w:rsidR="000E62CF" w:rsidRPr="009A1A06" w:rsidRDefault="000E62CF" w:rsidP="000E62CF">
      <w:pPr>
        <w:pStyle w:val="BCAuthorAddress"/>
        <w:spacing w:after="0" w:line="240" w:lineRule="auto"/>
        <w:rPr>
          <w:sz w:val="22"/>
          <w:szCs w:val="22"/>
        </w:rPr>
      </w:pPr>
      <w:r w:rsidRPr="009A1A06">
        <w:rPr>
          <w:sz w:val="22"/>
          <w:szCs w:val="22"/>
          <w:vertAlign w:val="superscript"/>
        </w:rPr>
        <w:t>1</w:t>
      </w:r>
      <w:r w:rsidRPr="009A1A06">
        <w:rPr>
          <w:sz w:val="22"/>
          <w:szCs w:val="22"/>
        </w:rPr>
        <w:t>Amala Cancer Research Centre, Amalanagar P O, Thrissur 680 555 Kerala, India.</w:t>
      </w:r>
    </w:p>
    <w:p w14:paraId="777EA372" w14:textId="77777777" w:rsidR="000E62CF" w:rsidRPr="009A1A06" w:rsidRDefault="000E62CF" w:rsidP="000E62CF">
      <w:pPr>
        <w:pStyle w:val="BIEmailAddress"/>
        <w:spacing w:after="0" w:line="240" w:lineRule="auto"/>
        <w:rPr>
          <w:sz w:val="22"/>
          <w:szCs w:val="22"/>
        </w:rPr>
      </w:pPr>
      <w:r w:rsidRPr="009A1A06">
        <w:rPr>
          <w:sz w:val="22"/>
          <w:szCs w:val="22"/>
          <w:vertAlign w:val="superscript"/>
        </w:rPr>
        <w:t>2</w:t>
      </w:r>
      <w:r w:rsidRPr="009A1A06">
        <w:rPr>
          <w:sz w:val="22"/>
          <w:szCs w:val="22"/>
        </w:rPr>
        <w:t>Micro/Nano Technology Center, Tokai University, Hiratsuka-</w:t>
      </w:r>
      <w:proofErr w:type="spellStart"/>
      <w:r w:rsidRPr="009A1A06">
        <w:rPr>
          <w:sz w:val="22"/>
          <w:szCs w:val="22"/>
        </w:rPr>
        <w:t>shi</w:t>
      </w:r>
      <w:proofErr w:type="spellEnd"/>
      <w:r w:rsidRPr="009A1A06">
        <w:rPr>
          <w:sz w:val="22"/>
          <w:szCs w:val="22"/>
        </w:rPr>
        <w:t xml:space="preserve">, Kanagawa 259-1292, Japan </w:t>
      </w:r>
    </w:p>
    <w:p w14:paraId="505149B2" w14:textId="77777777" w:rsidR="000E62CF" w:rsidRPr="009A1A06" w:rsidRDefault="000E62CF" w:rsidP="000E62CF">
      <w:pPr>
        <w:pStyle w:val="AIReceivedDate"/>
        <w:spacing w:after="0" w:line="240" w:lineRule="auto"/>
        <w:rPr>
          <w:b w:val="0"/>
          <w:bCs/>
          <w:sz w:val="22"/>
          <w:szCs w:val="22"/>
        </w:rPr>
      </w:pPr>
      <w:r w:rsidRPr="009A1A06">
        <w:rPr>
          <w:b w:val="0"/>
          <w:bCs/>
          <w:sz w:val="22"/>
          <w:szCs w:val="22"/>
          <w:vertAlign w:val="superscript"/>
        </w:rPr>
        <w:t>3</w:t>
      </w:r>
      <w:r w:rsidRPr="009A1A06">
        <w:rPr>
          <w:b w:val="0"/>
          <w:bCs/>
          <w:sz w:val="22"/>
          <w:szCs w:val="22"/>
        </w:rPr>
        <w:t xml:space="preserve">Ayurgreen </w:t>
      </w:r>
      <w:proofErr w:type="spellStart"/>
      <w:r w:rsidRPr="009A1A06">
        <w:rPr>
          <w:b w:val="0"/>
          <w:bCs/>
          <w:sz w:val="22"/>
          <w:szCs w:val="22"/>
        </w:rPr>
        <w:t>Scientifica</w:t>
      </w:r>
      <w:proofErr w:type="spellEnd"/>
      <w:r w:rsidRPr="009A1A06">
        <w:rPr>
          <w:b w:val="0"/>
          <w:bCs/>
          <w:sz w:val="22"/>
          <w:szCs w:val="22"/>
        </w:rPr>
        <w:t xml:space="preserve"> Research Institute LLP, </w:t>
      </w:r>
      <w:proofErr w:type="spellStart"/>
      <w:r w:rsidRPr="009A1A06">
        <w:rPr>
          <w:b w:val="0"/>
          <w:bCs/>
          <w:sz w:val="22"/>
          <w:szCs w:val="22"/>
        </w:rPr>
        <w:t>Ayurgreen</w:t>
      </w:r>
      <w:proofErr w:type="spellEnd"/>
      <w:r w:rsidRPr="009A1A06">
        <w:rPr>
          <w:b w:val="0"/>
          <w:bCs/>
          <w:sz w:val="22"/>
          <w:szCs w:val="22"/>
        </w:rPr>
        <w:t xml:space="preserve"> Campus, </w:t>
      </w:r>
      <w:proofErr w:type="spellStart"/>
      <w:r>
        <w:rPr>
          <w:b w:val="0"/>
          <w:bCs/>
          <w:sz w:val="22"/>
          <w:szCs w:val="22"/>
        </w:rPr>
        <w:t>Edappal</w:t>
      </w:r>
      <w:proofErr w:type="spellEnd"/>
      <w:r>
        <w:rPr>
          <w:b w:val="0"/>
          <w:bCs/>
          <w:sz w:val="22"/>
          <w:szCs w:val="22"/>
        </w:rPr>
        <w:t>,</w:t>
      </w:r>
      <w:r w:rsidRPr="009A1A06">
        <w:rPr>
          <w:b w:val="0"/>
          <w:bCs/>
          <w:sz w:val="22"/>
          <w:szCs w:val="22"/>
        </w:rPr>
        <w:t xml:space="preserve"> Malappuram 679 582, Kerala, India </w:t>
      </w:r>
    </w:p>
    <w:p w14:paraId="5985001D" w14:textId="77777777" w:rsidR="000E62CF" w:rsidRPr="009A1A06" w:rsidRDefault="000E62CF" w:rsidP="000E62CF">
      <w:pPr>
        <w:pStyle w:val="BCAuthorAddress"/>
        <w:spacing w:after="0" w:line="240" w:lineRule="auto"/>
        <w:rPr>
          <w:sz w:val="22"/>
          <w:szCs w:val="22"/>
        </w:rPr>
      </w:pPr>
      <w:r w:rsidRPr="009A1A06">
        <w:rPr>
          <w:sz w:val="22"/>
          <w:szCs w:val="22"/>
          <w:vertAlign w:val="superscript"/>
        </w:rPr>
        <w:t>4</w:t>
      </w:r>
      <w:r w:rsidRPr="009A1A06">
        <w:rPr>
          <w:sz w:val="22"/>
          <w:szCs w:val="22"/>
        </w:rPr>
        <w:t>Department of Physics, University of Calicut, Malappuram-673635, Kerala, India.</w:t>
      </w:r>
    </w:p>
    <w:p w14:paraId="5E623931" w14:textId="77777777" w:rsidR="000E62CF" w:rsidRPr="009A1A06" w:rsidRDefault="000E62CF" w:rsidP="000E62CF">
      <w:pPr>
        <w:pStyle w:val="BCAuthorAddress"/>
        <w:spacing w:after="0" w:line="240" w:lineRule="auto"/>
        <w:rPr>
          <w:sz w:val="22"/>
          <w:szCs w:val="22"/>
        </w:rPr>
      </w:pPr>
      <w:r w:rsidRPr="009A1A06">
        <w:rPr>
          <w:sz w:val="22"/>
          <w:szCs w:val="22"/>
          <w:vertAlign w:val="superscript"/>
        </w:rPr>
        <w:t>5</w:t>
      </w:r>
      <w:r w:rsidRPr="009A1A06">
        <w:rPr>
          <w:sz w:val="22"/>
          <w:szCs w:val="22"/>
        </w:rPr>
        <w:t xml:space="preserve">Department of Veterinary Biochemistry, College of Veterinary and Animal Sciences, </w:t>
      </w:r>
      <w:proofErr w:type="spellStart"/>
      <w:r w:rsidRPr="009A1A06">
        <w:rPr>
          <w:sz w:val="22"/>
          <w:szCs w:val="22"/>
        </w:rPr>
        <w:t>Mannuthy</w:t>
      </w:r>
      <w:proofErr w:type="spellEnd"/>
      <w:r w:rsidRPr="009A1A06">
        <w:rPr>
          <w:sz w:val="22"/>
          <w:szCs w:val="22"/>
        </w:rPr>
        <w:t>, Thrissur</w:t>
      </w:r>
      <w:r>
        <w:rPr>
          <w:sz w:val="22"/>
          <w:szCs w:val="22"/>
        </w:rPr>
        <w:t>, India</w:t>
      </w:r>
    </w:p>
    <w:p w14:paraId="7938F2C6" w14:textId="77777777" w:rsidR="000E62CF" w:rsidRPr="00062108" w:rsidRDefault="000E62CF" w:rsidP="000E62CF">
      <w:pPr>
        <w:pBdr>
          <w:bottom w:val="single" w:sz="4" w:space="1" w:color="auto"/>
        </w:pBdr>
        <w:spacing w:after="0"/>
        <w:jc w:val="center"/>
        <w:rPr>
          <w:b/>
          <w:bCs/>
        </w:rPr>
      </w:pPr>
    </w:p>
    <w:p w14:paraId="18C69E4D" w14:textId="77777777" w:rsidR="000E62CF" w:rsidRPr="00062108" w:rsidRDefault="000E62CF" w:rsidP="000E62CF">
      <w:pPr>
        <w:pBdr>
          <w:bottom w:val="single" w:sz="4" w:space="1" w:color="auto"/>
        </w:pBdr>
        <w:spacing w:after="0" w:line="240" w:lineRule="auto"/>
        <w:jc w:val="center"/>
        <w:rPr>
          <w:b/>
          <w:bCs/>
        </w:rPr>
      </w:pPr>
      <w:r w:rsidRPr="00062108">
        <w:rPr>
          <w:b/>
          <w:bCs/>
        </w:rPr>
        <w:t>Corresponding Authors</w:t>
      </w:r>
    </w:p>
    <w:p w14:paraId="16B3B9EE" w14:textId="55DB288F" w:rsidR="000E62CF" w:rsidRPr="00062108" w:rsidRDefault="000E62CF" w:rsidP="000E62CF">
      <w:pPr>
        <w:pBdr>
          <w:bottom w:val="single" w:sz="4" w:space="1" w:color="auto"/>
        </w:pBdr>
        <w:spacing w:after="0" w:line="240" w:lineRule="auto"/>
        <w:jc w:val="center"/>
        <w:rPr>
          <w:kern w:val="22"/>
        </w:rPr>
      </w:pPr>
      <w:r w:rsidRPr="009A1A06">
        <w:t>*</w:t>
      </w:r>
      <w:r w:rsidRPr="00062108">
        <w:t>Safna Hussan K.P</w:t>
      </w:r>
      <w:r>
        <w:t xml:space="preserve">, </w:t>
      </w:r>
      <w:hyperlink r:id="rId8" w:history="1">
        <w:r w:rsidR="00E96516" w:rsidRPr="00AA44E7">
          <w:rPr>
            <w:rStyle w:val="Hyperlink"/>
          </w:rPr>
          <w:t>yfm4476@tokai.ac.jp</w:t>
        </w:r>
      </w:hyperlink>
      <w:r w:rsidR="00E96516">
        <w:t xml:space="preserve">, </w:t>
      </w:r>
      <w:hyperlink r:id="rId9" w:history="1">
        <w:r w:rsidRPr="00062108">
          <w:rPr>
            <w:rStyle w:val="Hyperlink"/>
            <w:kern w:val="22"/>
          </w:rPr>
          <w:t>safnahussain2@gmail.com</w:t>
        </w:r>
      </w:hyperlink>
    </w:p>
    <w:p w14:paraId="3786E1D6" w14:textId="7651F7D1" w:rsidR="00EF2217" w:rsidRPr="00E06D65" w:rsidRDefault="00EF2217" w:rsidP="00667107">
      <w:pPr>
        <w:pStyle w:val="Heading1"/>
        <w:numPr>
          <w:ilvl w:val="0"/>
          <w:numId w:val="5"/>
        </w:numPr>
      </w:pPr>
      <w:bookmarkStart w:id="2" w:name="_Toc153363493"/>
      <w:r w:rsidRPr="00E06D65">
        <w:t>X-Ray Diffraction</w:t>
      </w:r>
      <w:bookmarkEnd w:id="0"/>
      <w:bookmarkEnd w:id="1"/>
      <w:bookmarkEnd w:id="2"/>
    </w:p>
    <w:p w14:paraId="1B020502" w14:textId="77777777" w:rsidR="00EF2217" w:rsidRPr="00E06D65" w:rsidRDefault="00EF2217" w:rsidP="00522FFD">
      <w:pPr>
        <w:jc w:val="center"/>
        <w:rPr>
          <w:rFonts w:ascii="Times New Roman" w:hAnsi="Times New Roman" w:cs="Times New Roman"/>
          <w:b/>
          <w:bCs/>
          <w:sz w:val="28"/>
          <w:szCs w:val="28"/>
        </w:rPr>
      </w:pPr>
    </w:p>
    <w:p w14:paraId="6CF41830" w14:textId="6BD61BFF" w:rsidR="00DB6B2A" w:rsidRPr="00E06D65" w:rsidRDefault="00EF2217" w:rsidP="00667107">
      <w:pPr>
        <w:pStyle w:val="Heading2"/>
      </w:pPr>
      <w:bookmarkStart w:id="3" w:name="_Toc153363494"/>
      <w:r w:rsidRPr="00E06D65">
        <w:t>1.1</w:t>
      </w:r>
      <w:r w:rsidR="00667107" w:rsidRPr="00E06D65">
        <w:t>. Optimum</w:t>
      </w:r>
      <w:r w:rsidR="00222FAD" w:rsidRPr="00E06D65">
        <w:t xml:space="preserve"> Concentration:</w:t>
      </w:r>
      <w:bookmarkEnd w:id="3"/>
    </w:p>
    <w:p w14:paraId="58005501" w14:textId="4740CE44" w:rsidR="00222FAD" w:rsidRPr="00E06D65" w:rsidRDefault="00222FAD" w:rsidP="00522FFD">
      <w:pPr>
        <w:jc w:val="both"/>
        <w:rPr>
          <w:rFonts w:ascii="Times New Roman" w:hAnsi="Times New Roman" w:cs="Times New Roman"/>
          <w:sz w:val="24"/>
          <w:szCs w:val="24"/>
        </w:rPr>
      </w:pPr>
      <w:r w:rsidRPr="00E06D65">
        <w:rPr>
          <w:rFonts w:ascii="Times New Roman" w:hAnsi="Times New Roman" w:cs="Times New Roman"/>
        </w:rPr>
        <w:t xml:space="preserve">  </w:t>
      </w:r>
      <w:r w:rsidRPr="00E06D65">
        <w:rPr>
          <w:rFonts w:ascii="Times New Roman" w:hAnsi="Times New Roman" w:cs="Times New Roman"/>
          <w:sz w:val="24"/>
          <w:szCs w:val="24"/>
        </w:rPr>
        <w:t xml:space="preserve">In this study, we developed an amorphous solid dispersion of erlotinib HCl using several polymers of PVP-K30, PEG 4000, and their blend in a 10:90 weight ratio of </w:t>
      </w:r>
      <w:proofErr w:type="spellStart"/>
      <w:r w:rsidRPr="00E06D65">
        <w:rPr>
          <w:rFonts w:ascii="Times New Roman" w:hAnsi="Times New Roman" w:cs="Times New Roman"/>
          <w:sz w:val="24"/>
          <w:szCs w:val="24"/>
        </w:rPr>
        <w:t>drug:polymer</w:t>
      </w:r>
      <w:proofErr w:type="spellEnd"/>
      <w:r w:rsidRPr="00E06D65">
        <w:rPr>
          <w:rFonts w:ascii="Times New Roman" w:hAnsi="Times New Roman" w:cs="Times New Roman"/>
          <w:sz w:val="24"/>
          <w:szCs w:val="24"/>
        </w:rPr>
        <w:t xml:space="preserve"> configuration. In which ERL+PEG exhibits enhanced solubility, bioavailability and anticancer efficacy in invitro and in vivo studies. The ideal drug:</w:t>
      </w:r>
      <w:r w:rsidR="00522FFD" w:rsidRPr="00E06D65">
        <w:rPr>
          <w:rFonts w:ascii="Times New Roman" w:hAnsi="Times New Roman" w:cs="Times New Roman"/>
          <w:sz w:val="24"/>
          <w:szCs w:val="24"/>
        </w:rPr>
        <w:t xml:space="preserve"> </w:t>
      </w:r>
      <w:r w:rsidRPr="00E06D65">
        <w:rPr>
          <w:rFonts w:ascii="Times New Roman" w:hAnsi="Times New Roman" w:cs="Times New Roman"/>
          <w:sz w:val="24"/>
          <w:szCs w:val="24"/>
        </w:rPr>
        <w:t xml:space="preserve">polymer concentration is 10:90 because when drug loading in the formulation is increased, ERL's propensity to recrystallize increases. The XRD pattern for different weight ratio of ERL+PEG is emphasizing the crystalline peaks of ERL is hiking upon increasing drug concentration, which is clearly depicted in the Figure below. Such recrystallisation adversely effects their solubility and </w:t>
      </w:r>
      <w:proofErr w:type="gramStart"/>
      <w:r w:rsidRPr="00E06D65">
        <w:rPr>
          <w:rFonts w:ascii="Times New Roman" w:hAnsi="Times New Roman" w:cs="Times New Roman"/>
          <w:sz w:val="24"/>
          <w:szCs w:val="24"/>
        </w:rPr>
        <w:t>bioavailability ,</w:t>
      </w:r>
      <w:proofErr w:type="gramEnd"/>
      <w:r w:rsidRPr="00E06D65">
        <w:rPr>
          <w:rFonts w:ascii="Times New Roman" w:hAnsi="Times New Roman" w:cs="Times New Roman"/>
          <w:sz w:val="24"/>
          <w:szCs w:val="24"/>
        </w:rPr>
        <w:t xml:space="preserve">  rendering the effort useless. </w:t>
      </w:r>
    </w:p>
    <w:p w14:paraId="009DAF25" w14:textId="73962CF7" w:rsidR="00222FAD" w:rsidRPr="00E06D65" w:rsidRDefault="00222FAD" w:rsidP="00EF2217">
      <w:pPr>
        <w:jc w:val="center"/>
        <w:rPr>
          <w:rFonts w:ascii="Times New Roman" w:hAnsi="Times New Roman" w:cs="Times New Roman"/>
        </w:rPr>
      </w:pPr>
      <w:r w:rsidRPr="00E06D65">
        <w:rPr>
          <w:rFonts w:ascii="Times New Roman" w:hAnsi="Times New Roman" w:cs="Times New Roman"/>
          <w:noProof/>
          <w:lang w:val="en-IN" w:eastAsia="en-IN"/>
        </w:rPr>
        <w:lastRenderedPageBreak/>
        <w:drawing>
          <wp:inline distT="0" distB="0" distL="0" distR="0" wp14:anchorId="497220AB" wp14:editId="12602C41">
            <wp:extent cx="4073857" cy="3148099"/>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77100" cy="3150605"/>
                    </a:xfrm>
                    <a:prstGeom prst="rect">
                      <a:avLst/>
                    </a:prstGeom>
                    <a:noFill/>
                    <a:ln>
                      <a:noFill/>
                    </a:ln>
                  </pic:spPr>
                </pic:pic>
              </a:graphicData>
            </a:graphic>
          </wp:inline>
        </w:drawing>
      </w:r>
    </w:p>
    <w:p w14:paraId="0B744094" w14:textId="6D635B9E" w:rsidR="00EF2217" w:rsidRPr="00E06D65" w:rsidRDefault="00EF2217" w:rsidP="00EF2217">
      <w:pPr>
        <w:rPr>
          <w:rFonts w:ascii="Times New Roman" w:hAnsi="Times New Roman" w:cs="Times New Roman"/>
        </w:rPr>
      </w:pPr>
      <w:r w:rsidRPr="00E06D65">
        <w:rPr>
          <w:rFonts w:ascii="Times New Roman" w:hAnsi="Times New Roman" w:cs="Times New Roman"/>
        </w:rPr>
        <w:t>Fig 1S. Powder X-ray diffraction patterns of ERL and amorphous solid dispersion of ERL with PEG 4000 at different weight ratios</w:t>
      </w:r>
    </w:p>
    <w:p w14:paraId="773C74DE" w14:textId="77777777" w:rsidR="00766595" w:rsidRPr="00E06D65" w:rsidRDefault="00766595">
      <w:pPr>
        <w:rPr>
          <w:rFonts w:ascii="Times New Roman" w:hAnsi="Times New Roman" w:cs="Times New Roman"/>
        </w:rPr>
      </w:pPr>
    </w:p>
    <w:p w14:paraId="655C5225" w14:textId="272E0067" w:rsidR="00766595" w:rsidRPr="00E06D65" w:rsidRDefault="00402ED6" w:rsidP="006B1DCA">
      <w:pPr>
        <w:jc w:val="center"/>
        <w:rPr>
          <w:rFonts w:ascii="Times New Roman" w:hAnsi="Times New Roman" w:cs="Times New Roman"/>
        </w:rPr>
      </w:pPr>
      <w:r w:rsidRPr="00E06D65">
        <w:rPr>
          <w:rFonts w:ascii="Times New Roman" w:hAnsi="Times New Roman" w:cs="Times New Roman"/>
          <w:noProof/>
          <w:lang w:val="en-IN" w:eastAsia="en-IN"/>
        </w:rPr>
        <w:drawing>
          <wp:inline distT="0" distB="0" distL="0" distR="0" wp14:anchorId="2AD23AB9" wp14:editId="0EF49718">
            <wp:extent cx="3746310" cy="2661852"/>
            <wp:effectExtent l="0" t="0" r="698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51233" cy="2665350"/>
                    </a:xfrm>
                    <a:prstGeom prst="rect">
                      <a:avLst/>
                    </a:prstGeom>
                  </pic:spPr>
                </pic:pic>
              </a:graphicData>
            </a:graphic>
          </wp:inline>
        </w:drawing>
      </w:r>
    </w:p>
    <w:p w14:paraId="7651BC13" w14:textId="4C1D16BF" w:rsidR="00852A3E" w:rsidRPr="00E06D65" w:rsidRDefault="00852A3E">
      <w:pPr>
        <w:rPr>
          <w:rFonts w:ascii="Times New Roman" w:hAnsi="Times New Roman" w:cs="Times New Roman"/>
        </w:rPr>
      </w:pPr>
      <w:r w:rsidRPr="00E06D65">
        <w:rPr>
          <w:rFonts w:ascii="Times New Roman" w:hAnsi="Times New Roman" w:cs="Times New Roman"/>
        </w:rPr>
        <w:t xml:space="preserve">Fig </w:t>
      </w:r>
      <w:r w:rsidR="00F454B8" w:rsidRPr="00E06D65">
        <w:rPr>
          <w:rFonts w:ascii="Times New Roman" w:hAnsi="Times New Roman" w:cs="Times New Roman"/>
        </w:rPr>
        <w:t>2S</w:t>
      </w:r>
      <w:r w:rsidRPr="00E06D65">
        <w:rPr>
          <w:rFonts w:ascii="Times New Roman" w:hAnsi="Times New Roman" w:cs="Times New Roman"/>
        </w:rPr>
        <w:t>. Powder X-ray diffraction patterns of ERL, PEG 4000 and amorphous solid dispersion of ERL with PEG 4000 (at the weight ratio 10:90).</w:t>
      </w:r>
    </w:p>
    <w:p w14:paraId="0605266E" w14:textId="78D348FE" w:rsidR="00AA420F" w:rsidRPr="00E06D65" w:rsidRDefault="00AA420F" w:rsidP="00AA420F">
      <w:pPr>
        <w:jc w:val="both"/>
        <w:rPr>
          <w:rFonts w:ascii="Times New Roman" w:hAnsi="Times New Roman" w:cs="Times New Roman"/>
          <w:sz w:val="24"/>
          <w:szCs w:val="24"/>
        </w:rPr>
      </w:pPr>
      <w:r w:rsidRPr="00E06D65">
        <w:rPr>
          <w:rFonts w:ascii="Times New Roman" w:hAnsi="Times New Roman" w:cs="Times New Roman"/>
          <w:sz w:val="24"/>
          <w:szCs w:val="24"/>
        </w:rPr>
        <w:t xml:space="preserve">The excipient PEG-4000 showed two sharp peaks for crystallinity at 19.36˚ and 23.72˚. The characteristic peaks of ERL were found to diminish in the formulations, however the </w:t>
      </w:r>
      <w:proofErr w:type="spellStart"/>
      <w:r w:rsidRPr="00E06D65">
        <w:rPr>
          <w:rFonts w:ascii="Times New Roman" w:hAnsi="Times New Roman" w:cs="Times New Roman"/>
          <w:sz w:val="24"/>
          <w:szCs w:val="24"/>
        </w:rPr>
        <w:t>crystalinity</w:t>
      </w:r>
      <w:proofErr w:type="spellEnd"/>
      <w:r w:rsidRPr="00E06D65">
        <w:rPr>
          <w:rFonts w:ascii="Times New Roman" w:hAnsi="Times New Roman" w:cs="Times New Roman"/>
          <w:sz w:val="24"/>
          <w:szCs w:val="24"/>
        </w:rPr>
        <w:t xml:space="preserve"> peaks of PEG 4000 were retained. </w:t>
      </w:r>
    </w:p>
    <w:p w14:paraId="74DEF9A6" w14:textId="77777777" w:rsidR="00950B12" w:rsidRPr="00E06D65" w:rsidRDefault="00950B12" w:rsidP="00950B12">
      <w:pPr>
        <w:rPr>
          <w:rFonts w:ascii="Times New Roman" w:eastAsiaTheme="majorEastAsia" w:hAnsi="Times New Roman" w:cs="Times New Roman"/>
          <w:b/>
          <w:i/>
          <w:color w:val="000000" w:themeColor="text1"/>
          <w:sz w:val="24"/>
          <w:szCs w:val="24"/>
        </w:rPr>
      </w:pPr>
    </w:p>
    <w:p w14:paraId="2F33E4D8" w14:textId="0010DADA" w:rsidR="00950B12" w:rsidRPr="00E06D65" w:rsidRDefault="00950B12" w:rsidP="00667107">
      <w:pPr>
        <w:pStyle w:val="Heading1"/>
        <w:numPr>
          <w:ilvl w:val="0"/>
          <w:numId w:val="5"/>
        </w:numPr>
      </w:pPr>
      <w:bookmarkStart w:id="4" w:name="_Toc153363495"/>
      <w:r w:rsidRPr="00E06D65">
        <w:lastRenderedPageBreak/>
        <w:t>FTIR Spectroscopy</w:t>
      </w:r>
      <w:bookmarkEnd w:id="4"/>
    </w:p>
    <w:p w14:paraId="703660AC" w14:textId="77777777" w:rsidR="00950B12" w:rsidRPr="00E06D65" w:rsidRDefault="00950B12" w:rsidP="00AA420F">
      <w:pPr>
        <w:jc w:val="both"/>
        <w:rPr>
          <w:rFonts w:ascii="Times New Roman" w:hAnsi="Times New Roman" w:cs="Times New Roman"/>
          <w:sz w:val="24"/>
          <w:szCs w:val="24"/>
        </w:rPr>
      </w:pPr>
    </w:p>
    <w:tbl>
      <w:tblPr>
        <w:tblStyle w:val="TableGrid"/>
        <w:tblpPr w:leftFromText="180" w:rightFromText="180" w:vertAnchor="page" w:horzAnchor="margin" w:tblpXSpec="center" w:tblpY="2805"/>
        <w:tblW w:w="0" w:type="auto"/>
        <w:tblLook w:val="04A0" w:firstRow="1" w:lastRow="0" w:firstColumn="1" w:lastColumn="0" w:noHBand="0" w:noVBand="1"/>
      </w:tblPr>
      <w:tblGrid>
        <w:gridCol w:w="695"/>
        <w:gridCol w:w="1153"/>
        <w:gridCol w:w="1130"/>
        <w:gridCol w:w="1656"/>
        <w:gridCol w:w="3399"/>
      </w:tblGrid>
      <w:tr w:rsidR="009809B0" w:rsidRPr="00E06D65" w14:paraId="64654F58" w14:textId="77777777" w:rsidTr="000A2ABC">
        <w:trPr>
          <w:trHeight w:val="350"/>
        </w:trPr>
        <w:tc>
          <w:tcPr>
            <w:tcW w:w="0" w:type="auto"/>
            <w:gridSpan w:val="4"/>
          </w:tcPr>
          <w:p w14:paraId="35D357AC" w14:textId="77777777" w:rsidR="009809B0" w:rsidRPr="00E06D65" w:rsidRDefault="009809B0" w:rsidP="000A2ABC">
            <w:pPr>
              <w:jc w:val="center"/>
              <w:rPr>
                <w:rFonts w:ascii="Times New Roman" w:hAnsi="Times New Roman" w:cs="Times New Roman"/>
                <w:b/>
                <w:bCs/>
                <w:sz w:val="20"/>
                <w:szCs w:val="20"/>
              </w:rPr>
            </w:pPr>
            <w:r w:rsidRPr="00E06D65">
              <w:rPr>
                <w:rFonts w:ascii="Times New Roman" w:hAnsi="Times New Roman" w:cs="Times New Roman"/>
                <w:b/>
                <w:bCs/>
                <w:sz w:val="20"/>
                <w:szCs w:val="20"/>
              </w:rPr>
              <w:t>Wavenumber (cm</w:t>
            </w:r>
            <w:r w:rsidRPr="00E06D65">
              <w:rPr>
                <w:rFonts w:ascii="Times New Roman" w:hAnsi="Times New Roman" w:cs="Times New Roman"/>
                <w:b/>
                <w:bCs/>
                <w:sz w:val="20"/>
                <w:szCs w:val="20"/>
                <w:vertAlign w:val="superscript"/>
              </w:rPr>
              <w:t>-1</w:t>
            </w:r>
            <w:r w:rsidRPr="00E06D65">
              <w:rPr>
                <w:rFonts w:ascii="Times New Roman" w:hAnsi="Times New Roman" w:cs="Times New Roman"/>
                <w:b/>
                <w:bCs/>
                <w:sz w:val="20"/>
                <w:szCs w:val="20"/>
              </w:rPr>
              <w:t>)</w:t>
            </w:r>
          </w:p>
        </w:tc>
        <w:tc>
          <w:tcPr>
            <w:tcW w:w="0" w:type="auto"/>
            <w:vMerge w:val="restart"/>
          </w:tcPr>
          <w:p w14:paraId="07D729A5" w14:textId="77777777" w:rsidR="009809B0" w:rsidRPr="00E06D65" w:rsidRDefault="009809B0" w:rsidP="000A2ABC">
            <w:pPr>
              <w:rPr>
                <w:rFonts w:ascii="Times New Roman" w:hAnsi="Times New Roman" w:cs="Times New Roman"/>
                <w:b/>
                <w:bCs/>
                <w:sz w:val="20"/>
                <w:szCs w:val="20"/>
              </w:rPr>
            </w:pPr>
            <w:r w:rsidRPr="00E06D65">
              <w:rPr>
                <w:rFonts w:ascii="Times New Roman" w:hAnsi="Times New Roman" w:cs="Times New Roman"/>
                <w:b/>
                <w:bCs/>
                <w:sz w:val="20"/>
                <w:szCs w:val="20"/>
              </w:rPr>
              <w:t xml:space="preserve">Functional groups </w:t>
            </w:r>
            <w:r w:rsidRPr="00E06D65">
              <w:rPr>
                <w:rFonts w:ascii="Times New Roman" w:hAnsi="Times New Roman" w:cs="Times New Roman"/>
                <w:b/>
                <w:bCs/>
                <w:sz w:val="20"/>
                <w:szCs w:val="20"/>
              </w:rPr>
              <w:fldChar w:fldCharType="begin" w:fldLock="1"/>
            </w:r>
            <w:r w:rsidRPr="00E06D65">
              <w:rPr>
                <w:rFonts w:ascii="Times New Roman" w:hAnsi="Times New Roman" w:cs="Times New Roman"/>
                <w:b/>
                <w:bCs/>
                <w:sz w:val="20"/>
                <w:szCs w:val="20"/>
              </w:rPr>
              <w:instrText>ADDIN CSL_CITATION {"citationItems":[{"id":"ITEM-1","itemData":{"DOI":"10.1155/2019/9191328","ISSN":"23144939","abstract":"In this study, we provide the first Fourier-Transform infrared absorption spectroscopy (FTIR) and Raman spectroscopy (RS) analysis of a vibrational fingerprint of erlotinib, a drug which is applied in non-small cell lung cancer therapy, in solid state and solution in different pH conditions. Additionally, the performed DFT theoretical calculations in vacuum and PCM models support the interpretation of vibrational spectra and give insight into an optimized spatial configuration of the investigated drug. The present considerations show vibrational structure of erlotinib and details of its molecular geometry. Furthermore, we discuss the pH condition where the protonated-NH+ and C=N+ forms occur and indicate the spectral changes characteristic for the erlotinib protonation. It is of great of importance to better understand biological activity of the drug and to develop new tyrosine kinase inhibitors.","author":[{"dropping-particle":"","family":"Piergies","given":"Natalia","non-dropping-particle":"","parse-names":false,"suffix":""},{"dropping-particle":"","family":"Paluszkiewicz","given":"Czesława","non-dropping-particle":"","parse-names":false,"suffix":""},{"dropping-particle":"","family":"Kwiatek","given":"Wojciech M.","non-dropping-particle":"","parse-names":false,"suffix":""}],"container-title":"Journal of Spectroscopy","id":"ITEM-1","issued":{"date-parts":[["2019"]]},"page":"17-20","title":"Vibrational fingerprint of erlotinib: Ftir, rs, and DFT studies","type":"article-journal","volume":"2019"},"uris":["http://www.mendeley.com/documents/?uuid=94063373-9b68-4018-b38b-2ef1b4a44f7e"]}],"mendeley":{"formattedCitation":"[24]","plainTextFormattedCitation":"[24]","previouslyFormattedCitation":"[32]"},"properties":{"noteIndex":0},"schema":"https://github.com/citation-style-language/schema/raw/master/csl-citation.json"}</w:instrText>
            </w:r>
            <w:r w:rsidRPr="00E06D65">
              <w:rPr>
                <w:rFonts w:ascii="Times New Roman" w:hAnsi="Times New Roman" w:cs="Times New Roman"/>
                <w:b/>
                <w:bCs/>
                <w:sz w:val="20"/>
                <w:szCs w:val="20"/>
              </w:rPr>
              <w:fldChar w:fldCharType="separate"/>
            </w:r>
            <w:r w:rsidRPr="00E06D65">
              <w:rPr>
                <w:rFonts w:ascii="Times New Roman" w:hAnsi="Times New Roman" w:cs="Times New Roman"/>
                <w:bCs/>
                <w:noProof/>
                <w:sz w:val="20"/>
                <w:szCs w:val="20"/>
              </w:rPr>
              <w:t>[24]</w:t>
            </w:r>
            <w:r w:rsidRPr="00E06D65">
              <w:rPr>
                <w:rFonts w:ascii="Times New Roman" w:hAnsi="Times New Roman" w:cs="Times New Roman"/>
                <w:b/>
                <w:bCs/>
                <w:sz w:val="20"/>
                <w:szCs w:val="20"/>
              </w:rPr>
              <w:fldChar w:fldCharType="end"/>
            </w:r>
            <w:r w:rsidRPr="00E06D65">
              <w:rPr>
                <w:rFonts w:ascii="Times New Roman" w:hAnsi="Times New Roman" w:cs="Times New Roman"/>
                <w:b/>
                <w:bCs/>
                <w:sz w:val="20"/>
                <w:szCs w:val="20"/>
              </w:rPr>
              <w:fldChar w:fldCharType="begin" w:fldLock="1"/>
            </w:r>
            <w:r w:rsidRPr="00E06D65">
              <w:rPr>
                <w:rFonts w:ascii="Times New Roman" w:hAnsi="Times New Roman" w:cs="Times New Roman"/>
                <w:b/>
                <w:bCs/>
                <w:sz w:val="20"/>
                <w:szCs w:val="20"/>
              </w:rPr>
              <w:instrText>ADDIN CSL_CITATION {"citationItems":[{"id":"ITEM-1","itemData":{"DOI":"10.1155/2011/628790","ISSN":"09734945","abstract":"Ionic conductivity of poly(ethylene glycol) (PEG) - ammonium chloride (NH4Cl) based polymer electrolytes can be enhanced by incorporating ceramic filler TiO2 into PEG-NH4Cl matrix. The electrolyte samples were prepared by solution casting technique. FTIR studies indicates that the complex formation between the polymer, salt and ceramic filler. The ionic conductivity was measured using impedance spectroscopy technique. It was observed that the conductivity of the electrolyte varies with TiO2 concentration and temperature. The highest room temperature conductivity of the electrolyte of 7.72×10-6 S cm-1 was obtained at 15% by weight of TiO2 and that without TiO2 filler was found to be 9.58×10-7 S cm-1. The conductivity has been improved by 8 times when the TiO2 filler was introduced into the PEG-NH4Cl electrolyte system. The conductance spectra shows two distinct regions: a dc plateau and a dispersive region. The temperature dependence of the conductivity of the polymer electrolytes seems to obey the VTF relation. The conductivity values of the polymer electrolytes were reported and the results were discussed. The imaginary part of dielectric constant (εi) decreases with increase in frequency in the low frequency region whereas frequency independent behavior is observed in the high frequency region.","author":[{"dropping-particle":"","family":"Polu","given":"Anji Reddy","non-dropping-particle":"","parse-names":false,"suffix":""},{"dropping-particle":"","family":"Kumar","given":"Ranveer","non-dropping-particle":"","parse-names":false,"suffix":""}],"container-title":"E-Journal of Chemistry","id":"ITEM-1","issue":"1","issued":{"date-parts":[["2011"]]},"page":"347-353","title":"Impedance spectroscopy and FTIR studies of PEG - Based polymer electrolytes","type":"article-journal","volume":"8"},"uris":["http://www.mendeley.com/documents/?uuid=1f973088-6310-4a9a-980a-5489505bac4d","http://www.mendeley.com/documents/?uuid=a81b8354-a7f2-4cd8-aae2-2569b76d68fd"]}],"mendeley":{"formattedCitation":"[25]","plainTextFormattedCitation":"[25]","previouslyFormattedCitation":"[33]"},"properties":{"noteIndex":0},"schema":"https://github.com/citation-style-language/schema/raw/master/csl-citation.json"}</w:instrText>
            </w:r>
            <w:r w:rsidRPr="00E06D65">
              <w:rPr>
                <w:rFonts w:ascii="Times New Roman" w:hAnsi="Times New Roman" w:cs="Times New Roman"/>
                <w:b/>
                <w:bCs/>
                <w:sz w:val="20"/>
                <w:szCs w:val="20"/>
              </w:rPr>
              <w:fldChar w:fldCharType="separate"/>
            </w:r>
            <w:r w:rsidRPr="00E06D65">
              <w:rPr>
                <w:rFonts w:ascii="Times New Roman" w:hAnsi="Times New Roman" w:cs="Times New Roman"/>
                <w:bCs/>
                <w:noProof/>
                <w:sz w:val="20"/>
                <w:szCs w:val="20"/>
              </w:rPr>
              <w:t>[25]</w:t>
            </w:r>
            <w:r w:rsidRPr="00E06D65">
              <w:rPr>
                <w:rFonts w:ascii="Times New Roman" w:hAnsi="Times New Roman" w:cs="Times New Roman"/>
                <w:b/>
                <w:bCs/>
                <w:sz w:val="20"/>
                <w:szCs w:val="20"/>
              </w:rPr>
              <w:fldChar w:fldCharType="end"/>
            </w:r>
            <w:r w:rsidRPr="00E06D65">
              <w:rPr>
                <w:rFonts w:ascii="Times New Roman" w:hAnsi="Times New Roman" w:cs="Times New Roman"/>
                <w:b/>
                <w:bCs/>
                <w:sz w:val="20"/>
                <w:szCs w:val="20"/>
              </w:rPr>
              <w:fldChar w:fldCharType="begin" w:fldLock="1"/>
            </w:r>
            <w:r w:rsidRPr="00E06D65">
              <w:rPr>
                <w:rFonts w:ascii="Times New Roman" w:hAnsi="Times New Roman" w:cs="Times New Roman"/>
                <w:b/>
                <w:bCs/>
                <w:sz w:val="20"/>
                <w:szCs w:val="20"/>
              </w:rPr>
              <w:instrText>ADDIN CSL_CITATION {"citationItems":[{"id":"ITEM-1","itemData":{"DOI":"10.1093/biomethods/bpac001","ISSN":"23968923","abstract":"Erlotinib hydrochloride, a selective tyrosine kinase inhibitor approved for treatment of non-small cell lung cancer firstly. Erlotinib classified as class II drugs in the Biopharmaceutical Classification System (BCS), which characterized by low solubility and high permeability. The aim of this study was to enhance the dissolution rate of this drug. The binary solid dispersions of erlotinib: PVP prepared at different ratios (1:3, 1:5, and 1:8) by electrospray technique. The characterization of formulations performed using differential scanning calorimetery (DSC), Fourier transform infrared spectroscopy (FT-IR) and dissolution rate test. The dissolution results showed that the dissolution rate of erlotinib from binary solid dispersions improved in comparison to pure drug. FTIR spectrum results showed that all peaks of erlotinib functional groups are also observable in the prepared solid dispersions. The FTIR results demonstrated that there was no interaction between drug and polymer. DSC thermograms of the prepared solid dispersions showed no drug-related peak, which is probably related to reduced crystallinity and drug amorphization. Based on the obtained results, it can be concluded that the erlotinib solid dispersion systems displayed improved dissolution rate compared to the pure drug. This will likely lead to increased drug bioavailability.","author":[{"dropping-particle":"","family":"Jahangiri","given":"Azin","non-dropping-particle":"","parse-names":false,"suffix":""},{"dropping-particle":"","family":"Khalilzad","given":"Fakhronnesa","non-dropping-particle":"","parse-names":false,"suffix":""},{"dropping-particle":"","family":"Barghi","given":"Leila","non-dropping-particle":"","parse-names":false,"suffix":""}],"container-title":"Biology Methods and Protocols","id":"ITEM-1","issue":"1","issued":{"date-parts":[["2022"]]},"page":"1-5","title":"Dissolution improvement of binary solid dispersions of erlotinib prepared by one-step electrospray method","type":"article-journal","volume":"7"},"uris":["http://www.mendeley.com/documents/?uuid=2b1295d6-0e09-4277-9f28-40bf74f0af30","http://www.mendeley.com/documents/?uuid=7791845a-c432-431a-91b0-deb79b2ccb48"]}],"mendeley":{"formattedCitation":"[7]","plainTextFormattedCitation":"[7]","previouslyFormattedCitation":"[16]"},"properties":{"noteIndex":0},"schema":"https://github.com/citation-style-language/schema/raw/master/csl-citation.json"}</w:instrText>
            </w:r>
            <w:r w:rsidRPr="00E06D65">
              <w:rPr>
                <w:rFonts w:ascii="Times New Roman" w:hAnsi="Times New Roman" w:cs="Times New Roman"/>
                <w:b/>
                <w:bCs/>
                <w:sz w:val="20"/>
                <w:szCs w:val="20"/>
              </w:rPr>
              <w:fldChar w:fldCharType="separate"/>
            </w:r>
            <w:r w:rsidRPr="00E06D65">
              <w:rPr>
                <w:rFonts w:ascii="Times New Roman" w:hAnsi="Times New Roman" w:cs="Times New Roman"/>
                <w:bCs/>
                <w:noProof/>
                <w:sz w:val="20"/>
                <w:szCs w:val="20"/>
              </w:rPr>
              <w:t>[7]</w:t>
            </w:r>
            <w:r w:rsidRPr="00E06D65">
              <w:rPr>
                <w:rFonts w:ascii="Times New Roman" w:hAnsi="Times New Roman" w:cs="Times New Roman"/>
                <w:b/>
                <w:bCs/>
                <w:sz w:val="20"/>
                <w:szCs w:val="20"/>
              </w:rPr>
              <w:fldChar w:fldCharType="end"/>
            </w:r>
            <w:r w:rsidRPr="00E06D65">
              <w:rPr>
                <w:rFonts w:ascii="Times New Roman" w:hAnsi="Times New Roman" w:cs="Times New Roman"/>
                <w:b/>
                <w:bCs/>
                <w:sz w:val="20"/>
                <w:szCs w:val="20"/>
              </w:rPr>
              <w:fldChar w:fldCharType="begin" w:fldLock="1"/>
            </w:r>
            <w:r w:rsidRPr="00E06D65">
              <w:rPr>
                <w:rFonts w:ascii="Times New Roman" w:hAnsi="Times New Roman" w:cs="Times New Roman"/>
                <w:b/>
                <w:bCs/>
                <w:sz w:val="20"/>
                <w:szCs w:val="20"/>
              </w:rPr>
              <w:instrText>ADDIN CSL_CITATION {"citationItems":[{"id":"ITEM-1","itemData":{"DOI":"10.3390/polym13081244","ISSN":"20734360","abstract":"Microcapsules (MC) based on chitosan (CH) and including nano-magnetite and erlotinib were synthesized. The microparticles were characterized by SEM, FT-IR and TGA. The percentage of encapsulation was determined, as well as its microbiological activity. Finally, the effectiveness of the formulation was evaluated in terms of cell viability and/or toxicity when compared with the reference drug. The formulation used to prepare the microcapsules showed some bacteriostatic properties. The characterization of microcapsules exhibited amorphous spherical shape and average size of 1.29, 1.58 and 1.62 mm for chitosan, chitosan + nanomagnetite and chitosan + nanomagnetite + erlotinib, respectively. The infrared spectra showed characteristic bands of the erlotinib and magnetite, confirming its internalization. The thermogravimetric analyzes indicated that the materials do not undergo changes at optimum working temperatures. The HPLC analysis showed a 52% of encapsulation. Finally, the formulation probed had lower effectiveness and less cytotoxicity, than the drug without encapsulating “in vitro” studies. For that reason several assays are in progress.","author":[{"dropping-particle":"","family":"Cárdenas-Triviño","given":"Galo","non-dropping-particle":"","parse-names":false,"suffix":""},{"dropping-particle":"","family":"Monsalve-Rozas","given":"Sebastián","non-dropping-particle":"","parse-names":false,"suffix":""},{"dropping-particle":"","family":"Vergara-González","given":"Luis","non-dropping-particle":"","parse-names":false,"suffix":""}],"container-title":"Polymers","id":"ITEM-1","issue":"8","issued":{"date-parts":[["2021"]]},"title":"Microencapsulation of erlotinib and nanomagnetite supported in chitosan as potential oncologic carrier","type":"article-journal","volume":"13"},"uris":["http://www.mendeley.com/documents/?uuid=c1aed88b-8e6c-47d0-930c-addfde7279c5","http://www.mendeley.com/documents/?uuid=b7851b17-8e64-4480-b7a2-9c2d2cb58229"]}],"mendeley":{"formattedCitation":"[26]","plainTextFormattedCitation":"[26]","previouslyFormattedCitation":"[34]"},"properties":{"noteIndex":0},"schema":"https://github.com/citation-style-language/schema/raw/master/csl-citation.json"}</w:instrText>
            </w:r>
            <w:r w:rsidRPr="00E06D65">
              <w:rPr>
                <w:rFonts w:ascii="Times New Roman" w:hAnsi="Times New Roman" w:cs="Times New Roman"/>
                <w:b/>
                <w:bCs/>
                <w:sz w:val="20"/>
                <w:szCs w:val="20"/>
              </w:rPr>
              <w:fldChar w:fldCharType="separate"/>
            </w:r>
            <w:r w:rsidRPr="00E06D65">
              <w:rPr>
                <w:rFonts w:ascii="Times New Roman" w:hAnsi="Times New Roman" w:cs="Times New Roman"/>
                <w:bCs/>
                <w:noProof/>
                <w:sz w:val="20"/>
                <w:szCs w:val="20"/>
              </w:rPr>
              <w:t>[26]</w:t>
            </w:r>
            <w:r w:rsidRPr="00E06D65">
              <w:rPr>
                <w:rFonts w:ascii="Times New Roman" w:hAnsi="Times New Roman" w:cs="Times New Roman"/>
                <w:b/>
                <w:bCs/>
                <w:sz w:val="20"/>
                <w:szCs w:val="20"/>
              </w:rPr>
              <w:fldChar w:fldCharType="end"/>
            </w:r>
            <w:r w:rsidRPr="00E06D65">
              <w:rPr>
                <w:rFonts w:ascii="Times New Roman" w:hAnsi="Times New Roman" w:cs="Times New Roman"/>
                <w:b/>
                <w:bCs/>
                <w:sz w:val="20"/>
                <w:szCs w:val="20"/>
              </w:rPr>
              <w:fldChar w:fldCharType="begin" w:fldLock="1"/>
            </w:r>
            <w:r w:rsidRPr="00E06D65">
              <w:rPr>
                <w:rFonts w:ascii="Times New Roman" w:hAnsi="Times New Roman" w:cs="Times New Roman"/>
                <w:b/>
                <w:bCs/>
                <w:sz w:val="20"/>
                <w:szCs w:val="20"/>
              </w:rPr>
              <w:instrText>ADDIN CSL_CITATION {"citationItems":[{"id":"ITEM-1","itemData":{"DOI":"10.1007/s10973-010-1061-9","ISSN":"13886150","abstract":"The aim of this study was to gain some fundamental knowledge on the thermal degradation pathways of poly(N-vinyl pyrrolidone) using Thermogravimetry coupled with Fourier Transform Infrared Spectroscopy (TG-FTIR) in addition to IR and 1H NMR spectroscopic studies of the partially degraded samples. It was found that the vinyl pyrrolidone is the main volatile products of the thermal degradation of PVP which implies that the predominant mechanism during thermal degradation of this polymer is the depolymerization to monomer of the polymeric main chain; however, it is evident that simultaneous reactions may be involved yielding oligomers. FTIR and 1H NMR spectra of partially degraded samples of PVP exhibited very similar characteristics to that observed for undegraded samples although the 1H NMR spectra suggest the presence of simultaneous reactions as the fragmentation of polymeric main chain. © 2011 Akadémiai Kiadó, Budapest, Hungary.","author":[{"dropping-particle":"","family":"Loría-Bastarrachea","given":"M. I.","non-dropping-particle":"","parse-names":false,"suffix":""},{"dropping-particle":"","family":"Herrera-Kao","given":"W.","non-dropping-particle":"","parse-names":false,"suffix":""},{"dropping-particle":"V.","family":"Cauich-Rodríguez","given":"J.","non-dropping-particle":"","parse-names":false,"suffix":""},{"dropping-particle":"","family":"Cervantes-Uc","given":"J. M.","non-dropping-particle":"","parse-names":false,"suffix":""},{"dropping-particle":"","family":"Vázquez-Torres","given":"H.","non-dropping-particle":"","parse-names":false,"suffix":""},{"dropping-particle":"","family":"Ávila-Ortega","given":"A.","non-dropping-particle":"","parse-names":false,"suffix":""}],"container-title":"Journal of Thermal Analysis and Calorimetry","id":"ITEM-1","issue":"2","issued":{"date-parts":[["2011"]]},"page":"737-742","title":"A TG/FTIR study on the thermal degradation of poly(vinyl pyrrolidone)","type":"article-journal","volume":"104"},"uris":["http://www.mendeley.com/documents/?uuid=d063122b-0786-4f6b-a1c1-d6f084454b3c","http://www.mendeley.com/documents/?uuid=efe01506-05e6-4442-9e3f-7e259496ded8"]}],"mendeley":{"formattedCitation":"[27]","plainTextFormattedCitation":"[27]","previouslyFormattedCitation":"[35]"},"properties":{"noteIndex":0},"schema":"https://github.com/citation-style-language/schema/raw/master/csl-citation.json"}</w:instrText>
            </w:r>
            <w:r w:rsidRPr="00E06D65">
              <w:rPr>
                <w:rFonts w:ascii="Times New Roman" w:hAnsi="Times New Roman" w:cs="Times New Roman"/>
                <w:b/>
                <w:bCs/>
                <w:sz w:val="20"/>
                <w:szCs w:val="20"/>
              </w:rPr>
              <w:fldChar w:fldCharType="separate"/>
            </w:r>
            <w:r w:rsidRPr="00E06D65">
              <w:rPr>
                <w:rFonts w:ascii="Times New Roman" w:hAnsi="Times New Roman" w:cs="Times New Roman"/>
                <w:bCs/>
                <w:noProof/>
                <w:sz w:val="20"/>
                <w:szCs w:val="20"/>
              </w:rPr>
              <w:t>[27]</w:t>
            </w:r>
            <w:r w:rsidRPr="00E06D65">
              <w:rPr>
                <w:rFonts w:ascii="Times New Roman" w:hAnsi="Times New Roman" w:cs="Times New Roman"/>
                <w:b/>
                <w:bCs/>
                <w:sz w:val="20"/>
                <w:szCs w:val="20"/>
              </w:rPr>
              <w:fldChar w:fldCharType="end"/>
            </w:r>
          </w:p>
        </w:tc>
      </w:tr>
      <w:tr w:rsidR="009809B0" w:rsidRPr="00E06D65" w14:paraId="2BF33E5D" w14:textId="77777777" w:rsidTr="000A2ABC">
        <w:trPr>
          <w:trHeight w:val="350"/>
        </w:trPr>
        <w:tc>
          <w:tcPr>
            <w:tcW w:w="0" w:type="auto"/>
          </w:tcPr>
          <w:p w14:paraId="1DA1C9D9" w14:textId="77777777" w:rsidR="009809B0" w:rsidRPr="00E06D65" w:rsidRDefault="009809B0" w:rsidP="000A2ABC">
            <w:pPr>
              <w:ind w:firstLine="67"/>
              <w:rPr>
                <w:rFonts w:ascii="Times New Roman" w:hAnsi="Times New Roman" w:cs="Times New Roman"/>
                <w:b/>
                <w:bCs/>
                <w:sz w:val="20"/>
                <w:szCs w:val="20"/>
              </w:rPr>
            </w:pPr>
            <w:r w:rsidRPr="00E06D65">
              <w:rPr>
                <w:rFonts w:ascii="Times New Roman" w:hAnsi="Times New Roman" w:cs="Times New Roman"/>
                <w:b/>
                <w:bCs/>
                <w:sz w:val="20"/>
                <w:szCs w:val="20"/>
              </w:rPr>
              <w:t>ERL</w:t>
            </w:r>
          </w:p>
        </w:tc>
        <w:tc>
          <w:tcPr>
            <w:tcW w:w="0" w:type="auto"/>
          </w:tcPr>
          <w:p w14:paraId="62C94C5E" w14:textId="77777777" w:rsidR="009809B0" w:rsidRPr="00E06D65" w:rsidRDefault="009809B0" w:rsidP="000A2ABC">
            <w:pPr>
              <w:rPr>
                <w:rFonts w:ascii="Times New Roman" w:hAnsi="Times New Roman" w:cs="Times New Roman"/>
                <w:b/>
                <w:bCs/>
                <w:sz w:val="20"/>
                <w:szCs w:val="20"/>
              </w:rPr>
            </w:pPr>
            <w:r w:rsidRPr="00E06D65">
              <w:rPr>
                <w:rFonts w:ascii="Times New Roman" w:hAnsi="Times New Roman" w:cs="Times New Roman"/>
                <w:b/>
                <w:bCs/>
                <w:sz w:val="20"/>
                <w:szCs w:val="20"/>
              </w:rPr>
              <w:t>ERL+PEG</w:t>
            </w:r>
          </w:p>
        </w:tc>
        <w:tc>
          <w:tcPr>
            <w:tcW w:w="0" w:type="auto"/>
          </w:tcPr>
          <w:p w14:paraId="5F839760" w14:textId="77777777" w:rsidR="009809B0" w:rsidRPr="00E06D65" w:rsidRDefault="009809B0" w:rsidP="000A2ABC">
            <w:pPr>
              <w:rPr>
                <w:rFonts w:ascii="Times New Roman" w:hAnsi="Times New Roman" w:cs="Times New Roman"/>
                <w:b/>
                <w:bCs/>
                <w:sz w:val="20"/>
                <w:szCs w:val="20"/>
              </w:rPr>
            </w:pPr>
            <w:r w:rsidRPr="00E06D65">
              <w:rPr>
                <w:rFonts w:ascii="Times New Roman" w:hAnsi="Times New Roman" w:cs="Times New Roman"/>
                <w:b/>
                <w:bCs/>
                <w:sz w:val="20"/>
                <w:szCs w:val="20"/>
              </w:rPr>
              <w:t>ERL+PVP</w:t>
            </w:r>
          </w:p>
        </w:tc>
        <w:tc>
          <w:tcPr>
            <w:tcW w:w="0" w:type="auto"/>
          </w:tcPr>
          <w:p w14:paraId="565326EC" w14:textId="77777777" w:rsidR="009809B0" w:rsidRPr="00E06D65" w:rsidRDefault="009809B0" w:rsidP="000A2ABC">
            <w:pPr>
              <w:rPr>
                <w:rFonts w:ascii="Times New Roman" w:hAnsi="Times New Roman" w:cs="Times New Roman"/>
                <w:b/>
                <w:bCs/>
                <w:sz w:val="20"/>
                <w:szCs w:val="20"/>
              </w:rPr>
            </w:pPr>
            <w:r w:rsidRPr="00E06D65">
              <w:rPr>
                <w:rFonts w:ascii="Times New Roman" w:hAnsi="Times New Roman" w:cs="Times New Roman"/>
                <w:b/>
                <w:bCs/>
                <w:sz w:val="20"/>
                <w:szCs w:val="20"/>
              </w:rPr>
              <w:t>ERL+PEG+PVP</w:t>
            </w:r>
          </w:p>
        </w:tc>
        <w:tc>
          <w:tcPr>
            <w:tcW w:w="0" w:type="auto"/>
            <w:vMerge/>
          </w:tcPr>
          <w:p w14:paraId="4F091EE6" w14:textId="77777777" w:rsidR="009809B0" w:rsidRPr="00E06D65" w:rsidRDefault="009809B0" w:rsidP="000A2ABC">
            <w:pPr>
              <w:rPr>
                <w:rFonts w:ascii="Times New Roman" w:hAnsi="Times New Roman" w:cs="Times New Roman"/>
                <w:b/>
                <w:bCs/>
                <w:sz w:val="20"/>
                <w:szCs w:val="20"/>
              </w:rPr>
            </w:pPr>
          </w:p>
        </w:tc>
      </w:tr>
      <w:tr w:rsidR="009809B0" w:rsidRPr="00E06D65" w14:paraId="0D984F7A" w14:textId="77777777" w:rsidTr="000A2ABC">
        <w:tc>
          <w:tcPr>
            <w:tcW w:w="0" w:type="auto"/>
          </w:tcPr>
          <w:p w14:paraId="2DAC4356" w14:textId="77777777" w:rsidR="009809B0" w:rsidRPr="00E06D65" w:rsidRDefault="009809B0" w:rsidP="000A2ABC">
            <w:pPr>
              <w:ind w:firstLine="67"/>
              <w:rPr>
                <w:rFonts w:ascii="Times New Roman" w:hAnsi="Times New Roman" w:cs="Times New Roman"/>
                <w:sz w:val="20"/>
                <w:szCs w:val="20"/>
              </w:rPr>
            </w:pPr>
          </w:p>
        </w:tc>
        <w:tc>
          <w:tcPr>
            <w:tcW w:w="0" w:type="auto"/>
          </w:tcPr>
          <w:p w14:paraId="44A01402"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1721</w:t>
            </w:r>
          </w:p>
        </w:tc>
        <w:tc>
          <w:tcPr>
            <w:tcW w:w="0" w:type="auto"/>
          </w:tcPr>
          <w:p w14:paraId="4C2C5B6E" w14:textId="77777777" w:rsidR="009809B0" w:rsidRPr="00E06D65" w:rsidRDefault="009809B0" w:rsidP="000A2ABC">
            <w:pPr>
              <w:rPr>
                <w:rFonts w:ascii="Times New Roman" w:hAnsi="Times New Roman" w:cs="Times New Roman"/>
                <w:sz w:val="20"/>
                <w:szCs w:val="20"/>
              </w:rPr>
            </w:pPr>
          </w:p>
        </w:tc>
        <w:tc>
          <w:tcPr>
            <w:tcW w:w="0" w:type="auto"/>
          </w:tcPr>
          <w:p w14:paraId="5CBC6878" w14:textId="77777777" w:rsidR="009809B0" w:rsidRPr="00E06D65" w:rsidRDefault="009809B0" w:rsidP="000A2ABC">
            <w:pPr>
              <w:rPr>
                <w:rFonts w:ascii="Times New Roman" w:hAnsi="Times New Roman" w:cs="Times New Roman"/>
                <w:sz w:val="20"/>
                <w:szCs w:val="20"/>
              </w:rPr>
            </w:pPr>
          </w:p>
        </w:tc>
        <w:tc>
          <w:tcPr>
            <w:tcW w:w="0" w:type="auto"/>
          </w:tcPr>
          <w:p w14:paraId="4300B7CF" w14:textId="77777777" w:rsidR="009809B0" w:rsidRPr="00E06D65" w:rsidRDefault="009809B0" w:rsidP="000A2ABC">
            <w:pPr>
              <w:rPr>
                <w:rFonts w:ascii="Times New Roman" w:hAnsi="Times New Roman" w:cs="Times New Roman"/>
                <w:sz w:val="20"/>
                <w:szCs w:val="20"/>
              </w:rPr>
            </w:pPr>
          </w:p>
        </w:tc>
      </w:tr>
      <w:tr w:rsidR="009809B0" w:rsidRPr="00E06D65" w14:paraId="3DA5DD2F" w14:textId="77777777" w:rsidTr="000A2ABC">
        <w:tc>
          <w:tcPr>
            <w:tcW w:w="0" w:type="auto"/>
          </w:tcPr>
          <w:p w14:paraId="272DB58B" w14:textId="77777777" w:rsidR="009809B0" w:rsidRPr="00E06D65" w:rsidRDefault="009809B0" w:rsidP="000A2ABC">
            <w:pPr>
              <w:ind w:firstLine="67"/>
              <w:rPr>
                <w:rFonts w:ascii="Times New Roman" w:hAnsi="Times New Roman" w:cs="Times New Roman"/>
                <w:sz w:val="20"/>
                <w:szCs w:val="20"/>
              </w:rPr>
            </w:pPr>
            <w:r w:rsidRPr="00E06D65">
              <w:rPr>
                <w:rFonts w:ascii="Times New Roman" w:hAnsi="Times New Roman" w:cs="Times New Roman"/>
                <w:sz w:val="20"/>
                <w:szCs w:val="20"/>
              </w:rPr>
              <w:t>1666</w:t>
            </w:r>
          </w:p>
        </w:tc>
        <w:tc>
          <w:tcPr>
            <w:tcW w:w="0" w:type="auto"/>
          </w:tcPr>
          <w:p w14:paraId="1F9A4E25"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1642</w:t>
            </w:r>
          </w:p>
        </w:tc>
        <w:tc>
          <w:tcPr>
            <w:tcW w:w="0" w:type="auto"/>
          </w:tcPr>
          <w:p w14:paraId="7DB4A134"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1648</w:t>
            </w:r>
          </w:p>
        </w:tc>
        <w:tc>
          <w:tcPr>
            <w:tcW w:w="0" w:type="auto"/>
          </w:tcPr>
          <w:p w14:paraId="159937D6"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1658</w:t>
            </w:r>
          </w:p>
        </w:tc>
        <w:tc>
          <w:tcPr>
            <w:tcW w:w="0" w:type="auto"/>
          </w:tcPr>
          <w:p w14:paraId="31FFCE9B"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 xml:space="preserve"> C=O- bending </w:t>
            </w:r>
          </w:p>
        </w:tc>
      </w:tr>
      <w:tr w:rsidR="009809B0" w:rsidRPr="00E06D65" w14:paraId="3FFDEB3C" w14:textId="77777777" w:rsidTr="000A2ABC">
        <w:tc>
          <w:tcPr>
            <w:tcW w:w="0" w:type="auto"/>
          </w:tcPr>
          <w:p w14:paraId="1F233BDA" w14:textId="77777777" w:rsidR="009809B0" w:rsidRPr="00E06D65" w:rsidRDefault="009809B0" w:rsidP="000A2ABC">
            <w:pPr>
              <w:ind w:firstLine="67"/>
              <w:rPr>
                <w:rFonts w:ascii="Times New Roman" w:hAnsi="Times New Roman" w:cs="Times New Roman"/>
                <w:sz w:val="20"/>
                <w:szCs w:val="20"/>
              </w:rPr>
            </w:pPr>
            <w:r w:rsidRPr="00E06D65">
              <w:rPr>
                <w:rFonts w:ascii="Times New Roman" w:hAnsi="Times New Roman" w:cs="Times New Roman"/>
                <w:sz w:val="20"/>
                <w:szCs w:val="20"/>
              </w:rPr>
              <w:t>1603</w:t>
            </w:r>
          </w:p>
        </w:tc>
        <w:tc>
          <w:tcPr>
            <w:tcW w:w="0" w:type="auto"/>
          </w:tcPr>
          <w:p w14:paraId="25BBE3A1" w14:textId="77777777" w:rsidR="009809B0" w:rsidRPr="00E06D65" w:rsidRDefault="009809B0" w:rsidP="000A2ABC">
            <w:pPr>
              <w:rPr>
                <w:rFonts w:ascii="Times New Roman" w:hAnsi="Times New Roman" w:cs="Times New Roman"/>
                <w:sz w:val="20"/>
                <w:szCs w:val="20"/>
              </w:rPr>
            </w:pPr>
          </w:p>
        </w:tc>
        <w:tc>
          <w:tcPr>
            <w:tcW w:w="0" w:type="auto"/>
          </w:tcPr>
          <w:p w14:paraId="34184B44" w14:textId="77777777" w:rsidR="009809B0" w:rsidRPr="00E06D65" w:rsidRDefault="009809B0" w:rsidP="000A2ABC">
            <w:pPr>
              <w:rPr>
                <w:rFonts w:ascii="Times New Roman" w:hAnsi="Times New Roman" w:cs="Times New Roman"/>
                <w:sz w:val="20"/>
                <w:szCs w:val="20"/>
              </w:rPr>
            </w:pPr>
          </w:p>
        </w:tc>
        <w:tc>
          <w:tcPr>
            <w:tcW w:w="0" w:type="auto"/>
          </w:tcPr>
          <w:p w14:paraId="230C36E3" w14:textId="77777777" w:rsidR="009809B0" w:rsidRPr="00E06D65" w:rsidRDefault="009809B0" w:rsidP="000A2ABC">
            <w:pPr>
              <w:rPr>
                <w:rFonts w:ascii="Times New Roman" w:hAnsi="Times New Roman" w:cs="Times New Roman"/>
                <w:sz w:val="20"/>
                <w:szCs w:val="20"/>
              </w:rPr>
            </w:pPr>
          </w:p>
        </w:tc>
        <w:tc>
          <w:tcPr>
            <w:tcW w:w="0" w:type="auto"/>
          </w:tcPr>
          <w:p w14:paraId="26A26B5F"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C=C stretching</w:t>
            </w:r>
          </w:p>
        </w:tc>
      </w:tr>
      <w:tr w:rsidR="009809B0" w:rsidRPr="00E06D65" w14:paraId="0AC9C930" w14:textId="77777777" w:rsidTr="000A2ABC">
        <w:tc>
          <w:tcPr>
            <w:tcW w:w="0" w:type="auto"/>
          </w:tcPr>
          <w:p w14:paraId="0B3640D4" w14:textId="77777777" w:rsidR="009809B0" w:rsidRPr="00E06D65" w:rsidRDefault="009809B0" w:rsidP="000A2ABC">
            <w:pPr>
              <w:ind w:firstLine="67"/>
              <w:rPr>
                <w:rFonts w:ascii="Times New Roman" w:hAnsi="Times New Roman" w:cs="Times New Roman"/>
                <w:sz w:val="20"/>
                <w:szCs w:val="20"/>
              </w:rPr>
            </w:pPr>
            <w:r w:rsidRPr="00E06D65">
              <w:rPr>
                <w:rFonts w:ascii="Times New Roman" w:hAnsi="Times New Roman" w:cs="Times New Roman"/>
                <w:sz w:val="20"/>
                <w:szCs w:val="20"/>
              </w:rPr>
              <w:t>1539</w:t>
            </w:r>
          </w:p>
        </w:tc>
        <w:tc>
          <w:tcPr>
            <w:tcW w:w="0" w:type="auto"/>
          </w:tcPr>
          <w:p w14:paraId="3B61CB4D" w14:textId="77777777" w:rsidR="009809B0" w:rsidRPr="00E06D65" w:rsidRDefault="009809B0" w:rsidP="000A2ABC">
            <w:pPr>
              <w:rPr>
                <w:rFonts w:ascii="Times New Roman" w:hAnsi="Times New Roman" w:cs="Times New Roman"/>
                <w:sz w:val="20"/>
                <w:szCs w:val="20"/>
              </w:rPr>
            </w:pPr>
          </w:p>
        </w:tc>
        <w:tc>
          <w:tcPr>
            <w:tcW w:w="0" w:type="auto"/>
          </w:tcPr>
          <w:p w14:paraId="31C10AFC" w14:textId="77777777" w:rsidR="009809B0" w:rsidRPr="00E06D65" w:rsidRDefault="009809B0" w:rsidP="000A2ABC">
            <w:pPr>
              <w:rPr>
                <w:rFonts w:ascii="Times New Roman" w:hAnsi="Times New Roman" w:cs="Times New Roman"/>
                <w:sz w:val="20"/>
                <w:szCs w:val="20"/>
              </w:rPr>
            </w:pPr>
          </w:p>
        </w:tc>
        <w:tc>
          <w:tcPr>
            <w:tcW w:w="0" w:type="auto"/>
          </w:tcPr>
          <w:p w14:paraId="55CF405C" w14:textId="77777777" w:rsidR="009809B0" w:rsidRPr="00E06D65" w:rsidRDefault="009809B0" w:rsidP="000A2ABC">
            <w:pPr>
              <w:rPr>
                <w:rFonts w:ascii="Times New Roman" w:hAnsi="Times New Roman" w:cs="Times New Roman"/>
                <w:sz w:val="20"/>
                <w:szCs w:val="20"/>
              </w:rPr>
            </w:pPr>
          </w:p>
        </w:tc>
        <w:tc>
          <w:tcPr>
            <w:tcW w:w="0" w:type="auto"/>
          </w:tcPr>
          <w:p w14:paraId="0AE4E8F6"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C=N stretching</w:t>
            </w:r>
          </w:p>
        </w:tc>
      </w:tr>
      <w:tr w:rsidR="009809B0" w:rsidRPr="00E06D65" w14:paraId="05FFD510" w14:textId="77777777" w:rsidTr="000A2ABC">
        <w:tc>
          <w:tcPr>
            <w:tcW w:w="0" w:type="auto"/>
          </w:tcPr>
          <w:p w14:paraId="7A37E32B" w14:textId="77777777" w:rsidR="009809B0" w:rsidRPr="00E06D65" w:rsidRDefault="009809B0" w:rsidP="000A2ABC">
            <w:pPr>
              <w:ind w:firstLine="67"/>
              <w:rPr>
                <w:rFonts w:ascii="Times New Roman" w:hAnsi="Times New Roman" w:cs="Times New Roman"/>
                <w:sz w:val="20"/>
                <w:szCs w:val="20"/>
              </w:rPr>
            </w:pPr>
            <w:r w:rsidRPr="00E06D65">
              <w:rPr>
                <w:rFonts w:ascii="Times New Roman" w:hAnsi="Times New Roman" w:cs="Times New Roman"/>
                <w:sz w:val="20"/>
                <w:szCs w:val="20"/>
              </w:rPr>
              <w:t>1479</w:t>
            </w:r>
          </w:p>
        </w:tc>
        <w:tc>
          <w:tcPr>
            <w:tcW w:w="0" w:type="auto"/>
          </w:tcPr>
          <w:p w14:paraId="4D12D352"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1470</w:t>
            </w:r>
          </w:p>
        </w:tc>
        <w:tc>
          <w:tcPr>
            <w:tcW w:w="0" w:type="auto"/>
          </w:tcPr>
          <w:p w14:paraId="6641BD70"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1467</w:t>
            </w:r>
          </w:p>
        </w:tc>
        <w:tc>
          <w:tcPr>
            <w:tcW w:w="0" w:type="auto"/>
          </w:tcPr>
          <w:p w14:paraId="030D6AED"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1464</w:t>
            </w:r>
          </w:p>
        </w:tc>
        <w:tc>
          <w:tcPr>
            <w:tcW w:w="0" w:type="auto"/>
          </w:tcPr>
          <w:p w14:paraId="34CBB587"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CH</w:t>
            </w:r>
            <w:r w:rsidRPr="00E06D65">
              <w:rPr>
                <w:rFonts w:ascii="Times New Roman" w:hAnsi="Times New Roman" w:cs="Times New Roman"/>
                <w:sz w:val="20"/>
                <w:szCs w:val="20"/>
                <w:vertAlign w:val="subscript"/>
              </w:rPr>
              <w:t>2</w:t>
            </w:r>
            <w:r w:rsidRPr="00E06D65">
              <w:rPr>
                <w:rFonts w:ascii="Times New Roman" w:hAnsi="Times New Roman" w:cs="Times New Roman"/>
                <w:sz w:val="20"/>
                <w:szCs w:val="20"/>
              </w:rPr>
              <w:t> sym. deformation vibration</w:t>
            </w:r>
          </w:p>
        </w:tc>
      </w:tr>
      <w:tr w:rsidR="009809B0" w:rsidRPr="00E06D65" w14:paraId="5EBE860B" w14:textId="77777777" w:rsidTr="000A2ABC">
        <w:tc>
          <w:tcPr>
            <w:tcW w:w="0" w:type="auto"/>
          </w:tcPr>
          <w:p w14:paraId="429D8933" w14:textId="77777777" w:rsidR="009809B0" w:rsidRPr="00E06D65" w:rsidRDefault="009809B0" w:rsidP="000A2ABC">
            <w:pPr>
              <w:ind w:firstLine="67"/>
              <w:rPr>
                <w:rFonts w:ascii="Times New Roman" w:hAnsi="Times New Roman" w:cs="Times New Roman"/>
                <w:sz w:val="20"/>
                <w:szCs w:val="20"/>
              </w:rPr>
            </w:pPr>
            <w:r w:rsidRPr="00E06D65">
              <w:rPr>
                <w:rFonts w:ascii="Times New Roman" w:hAnsi="Times New Roman" w:cs="Times New Roman"/>
                <w:sz w:val="20"/>
                <w:szCs w:val="20"/>
              </w:rPr>
              <w:t>1386</w:t>
            </w:r>
          </w:p>
        </w:tc>
        <w:tc>
          <w:tcPr>
            <w:tcW w:w="0" w:type="auto"/>
          </w:tcPr>
          <w:p w14:paraId="30A540D2"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1346</w:t>
            </w:r>
          </w:p>
        </w:tc>
        <w:tc>
          <w:tcPr>
            <w:tcW w:w="0" w:type="auto"/>
          </w:tcPr>
          <w:p w14:paraId="4EB48337"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1346</w:t>
            </w:r>
          </w:p>
        </w:tc>
        <w:tc>
          <w:tcPr>
            <w:tcW w:w="0" w:type="auto"/>
          </w:tcPr>
          <w:p w14:paraId="7E1AC764"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1349</w:t>
            </w:r>
          </w:p>
        </w:tc>
        <w:tc>
          <w:tcPr>
            <w:tcW w:w="0" w:type="auto"/>
          </w:tcPr>
          <w:p w14:paraId="6460558A"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C-H sym. deformation vibration</w:t>
            </w:r>
          </w:p>
        </w:tc>
      </w:tr>
      <w:tr w:rsidR="009809B0" w:rsidRPr="00E06D65" w14:paraId="2285D47E" w14:textId="77777777" w:rsidTr="000A2ABC">
        <w:tc>
          <w:tcPr>
            <w:tcW w:w="0" w:type="auto"/>
          </w:tcPr>
          <w:p w14:paraId="4E2937F3" w14:textId="77777777" w:rsidR="009809B0" w:rsidRPr="00E06D65" w:rsidRDefault="009809B0" w:rsidP="000A2ABC">
            <w:pPr>
              <w:ind w:firstLine="67"/>
              <w:rPr>
                <w:rFonts w:ascii="Times New Roman" w:hAnsi="Times New Roman" w:cs="Times New Roman"/>
                <w:sz w:val="20"/>
                <w:szCs w:val="20"/>
              </w:rPr>
            </w:pPr>
            <w:r w:rsidRPr="00E06D65">
              <w:rPr>
                <w:rFonts w:ascii="Times New Roman" w:hAnsi="Times New Roman" w:cs="Times New Roman"/>
                <w:sz w:val="20"/>
                <w:szCs w:val="20"/>
              </w:rPr>
              <w:t>1301</w:t>
            </w:r>
          </w:p>
        </w:tc>
        <w:tc>
          <w:tcPr>
            <w:tcW w:w="0" w:type="auto"/>
          </w:tcPr>
          <w:p w14:paraId="1E544AF5"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1279</w:t>
            </w:r>
          </w:p>
        </w:tc>
        <w:tc>
          <w:tcPr>
            <w:tcW w:w="0" w:type="auto"/>
          </w:tcPr>
          <w:p w14:paraId="22CC5F24"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1282</w:t>
            </w:r>
          </w:p>
        </w:tc>
        <w:tc>
          <w:tcPr>
            <w:tcW w:w="0" w:type="auto"/>
          </w:tcPr>
          <w:p w14:paraId="156A9C28"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1288</w:t>
            </w:r>
          </w:p>
        </w:tc>
        <w:tc>
          <w:tcPr>
            <w:tcW w:w="0" w:type="auto"/>
          </w:tcPr>
          <w:p w14:paraId="35F56739"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NCO stretching vibration</w:t>
            </w:r>
          </w:p>
        </w:tc>
      </w:tr>
      <w:tr w:rsidR="009809B0" w:rsidRPr="00E06D65" w14:paraId="210C938C" w14:textId="77777777" w:rsidTr="000A2ABC">
        <w:tc>
          <w:tcPr>
            <w:tcW w:w="0" w:type="auto"/>
          </w:tcPr>
          <w:p w14:paraId="0335B700" w14:textId="77777777" w:rsidR="009809B0" w:rsidRPr="00E06D65" w:rsidRDefault="009809B0" w:rsidP="000A2ABC">
            <w:pPr>
              <w:ind w:firstLine="67"/>
              <w:rPr>
                <w:rFonts w:ascii="Times New Roman" w:hAnsi="Times New Roman" w:cs="Times New Roman"/>
                <w:sz w:val="20"/>
                <w:szCs w:val="20"/>
              </w:rPr>
            </w:pPr>
            <w:r w:rsidRPr="00E06D65">
              <w:rPr>
                <w:rFonts w:ascii="Times New Roman" w:hAnsi="Times New Roman" w:cs="Times New Roman"/>
                <w:sz w:val="20"/>
                <w:szCs w:val="20"/>
              </w:rPr>
              <w:t>1183</w:t>
            </w:r>
          </w:p>
        </w:tc>
        <w:tc>
          <w:tcPr>
            <w:tcW w:w="0" w:type="auto"/>
          </w:tcPr>
          <w:p w14:paraId="3EBA2A94"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1252</w:t>
            </w:r>
          </w:p>
        </w:tc>
        <w:tc>
          <w:tcPr>
            <w:tcW w:w="0" w:type="auto"/>
          </w:tcPr>
          <w:p w14:paraId="070056B9"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1237</w:t>
            </w:r>
          </w:p>
        </w:tc>
        <w:tc>
          <w:tcPr>
            <w:tcW w:w="0" w:type="auto"/>
          </w:tcPr>
          <w:p w14:paraId="330BB15A"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1243</w:t>
            </w:r>
          </w:p>
        </w:tc>
        <w:tc>
          <w:tcPr>
            <w:tcW w:w="0" w:type="auto"/>
          </w:tcPr>
          <w:p w14:paraId="629FA1BC"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color w:val="000000"/>
                <w:sz w:val="20"/>
                <w:szCs w:val="20"/>
              </w:rPr>
              <w:t>C-N stretching vibrations</w:t>
            </w:r>
          </w:p>
        </w:tc>
      </w:tr>
      <w:tr w:rsidR="009809B0" w:rsidRPr="00E06D65" w14:paraId="6087A87D" w14:textId="77777777" w:rsidTr="000A2ABC">
        <w:tc>
          <w:tcPr>
            <w:tcW w:w="0" w:type="auto"/>
          </w:tcPr>
          <w:p w14:paraId="7A852B10" w14:textId="77777777" w:rsidR="009809B0" w:rsidRPr="00E06D65" w:rsidRDefault="009809B0" w:rsidP="000A2ABC">
            <w:pPr>
              <w:ind w:firstLine="67"/>
              <w:rPr>
                <w:rFonts w:ascii="Times New Roman" w:hAnsi="Times New Roman" w:cs="Times New Roman"/>
                <w:sz w:val="20"/>
                <w:szCs w:val="20"/>
              </w:rPr>
            </w:pPr>
            <w:r w:rsidRPr="00E06D65">
              <w:rPr>
                <w:rFonts w:ascii="Times New Roman" w:hAnsi="Times New Roman" w:cs="Times New Roman"/>
                <w:sz w:val="20"/>
                <w:szCs w:val="20"/>
              </w:rPr>
              <w:t>1146</w:t>
            </w:r>
          </w:p>
        </w:tc>
        <w:tc>
          <w:tcPr>
            <w:tcW w:w="0" w:type="auto"/>
          </w:tcPr>
          <w:p w14:paraId="61D1F068"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1107</w:t>
            </w:r>
          </w:p>
        </w:tc>
        <w:tc>
          <w:tcPr>
            <w:tcW w:w="0" w:type="auto"/>
          </w:tcPr>
          <w:p w14:paraId="4E00BFB0"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1110</w:t>
            </w:r>
          </w:p>
        </w:tc>
        <w:tc>
          <w:tcPr>
            <w:tcW w:w="0" w:type="auto"/>
          </w:tcPr>
          <w:p w14:paraId="0DC6B116"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1116</w:t>
            </w:r>
          </w:p>
        </w:tc>
        <w:tc>
          <w:tcPr>
            <w:tcW w:w="0" w:type="auto"/>
          </w:tcPr>
          <w:p w14:paraId="1A844CEC"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color w:val="000000"/>
                <w:sz w:val="20"/>
                <w:szCs w:val="20"/>
              </w:rPr>
              <w:t>COCN stretching vibration</w:t>
            </w:r>
          </w:p>
        </w:tc>
      </w:tr>
      <w:tr w:rsidR="009809B0" w:rsidRPr="00E06D65" w14:paraId="7F07F2AD" w14:textId="77777777" w:rsidTr="000A2ABC">
        <w:tc>
          <w:tcPr>
            <w:tcW w:w="0" w:type="auto"/>
          </w:tcPr>
          <w:p w14:paraId="4F57AA70" w14:textId="77777777" w:rsidR="009809B0" w:rsidRPr="00E06D65" w:rsidRDefault="009809B0" w:rsidP="000A2ABC">
            <w:pPr>
              <w:ind w:firstLine="67"/>
              <w:rPr>
                <w:rFonts w:ascii="Times New Roman" w:hAnsi="Times New Roman" w:cs="Times New Roman"/>
                <w:sz w:val="20"/>
                <w:szCs w:val="20"/>
              </w:rPr>
            </w:pPr>
            <w:r w:rsidRPr="00E06D65">
              <w:rPr>
                <w:rFonts w:ascii="Times New Roman" w:hAnsi="Times New Roman" w:cs="Times New Roman"/>
                <w:sz w:val="20"/>
                <w:szCs w:val="20"/>
              </w:rPr>
              <w:t>1086</w:t>
            </w:r>
          </w:p>
        </w:tc>
        <w:tc>
          <w:tcPr>
            <w:tcW w:w="0" w:type="auto"/>
          </w:tcPr>
          <w:p w14:paraId="71325B28" w14:textId="77777777" w:rsidR="009809B0" w:rsidRPr="00E06D65" w:rsidRDefault="009809B0" w:rsidP="000A2ABC">
            <w:pPr>
              <w:rPr>
                <w:rFonts w:ascii="Times New Roman" w:hAnsi="Times New Roman" w:cs="Times New Roman"/>
                <w:sz w:val="20"/>
                <w:szCs w:val="20"/>
              </w:rPr>
            </w:pPr>
          </w:p>
        </w:tc>
        <w:tc>
          <w:tcPr>
            <w:tcW w:w="0" w:type="auto"/>
          </w:tcPr>
          <w:p w14:paraId="33E010E2" w14:textId="77777777" w:rsidR="009809B0" w:rsidRPr="00E06D65" w:rsidRDefault="009809B0" w:rsidP="000A2ABC">
            <w:pPr>
              <w:rPr>
                <w:rFonts w:ascii="Times New Roman" w:hAnsi="Times New Roman" w:cs="Times New Roman"/>
                <w:sz w:val="20"/>
                <w:szCs w:val="20"/>
              </w:rPr>
            </w:pPr>
          </w:p>
        </w:tc>
        <w:tc>
          <w:tcPr>
            <w:tcW w:w="0" w:type="auto"/>
          </w:tcPr>
          <w:p w14:paraId="35F4719D" w14:textId="77777777" w:rsidR="009809B0" w:rsidRPr="00E06D65" w:rsidRDefault="009809B0" w:rsidP="000A2ABC">
            <w:pPr>
              <w:rPr>
                <w:rFonts w:ascii="Times New Roman" w:hAnsi="Times New Roman" w:cs="Times New Roman"/>
                <w:sz w:val="20"/>
                <w:szCs w:val="20"/>
              </w:rPr>
            </w:pPr>
          </w:p>
        </w:tc>
        <w:tc>
          <w:tcPr>
            <w:tcW w:w="0" w:type="auto"/>
          </w:tcPr>
          <w:p w14:paraId="7DB760C2"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-COCN stretching vibration</w:t>
            </w:r>
          </w:p>
        </w:tc>
      </w:tr>
      <w:tr w:rsidR="009809B0" w:rsidRPr="00E06D65" w14:paraId="178085CB" w14:textId="77777777" w:rsidTr="000A2ABC">
        <w:tc>
          <w:tcPr>
            <w:tcW w:w="0" w:type="auto"/>
          </w:tcPr>
          <w:p w14:paraId="6EF5CEF5" w14:textId="77777777" w:rsidR="009809B0" w:rsidRPr="00E06D65" w:rsidRDefault="009809B0" w:rsidP="000A2ABC">
            <w:pPr>
              <w:ind w:firstLine="67"/>
              <w:rPr>
                <w:rFonts w:ascii="Times New Roman" w:hAnsi="Times New Roman" w:cs="Times New Roman"/>
                <w:sz w:val="20"/>
                <w:szCs w:val="20"/>
              </w:rPr>
            </w:pPr>
            <w:r w:rsidRPr="00E06D65">
              <w:rPr>
                <w:rFonts w:ascii="Times New Roman" w:hAnsi="Times New Roman" w:cs="Times New Roman"/>
                <w:sz w:val="20"/>
                <w:szCs w:val="20"/>
              </w:rPr>
              <w:t>1035</w:t>
            </w:r>
          </w:p>
        </w:tc>
        <w:tc>
          <w:tcPr>
            <w:tcW w:w="0" w:type="auto"/>
          </w:tcPr>
          <w:p w14:paraId="67116D6F" w14:textId="77777777" w:rsidR="009809B0" w:rsidRPr="00E06D65" w:rsidRDefault="009809B0" w:rsidP="000A2ABC">
            <w:pPr>
              <w:rPr>
                <w:rFonts w:ascii="Times New Roman" w:hAnsi="Times New Roman" w:cs="Times New Roman"/>
                <w:sz w:val="20"/>
                <w:szCs w:val="20"/>
              </w:rPr>
            </w:pPr>
          </w:p>
        </w:tc>
        <w:tc>
          <w:tcPr>
            <w:tcW w:w="0" w:type="auto"/>
          </w:tcPr>
          <w:p w14:paraId="22A032D6" w14:textId="77777777" w:rsidR="009809B0" w:rsidRPr="00E06D65" w:rsidRDefault="009809B0" w:rsidP="000A2ABC">
            <w:pPr>
              <w:rPr>
                <w:rFonts w:ascii="Times New Roman" w:hAnsi="Times New Roman" w:cs="Times New Roman"/>
                <w:sz w:val="20"/>
                <w:szCs w:val="20"/>
              </w:rPr>
            </w:pPr>
          </w:p>
        </w:tc>
        <w:tc>
          <w:tcPr>
            <w:tcW w:w="0" w:type="auto"/>
          </w:tcPr>
          <w:p w14:paraId="76CB0AB7" w14:textId="77777777" w:rsidR="009809B0" w:rsidRPr="00E06D65" w:rsidRDefault="009809B0" w:rsidP="000A2ABC">
            <w:pPr>
              <w:rPr>
                <w:rFonts w:ascii="Times New Roman" w:hAnsi="Times New Roman" w:cs="Times New Roman"/>
                <w:sz w:val="20"/>
                <w:szCs w:val="20"/>
              </w:rPr>
            </w:pPr>
          </w:p>
        </w:tc>
        <w:tc>
          <w:tcPr>
            <w:tcW w:w="0" w:type="auto"/>
          </w:tcPr>
          <w:p w14:paraId="6666F98D"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C=O stretching</w:t>
            </w:r>
          </w:p>
        </w:tc>
      </w:tr>
      <w:tr w:rsidR="009809B0" w:rsidRPr="00E06D65" w14:paraId="14CC5A41" w14:textId="77777777" w:rsidTr="000A2ABC">
        <w:tc>
          <w:tcPr>
            <w:tcW w:w="0" w:type="auto"/>
          </w:tcPr>
          <w:p w14:paraId="389981FB" w14:textId="77777777" w:rsidR="009809B0" w:rsidRPr="00E06D65" w:rsidRDefault="009809B0" w:rsidP="000A2ABC">
            <w:pPr>
              <w:ind w:firstLine="67"/>
              <w:rPr>
                <w:rFonts w:ascii="Times New Roman" w:hAnsi="Times New Roman" w:cs="Times New Roman"/>
                <w:sz w:val="20"/>
                <w:szCs w:val="20"/>
              </w:rPr>
            </w:pPr>
            <w:r w:rsidRPr="00E06D65">
              <w:rPr>
                <w:rFonts w:ascii="Times New Roman" w:hAnsi="Times New Roman" w:cs="Times New Roman"/>
                <w:sz w:val="20"/>
                <w:szCs w:val="20"/>
              </w:rPr>
              <w:t>947</w:t>
            </w:r>
          </w:p>
        </w:tc>
        <w:tc>
          <w:tcPr>
            <w:tcW w:w="0" w:type="auto"/>
          </w:tcPr>
          <w:p w14:paraId="741C4DBA"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949</w:t>
            </w:r>
          </w:p>
        </w:tc>
        <w:tc>
          <w:tcPr>
            <w:tcW w:w="0" w:type="auto"/>
          </w:tcPr>
          <w:p w14:paraId="7CDEC6B6"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955</w:t>
            </w:r>
          </w:p>
        </w:tc>
        <w:tc>
          <w:tcPr>
            <w:tcW w:w="0" w:type="auto"/>
          </w:tcPr>
          <w:p w14:paraId="097A34EC"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967</w:t>
            </w:r>
          </w:p>
        </w:tc>
        <w:tc>
          <w:tcPr>
            <w:tcW w:w="0" w:type="auto"/>
          </w:tcPr>
          <w:p w14:paraId="304CFE81"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C-H out-of-plane deformation vibration</w:t>
            </w:r>
          </w:p>
        </w:tc>
      </w:tr>
      <w:tr w:rsidR="009809B0" w:rsidRPr="00E06D65" w14:paraId="2C83B74D" w14:textId="77777777" w:rsidTr="000A2ABC">
        <w:tc>
          <w:tcPr>
            <w:tcW w:w="0" w:type="auto"/>
          </w:tcPr>
          <w:p w14:paraId="7EAF3CB6" w14:textId="77777777" w:rsidR="009809B0" w:rsidRPr="00E06D65" w:rsidRDefault="009809B0" w:rsidP="000A2ABC">
            <w:pPr>
              <w:ind w:firstLine="67"/>
              <w:rPr>
                <w:rFonts w:ascii="Times New Roman" w:hAnsi="Times New Roman" w:cs="Times New Roman"/>
                <w:sz w:val="20"/>
                <w:szCs w:val="20"/>
              </w:rPr>
            </w:pPr>
            <w:r w:rsidRPr="00E06D65">
              <w:rPr>
                <w:rFonts w:ascii="Times New Roman" w:hAnsi="Times New Roman" w:cs="Times New Roman"/>
                <w:sz w:val="20"/>
                <w:szCs w:val="20"/>
              </w:rPr>
              <w:t>893</w:t>
            </w:r>
          </w:p>
        </w:tc>
        <w:tc>
          <w:tcPr>
            <w:tcW w:w="0" w:type="auto"/>
          </w:tcPr>
          <w:p w14:paraId="23B90ECD"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840</w:t>
            </w:r>
          </w:p>
        </w:tc>
        <w:tc>
          <w:tcPr>
            <w:tcW w:w="0" w:type="auto"/>
          </w:tcPr>
          <w:p w14:paraId="0D798B8B"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840</w:t>
            </w:r>
          </w:p>
        </w:tc>
        <w:tc>
          <w:tcPr>
            <w:tcW w:w="0" w:type="auto"/>
          </w:tcPr>
          <w:p w14:paraId="0AEB0866"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840</w:t>
            </w:r>
          </w:p>
        </w:tc>
        <w:tc>
          <w:tcPr>
            <w:tcW w:w="0" w:type="auto"/>
          </w:tcPr>
          <w:p w14:paraId="75ADEDAB"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C-C skeleton vibration</w:t>
            </w:r>
          </w:p>
        </w:tc>
      </w:tr>
      <w:tr w:rsidR="009809B0" w:rsidRPr="00E06D65" w14:paraId="7C324D2D" w14:textId="77777777" w:rsidTr="000A2ABC">
        <w:tc>
          <w:tcPr>
            <w:tcW w:w="0" w:type="auto"/>
          </w:tcPr>
          <w:p w14:paraId="541BDA51" w14:textId="77777777" w:rsidR="009809B0" w:rsidRPr="00E06D65" w:rsidRDefault="009809B0" w:rsidP="000A2ABC">
            <w:pPr>
              <w:ind w:firstLine="67"/>
              <w:rPr>
                <w:rFonts w:ascii="Times New Roman" w:hAnsi="Times New Roman" w:cs="Times New Roman"/>
                <w:sz w:val="20"/>
                <w:szCs w:val="20"/>
              </w:rPr>
            </w:pPr>
            <w:r w:rsidRPr="00E06D65">
              <w:rPr>
                <w:rFonts w:ascii="Times New Roman" w:hAnsi="Times New Roman" w:cs="Times New Roman"/>
                <w:sz w:val="20"/>
                <w:szCs w:val="20"/>
              </w:rPr>
              <w:t>793</w:t>
            </w:r>
          </w:p>
        </w:tc>
        <w:tc>
          <w:tcPr>
            <w:tcW w:w="0" w:type="auto"/>
          </w:tcPr>
          <w:p w14:paraId="4B932AFE" w14:textId="77777777" w:rsidR="009809B0" w:rsidRPr="00E06D65" w:rsidRDefault="009809B0" w:rsidP="000A2ABC">
            <w:pPr>
              <w:rPr>
                <w:rFonts w:ascii="Times New Roman" w:hAnsi="Times New Roman" w:cs="Times New Roman"/>
                <w:sz w:val="20"/>
                <w:szCs w:val="20"/>
              </w:rPr>
            </w:pPr>
          </w:p>
        </w:tc>
        <w:tc>
          <w:tcPr>
            <w:tcW w:w="0" w:type="auto"/>
          </w:tcPr>
          <w:p w14:paraId="67E53CBF" w14:textId="77777777" w:rsidR="009809B0" w:rsidRPr="00E06D65" w:rsidRDefault="009809B0" w:rsidP="000A2ABC">
            <w:pPr>
              <w:rPr>
                <w:rFonts w:ascii="Times New Roman" w:hAnsi="Times New Roman" w:cs="Times New Roman"/>
                <w:sz w:val="20"/>
                <w:szCs w:val="20"/>
              </w:rPr>
            </w:pPr>
          </w:p>
        </w:tc>
        <w:tc>
          <w:tcPr>
            <w:tcW w:w="0" w:type="auto"/>
          </w:tcPr>
          <w:p w14:paraId="6058497F"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753</w:t>
            </w:r>
          </w:p>
        </w:tc>
        <w:tc>
          <w:tcPr>
            <w:tcW w:w="0" w:type="auto"/>
          </w:tcPr>
          <w:p w14:paraId="36086C5F"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C-O-C stretching vibration</w:t>
            </w:r>
          </w:p>
        </w:tc>
      </w:tr>
      <w:tr w:rsidR="009809B0" w:rsidRPr="00E06D65" w14:paraId="0A713FC0" w14:textId="77777777" w:rsidTr="000A2ABC">
        <w:tc>
          <w:tcPr>
            <w:tcW w:w="0" w:type="auto"/>
          </w:tcPr>
          <w:p w14:paraId="30C7C14B" w14:textId="77777777" w:rsidR="009809B0" w:rsidRPr="00E06D65" w:rsidRDefault="009809B0" w:rsidP="000A2ABC">
            <w:pPr>
              <w:ind w:firstLine="67"/>
              <w:rPr>
                <w:rFonts w:ascii="Times New Roman" w:hAnsi="Times New Roman" w:cs="Times New Roman"/>
                <w:sz w:val="20"/>
                <w:szCs w:val="20"/>
              </w:rPr>
            </w:pPr>
            <w:r w:rsidRPr="00E06D65">
              <w:rPr>
                <w:rFonts w:ascii="Times New Roman" w:hAnsi="Times New Roman" w:cs="Times New Roman"/>
                <w:sz w:val="20"/>
                <w:szCs w:val="20"/>
              </w:rPr>
              <w:t>709</w:t>
            </w:r>
          </w:p>
        </w:tc>
        <w:tc>
          <w:tcPr>
            <w:tcW w:w="0" w:type="auto"/>
          </w:tcPr>
          <w:p w14:paraId="7A4F1D27" w14:textId="77777777" w:rsidR="009809B0" w:rsidRPr="00E06D65" w:rsidRDefault="009809B0" w:rsidP="000A2ABC">
            <w:pPr>
              <w:rPr>
                <w:rFonts w:ascii="Times New Roman" w:hAnsi="Times New Roman" w:cs="Times New Roman"/>
                <w:sz w:val="20"/>
                <w:szCs w:val="20"/>
              </w:rPr>
            </w:pPr>
          </w:p>
        </w:tc>
        <w:tc>
          <w:tcPr>
            <w:tcW w:w="0" w:type="auto"/>
          </w:tcPr>
          <w:p w14:paraId="481E693D" w14:textId="77777777" w:rsidR="009809B0" w:rsidRPr="00E06D65" w:rsidRDefault="009809B0" w:rsidP="000A2ABC">
            <w:pPr>
              <w:rPr>
                <w:rFonts w:ascii="Times New Roman" w:hAnsi="Times New Roman" w:cs="Times New Roman"/>
                <w:sz w:val="20"/>
                <w:szCs w:val="20"/>
              </w:rPr>
            </w:pPr>
          </w:p>
        </w:tc>
        <w:tc>
          <w:tcPr>
            <w:tcW w:w="0" w:type="auto"/>
          </w:tcPr>
          <w:p w14:paraId="51B81D9B" w14:textId="77777777" w:rsidR="009809B0" w:rsidRPr="00E06D65" w:rsidRDefault="009809B0" w:rsidP="000A2ABC">
            <w:pPr>
              <w:rPr>
                <w:rFonts w:ascii="Times New Roman" w:hAnsi="Times New Roman" w:cs="Times New Roman"/>
                <w:sz w:val="20"/>
                <w:szCs w:val="20"/>
              </w:rPr>
            </w:pPr>
          </w:p>
        </w:tc>
        <w:tc>
          <w:tcPr>
            <w:tcW w:w="0" w:type="auto"/>
          </w:tcPr>
          <w:p w14:paraId="1F5491FC"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N-H deformation vibrations</w:t>
            </w:r>
          </w:p>
        </w:tc>
      </w:tr>
      <w:tr w:rsidR="009809B0" w:rsidRPr="00E06D65" w14:paraId="5DCCF9C3" w14:textId="77777777" w:rsidTr="000A2ABC">
        <w:tc>
          <w:tcPr>
            <w:tcW w:w="0" w:type="auto"/>
          </w:tcPr>
          <w:p w14:paraId="35A75C00" w14:textId="77777777" w:rsidR="009809B0" w:rsidRPr="00E06D65" w:rsidRDefault="009809B0" w:rsidP="000A2ABC">
            <w:pPr>
              <w:ind w:firstLine="67"/>
              <w:rPr>
                <w:rFonts w:ascii="Times New Roman" w:hAnsi="Times New Roman" w:cs="Times New Roman"/>
                <w:sz w:val="20"/>
                <w:szCs w:val="20"/>
              </w:rPr>
            </w:pPr>
            <w:r w:rsidRPr="00E06D65">
              <w:rPr>
                <w:rFonts w:ascii="Times New Roman" w:hAnsi="Times New Roman" w:cs="Times New Roman"/>
                <w:sz w:val="20"/>
                <w:szCs w:val="20"/>
              </w:rPr>
              <w:t>679</w:t>
            </w:r>
          </w:p>
        </w:tc>
        <w:tc>
          <w:tcPr>
            <w:tcW w:w="0" w:type="auto"/>
          </w:tcPr>
          <w:p w14:paraId="70814F21" w14:textId="77777777" w:rsidR="009809B0" w:rsidRPr="00E06D65" w:rsidRDefault="009809B0" w:rsidP="000A2ABC">
            <w:pPr>
              <w:rPr>
                <w:rFonts w:ascii="Times New Roman" w:hAnsi="Times New Roman" w:cs="Times New Roman"/>
                <w:sz w:val="20"/>
                <w:szCs w:val="20"/>
              </w:rPr>
            </w:pPr>
          </w:p>
        </w:tc>
        <w:tc>
          <w:tcPr>
            <w:tcW w:w="0" w:type="auto"/>
          </w:tcPr>
          <w:p w14:paraId="2BC58ABE" w14:textId="77777777" w:rsidR="009809B0" w:rsidRPr="00E06D65" w:rsidRDefault="009809B0" w:rsidP="000A2ABC">
            <w:pPr>
              <w:rPr>
                <w:rFonts w:ascii="Times New Roman" w:hAnsi="Times New Roman" w:cs="Times New Roman"/>
                <w:sz w:val="20"/>
                <w:szCs w:val="20"/>
              </w:rPr>
            </w:pPr>
          </w:p>
        </w:tc>
        <w:tc>
          <w:tcPr>
            <w:tcW w:w="0" w:type="auto"/>
          </w:tcPr>
          <w:p w14:paraId="54686846"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653</w:t>
            </w:r>
          </w:p>
        </w:tc>
        <w:tc>
          <w:tcPr>
            <w:tcW w:w="0" w:type="auto"/>
          </w:tcPr>
          <w:p w14:paraId="447529AF"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N-H out-of-plane bending vibrations</w:t>
            </w:r>
          </w:p>
        </w:tc>
      </w:tr>
      <w:tr w:rsidR="009809B0" w:rsidRPr="00E06D65" w14:paraId="69C1C128" w14:textId="77777777" w:rsidTr="000A2ABC">
        <w:tc>
          <w:tcPr>
            <w:tcW w:w="0" w:type="auto"/>
          </w:tcPr>
          <w:p w14:paraId="1B9689DB" w14:textId="77777777" w:rsidR="009809B0" w:rsidRPr="00E06D65" w:rsidRDefault="009809B0" w:rsidP="000A2ABC">
            <w:pPr>
              <w:ind w:firstLine="67"/>
              <w:rPr>
                <w:rFonts w:ascii="Times New Roman" w:hAnsi="Times New Roman" w:cs="Times New Roman"/>
                <w:sz w:val="20"/>
                <w:szCs w:val="20"/>
              </w:rPr>
            </w:pPr>
            <w:r w:rsidRPr="00E06D65">
              <w:rPr>
                <w:rFonts w:ascii="Times New Roman" w:hAnsi="Times New Roman" w:cs="Times New Roman"/>
                <w:sz w:val="20"/>
                <w:szCs w:val="20"/>
              </w:rPr>
              <w:t>588</w:t>
            </w:r>
          </w:p>
        </w:tc>
        <w:tc>
          <w:tcPr>
            <w:tcW w:w="0" w:type="auto"/>
          </w:tcPr>
          <w:p w14:paraId="79334C21"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588</w:t>
            </w:r>
          </w:p>
        </w:tc>
        <w:tc>
          <w:tcPr>
            <w:tcW w:w="0" w:type="auto"/>
          </w:tcPr>
          <w:p w14:paraId="3FFC8952"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588</w:t>
            </w:r>
          </w:p>
        </w:tc>
        <w:tc>
          <w:tcPr>
            <w:tcW w:w="0" w:type="auto"/>
          </w:tcPr>
          <w:p w14:paraId="562CE807"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577</w:t>
            </w:r>
          </w:p>
        </w:tc>
        <w:tc>
          <w:tcPr>
            <w:tcW w:w="0" w:type="auto"/>
          </w:tcPr>
          <w:p w14:paraId="13CE3B33" w14:textId="77777777" w:rsidR="009809B0" w:rsidRPr="00E06D65" w:rsidRDefault="009809B0" w:rsidP="000A2ABC">
            <w:pPr>
              <w:rPr>
                <w:rFonts w:ascii="Times New Roman" w:hAnsi="Times New Roman" w:cs="Times New Roman"/>
                <w:sz w:val="20"/>
                <w:szCs w:val="20"/>
              </w:rPr>
            </w:pPr>
            <w:r w:rsidRPr="00E06D65">
              <w:rPr>
                <w:rFonts w:ascii="Times New Roman" w:hAnsi="Times New Roman" w:cs="Times New Roman"/>
                <w:sz w:val="20"/>
                <w:szCs w:val="20"/>
              </w:rPr>
              <w:t>C-C skeleton vibration</w:t>
            </w:r>
          </w:p>
        </w:tc>
      </w:tr>
    </w:tbl>
    <w:p w14:paraId="070152D4" w14:textId="56763A7B" w:rsidR="009809B0" w:rsidRPr="00E06D65" w:rsidRDefault="009809B0" w:rsidP="009809B0">
      <w:pPr>
        <w:rPr>
          <w:rFonts w:ascii="Times New Roman" w:hAnsi="Times New Roman" w:cs="Times New Roman"/>
          <w:sz w:val="20"/>
          <w:szCs w:val="20"/>
        </w:rPr>
      </w:pPr>
      <w:r w:rsidRPr="00E06D65">
        <w:rPr>
          <w:rFonts w:ascii="Times New Roman" w:hAnsi="Times New Roman" w:cs="Times New Roman"/>
          <w:sz w:val="20"/>
          <w:szCs w:val="20"/>
        </w:rPr>
        <w:t xml:space="preserve">Tab </w:t>
      </w:r>
      <w:r w:rsidR="000E62CF">
        <w:rPr>
          <w:rFonts w:ascii="Times New Roman" w:hAnsi="Times New Roman" w:cs="Times New Roman"/>
          <w:sz w:val="20"/>
          <w:szCs w:val="20"/>
        </w:rPr>
        <w:t>S</w:t>
      </w:r>
      <w:r w:rsidRPr="00E06D65">
        <w:rPr>
          <w:rFonts w:ascii="Times New Roman" w:hAnsi="Times New Roman" w:cs="Times New Roman"/>
          <w:sz w:val="20"/>
          <w:szCs w:val="20"/>
        </w:rPr>
        <w:t>1. Prominent FTIR peaks for neat and amorphous binary dispersion of AMB with selected polymers</w:t>
      </w:r>
    </w:p>
    <w:p w14:paraId="4D401652" w14:textId="7DAC247C" w:rsidR="00950B12" w:rsidRPr="00E06D65" w:rsidRDefault="00950B12" w:rsidP="009809B0">
      <w:pPr>
        <w:rPr>
          <w:rFonts w:ascii="Times New Roman" w:hAnsi="Times New Roman" w:cs="Times New Roman"/>
          <w:sz w:val="20"/>
          <w:szCs w:val="20"/>
        </w:rPr>
      </w:pPr>
    </w:p>
    <w:p w14:paraId="25EAF047" w14:textId="5BBCFCE8" w:rsidR="00950B12" w:rsidRPr="00E06D65" w:rsidRDefault="00950B12" w:rsidP="00667107">
      <w:pPr>
        <w:pStyle w:val="Heading1"/>
        <w:numPr>
          <w:ilvl w:val="0"/>
          <w:numId w:val="5"/>
        </w:numPr>
      </w:pPr>
      <w:bookmarkStart w:id="5" w:name="_Toc129181118"/>
      <w:bookmarkStart w:id="6" w:name="_Toc132104846"/>
      <w:bookmarkStart w:id="7" w:name="_Toc153363496"/>
      <w:r w:rsidRPr="00E06D65">
        <w:t>DPPH Assay</w:t>
      </w:r>
      <w:bookmarkEnd w:id="5"/>
      <w:bookmarkEnd w:id="6"/>
      <w:bookmarkEnd w:id="7"/>
    </w:p>
    <w:p w14:paraId="7992E3B5" w14:textId="13369C6E" w:rsidR="00950B12" w:rsidRPr="00E06D65" w:rsidRDefault="00950B12" w:rsidP="00655D25">
      <w:pPr>
        <w:jc w:val="center"/>
        <w:rPr>
          <w:rFonts w:ascii="Times New Roman" w:hAnsi="Times New Roman" w:cs="Times New Roman"/>
        </w:rPr>
      </w:pPr>
      <w:r w:rsidRPr="00E06D65">
        <w:rPr>
          <w:rFonts w:ascii="Times New Roman" w:hAnsi="Times New Roman" w:cs="Times New Roman"/>
          <w:noProof/>
          <w:sz w:val="20"/>
          <w:szCs w:val="20"/>
          <w:lang w:val="en-IN" w:eastAsia="en-IN"/>
        </w:rPr>
        <w:drawing>
          <wp:inline distT="0" distB="0" distL="0" distR="0" wp14:anchorId="311BDD3C" wp14:editId="1C475899">
            <wp:extent cx="4314698" cy="3333750"/>
            <wp:effectExtent l="0" t="0" r="0" b="0"/>
            <wp:docPr id="3" name="Picture 3" descr="D:\04-postdoc\Work\Experimental\Erlotinib\09-DPPH\POLYM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4-postdoc\Work\Experimental\Erlotinib\09-DPPH\POLYMER.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1723" cy="3339178"/>
                    </a:xfrm>
                    <a:prstGeom prst="rect">
                      <a:avLst/>
                    </a:prstGeom>
                    <a:noFill/>
                    <a:ln>
                      <a:noFill/>
                    </a:ln>
                  </pic:spPr>
                </pic:pic>
              </a:graphicData>
            </a:graphic>
          </wp:inline>
        </w:drawing>
      </w:r>
    </w:p>
    <w:p w14:paraId="24E8DCA8" w14:textId="1A9284F1" w:rsidR="0077151B" w:rsidRPr="00E06D65" w:rsidRDefault="0077151B" w:rsidP="0077151B">
      <w:pPr>
        <w:rPr>
          <w:rFonts w:ascii="Times New Roman" w:hAnsi="Times New Roman" w:cs="Times New Roman"/>
        </w:rPr>
      </w:pPr>
      <w:r w:rsidRPr="00E06D65">
        <w:rPr>
          <w:rFonts w:ascii="Times New Roman" w:hAnsi="Times New Roman" w:cs="Times New Roman"/>
        </w:rPr>
        <w:t xml:space="preserve">Fig </w:t>
      </w:r>
      <w:r w:rsidR="003108A4" w:rsidRPr="00E06D65">
        <w:rPr>
          <w:rFonts w:ascii="Times New Roman" w:hAnsi="Times New Roman" w:cs="Times New Roman"/>
        </w:rPr>
        <w:t>3</w:t>
      </w:r>
      <w:r w:rsidRPr="00E06D65">
        <w:rPr>
          <w:rFonts w:ascii="Times New Roman" w:hAnsi="Times New Roman" w:cs="Times New Roman"/>
        </w:rPr>
        <w:t>S. DPPH radical scavenging activities of various concentrations of polymers PVP K -30 and PEG 4000.</w:t>
      </w:r>
    </w:p>
    <w:p w14:paraId="02E9DAA3" w14:textId="77777777" w:rsidR="00BE07BA" w:rsidRPr="00E06D65" w:rsidRDefault="0077151B" w:rsidP="003F0944">
      <w:pPr>
        <w:tabs>
          <w:tab w:val="left" w:pos="3330"/>
        </w:tabs>
        <w:jc w:val="both"/>
        <w:rPr>
          <w:rFonts w:ascii="Times New Roman" w:hAnsi="Times New Roman" w:cs="Times New Roman"/>
        </w:rPr>
      </w:pPr>
      <w:r w:rsidRPr="00E06D65">
        <w:rPr>
          <w:rFonts w:ascii="Times New Roman" w:hAnsi="Times New Roman" w:cs="Times New Roman"/>
        </w:rPr>
        <w:lastRenderedPageBreak/>
        <w:t xml:space="preserve">The DPPH scavenging activity of different concentrations of base polymers PVP K -30 and PEG 4000 were evaluated and depicted in </w:t>
      </w:r>
      <w:r w:rsidRPr="00E06D65">
        <w:rPr>
          <w:rFonts w:ascii="Times New Roman" w:hAnsi="Times New Roman" w:cs="Times New Roman"/>
          <w:b/>
        </w:rPr>
        <w:t>Figure 3.S</w:t>
      </w:r>
      <w:r w:rsidRPr="00E06D65">
        <w:rPr>
          <w:rFonts w:ascii="Times New Roman" w:hAnsi="Times New Roman" w:cs="Times New Roman"/>
        </w:rPr>
        <w:t>.  Both polymers have negligible activity even at higher concentration.</w:t>
      </w:r>
    </w:p>
    <w:p w14:paraId="312DECAE" w14:textId="77777777" w:rsidR="003F0944" w:rsidRPr="00E06D65" w:rsidRDefault="003F0944" w:rsidP="00BE07BA">
      <w:pPr>
        <w:tabs>
          <w:tab w:val="left" w:pos="3330"/>
        </w:tabs>
        <w:jc w:val="center"/>
        <w:rPr>
          <w:rFonts w:ascii="Times New Roman" w:hAnsi="Times New Roman" w:cs="Times New Roman"/>
        </w:rPr>
      </w:pPr>
    </w:p>
    <w:p w14:paraId="19427B13" w14:textId="1E3CD911" w:rsidR="00AB167B" w:rsidRPr="00E06D65" w:rsidRDefault="00AB167B" w:rsidP="00667107">
      <w:pPr>
        <w:pStyle w:val="Heading1"/>
        <w:numPr>
          <w:ilvl w:val="0"/>
          <w:numId w:val="5"/>
        </w:numPr>
      </w:pPr>
      <w:bookmarkStart w:id="8" w:name="_Toc153363497"/>
      <w:r w:rsidRPr="00E06D65">
        <w:t>Hydroxyl Radical Assay</w:t>
      </w:r>
      <w:bookmarkEnd w:id="8"/>
    </w:p>
    <w:p w14:paraId="101B90A2" w14:textId="55012CF5" w:rsidR="00BE07BA" w:rsidRPr="00E06D65" w:rsidRDefault="00BE07BA" w:rsidP="00BE07BA">
      <w:pPr>
        <w:tabs>
          <w:tab w:val="left" w:pos="3330"/>
        </w:tabs>
        <w:jc w:val="center"/>
        <w:rPr>
          <w:rFonts w:ascii="Times New Roman" w:hAnsi="Times New Roman" w:cs="Times New Roman"/>
        </w:rPr>
      </w:pPr>
      <w:r w:rsidRPr="00E06D6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E06D65">
        <w:rPr>
          <w:rFonts w:ascii="Times New Roman" w:hAnsi="Times New Roman" w:cs="Times New Roman"/>
          <w:noProof/>
          <w:lang w:val="en-IN" w:eastAsia="en-IN"/>
        </w:rPr>
        <w:drawing>
          <wp:inline distT="0" distB="0" distL="0" distR="0" wp14:anchorId="1F924C13" wp14:editId="53AFD9E7">
            <wp:extent cx="4429125" cy="3422506"/>
            <wp:effectExtent l="0" t="0" r="0" b="6985"/>
            <wp:docPr id="4" name="Picture 4" descr="D:\04-postdoc\Work\Experimental\Erlotinib\09-DPPH\o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4-postdoc\Work\Experimental\Erlotinib\09-DPPH\oh.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33125" cy="3425597"/>
                    </a:xfrm>
                    <a:prstGeom prst="rect">
                      <a:avLst/>
                    </a:prstGeom>
                    <a:noFill/>
                    <a:ln>
                      <a:noFill/>
                    </a:ln>
                  </pic:spPr>
                </pic:pic>
              </a:graphicData>
            </a:graphic>
          </wp:inline>
        </w:drawing>
      </w:r>
    </w:p>
    <w:p w14:paraId="292699CF" w14:textId="47509543" w:rsidR="00BE07BA" w:rsidRPr="00E06D65" w:rsidRDefault="00BE07BA" w:rsidP="00BE07BA">
      <w:pPr>
        <w:tabs>
          <w:tab w:val="left" w:pos="3330"/>
        </w:tabs>
        <w:jc w:val="center"/>
        <w:rPr>
          <w:rFonts w:ascii="Times New Roman" w:hAnsi="Times New Roman" w:cs="Times New Roman"/>
        </w:rPr>
      </w:pPr>
      <w:r w:rsidRPr="00E06D65">
        <w:rPr>
          <w:rFonts w:ascii="Times New Roman" w:hAnsi="Times New Roman" w:cs="Times New Roman"/>
        </w:rPr>
        <w:t xml:space="preserve">Fig 4S. Hydroxyl radical scavenging activities of various </w:t>
      </w:r>
      <w:r w:rsidR="00444201">
        <w:rPr>
          <w:rFonts w:ascii="Times New Roman" w:hAnsi="Times New Roman" w:cs="Times New Roman"/>
        </w:rPr>
        <w:t>polymers PVP K and PEG  concentrations</w:t>
      </w:r>
      <w:r w:rsidRPr="00E06D65">
        <w:rPr>
          <w:rFonts w:ascii="Times New Roman" w:hAnsi="Times New Roman" w:cs="Times New Roman"/>
        </w:rPr>
        <w:t>.</w:t>
      </w:r>
    </w:p>
    <w:p w14:paraId="47FFFF56" w14:textId="09BEB61F" w:rsidR="003F0944" w:rsidRDefault="003F0944" w:rsidP="003F0944">
      <w:pPr>
        <w:tabs>
          <w:tab w:val="left" w:pos="3330"/>
        </w:tabs>
        <w:jc w:val="both"/>
        <w:rPr>
          <w:rFonts w:ascii="Times New Roman" w:hAnsi="Times New Roman" w:cs="Times New Roman"/>
          <w:sz w:val="20"/>
          <w:szCs w:val="20"/>
        </w:rPr>
      </w:pPr>
      <w:r w:rsidRPr="00E06D65">
        <w:rPr>
          <w:rFonts w:ascii="Times New Roman" w:hAnsi="Times New Roman" w:cs="Times New Roman"/>
          <w:sz w:val="20"/>
          <w:szCs w:val="20"/>
        </w:rPr>
        <w:t>In addition, the hydroxyl scavenging activity of different concentrations of base polymers PVP K -30 and PEG 4000 were evaluated and depicted in Figure 4.S in supplementary material.  Both polymers have negligible activity even at higher concentration.</w:t>
      </w:r>
    </w:p>
    <w:sectPr w:rsidR="003F09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89EBF" w14:textId="77777777" w:rsidR="000652B4" w:rsidRDefault="000652B4" w:rsidP="00950B12">
      <w:pPr>
        <w:spacing w:after="0" w:line="240" w:lineRule="auto"/>
      </w:pPr>
      <w:r>
        <w:separator/>
      </w:r>
    </w:p>
  </w:endnote>
  <w:endnote w:type="continuationSeparator" w:id="0">
    <w:p w14:paraId="30428C02" w14:textId="77777777" w:rsidR="000652B4" w:rsidRDefault="000652B4" w:rsidP="00950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D9B31" w14:textId="77777777" w:rsidR="000652B4" w:rsidRDefault="000652B4" w:rsidP="00950B12">
      <w:pPr>
        <w:spacing w:after="0" w:line="240" w:lineRule="auto"/>
      </w:pPr>
      <w:r>
        <w:separator/>
      </w:r>
    </w:p>
  </w:footnote>
  <w:footnote w:type="continuationSeparator" w:id="0">
    <w:p w14:paraId="05E5A3E7" w14:textId="77777777" w:rsidR="000652B4" w:rsidRDefault="000652B4" w:rsidP="00950B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CF2"/>
    <w:multiLevelType w:val="hybridMultilevel"/>
    <w:tmpl w:val="28F8104C"/>
    <w:lvl w:ilvl="0" w:tplc="FF04EE3C">
      <w:start w:val="2"/>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15:restartNumberingAfterBreak="0">
    <w:nsid w:val="10ED1120"/>
    <w:multiLevelType w:val="hybridMultilevel"/>
    <w:tmpl w:val="54D26E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1EF3C63"/>
    <w:multiLevelType w:val="multilevel"/>
    <w:tmpl w:val="BB648A74"/>
    <w:lvl w:ilvl="0">
      <w:start w:val="3"/>
      <w:numFmt w:val="decimal"/>
      <w:lvlText w:val="%1."/>
      <w:lvlJc w:val="left"/>
      <w:pPr>
        <w:ind w:left="390" w:hanging="39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138B74D2"/>
    <w:multiLevelType w:val="hybridMultilevel"/>
    <w:tmpl w:val="67327ABA"/>
    <w:lvl w:ilvl="0" w:tplc="8A8EDD46">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 w15:restartNumberingAfterBreak="0">
    <w:nsid w:val="419C4263"/>
    <w:multiLevelType w:val="hybridMultilevel"/>
    <w:tmpl w:val="93A0E73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760495290">
    <w:abstractNumId w:val="2"/>
  </w:num>
  <w:num w:numId="2" w16cid:durableId="1393654634">
    <w:abstractNumId w:val="0"/>
  </w:num>
  <w:num w:numId="3" w16cid:durableId="257062655">
    <w:abstractNumId w:val="3"/>
  </w:num>
  <w:num w:numId="4" w16cid:durableId="637615870">
    <w:abstractNumId w:val="1"/>
  </w:num>
  <w:num w:numId="5" w16cid:durableId="744379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Y2NrQ0NTI2NTCwMDZR0lEKTi0uzszPAykwqgUAo1j6GSwAAAA="/>
  </w:docVars>
  <w:rsids>
    <w:rsidRoot w:val="00222FAD"/>
    <w:rsid w:val="00046D73"/>
    <w:rsid w:val="000652B4"/>
    <w:rsid w:val="000E62CF"/>
    <w:rsid w:val="000F0261"/>
    <w:rsid w:val="0013273B"/>
    <w:rsid w:val="00222FAD"/>
    <w:rsid w:val="002C2014"/>
    <w:rsid w:val="003108A4"/>
    <w:rsid w:val="003C6AE7"/>
    <w:rsid w:val="003F0944"/>
    <w:rsid w:val="00402ED6"/>
    <w:rsid w:val="00444201"/>
    <w:rsid w:val="004B0BA9"/>
    <w:rsid w:val="005067E5"/>
    <w:rsid w:val="00522FFD"/>
    <w:rsid w:val="005436BF"/>
    <w:rsid w:val="00595CFC"/>
    <w:rsid w:val="005A598C"/>
    <w:rsid w:val="00655D25"/>
    <w:rsid w:val="00667107"/>
    <w:rsid w:val="006B1DCA"/>
    <w:rsid w:val="00766595"/>
    <w:rsid w:val="0077151B"/>
    <w:rsid w:val="00852A3E"/>
    <w:rsid w:val="008625A8"/>
    <w:rsid w:val="008D7EEA"/>
    <w:rsid w:val="00941FDA"/>
    <w:rsid w:val="00950B12"/>
    <w:rsid w:val="009809B0"/>
    <w:rsid w:val="00AA420F"/>
    <w:rsid w:val="00AB167B"/>
    <w:rsid w:val="00AD3BF5"/>
    <w:rsid w:val="00BE07BA"/>
    <w:rsid w:val="00BF17F3"/>
    <w:rsid w:val="00C63C3B"/>
    <w:rsid w:val="00CF3B25"/>
    <w:rsid w:val="00DB6B2A"/>
    <w:rsid w:val="00DC1B77"/>
    <w:rsid w:val="00E06D65"/>
    <w:rsid w:val="00E96516"/>
    <w:rsid w:val="00EF2217"/>
    <w:rsid w:val="00F454B8"/>
    <w:rsid w:val="00F60E59"/>
    <w:rsid w:val="00F81DE4"/>
    <w:rsid w:val="00F875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E699B"/>
  <w15:chartTrackingRefBased/>
  <w15:docId w15:val="{DFB610C5-E884-4685-B1E8-0BC8A98B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7107"/>
    <w:pPr>
      <w:keepNext/>
      <w:keepLines/>
      <w:spacing w:before="240" w:after="0"/>
      <w:outlineLvl w:val="0"/>
    </w:pPr>
    <w:rPr>
      <w:rFonts w:ascii="Times New Roman" w:eastAsiaTheme="majorEastAsia" w:hAnsi="Times New Roman"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667107"/>
    <w:pPr>
      <w:keepNext/>
      <w:keepLines/>
      <w:spacing w:before="40" w:after="0"/>
      <w:outlineLvl w:val="1"/>
    </w:pPr>
    <w:rPr>
      <w:rFonts w:ascii="Times New Roman" w:eastAsiaTheme="majorEastAsia" w:hAnsi="Times New Roman" w:cstheme="majorBidi"/>
      <w:i/>
      <w:color w:val="2F5496" w:themeColor="accent1" w:themeShade="BF"/>
      <w:sz w:val="26"/>
      <w:szCs w:val="26"/>
    </w:rPr>
  </w:style>
  <w:style w:type="paragraph" w:styleId="Heading3">
    <w:name w:val="heading 3"/>
    <w:basedOn w:val="Normal"/>
    <w:next w:val="Normal"/>
    <w:link w:val="Heading3Char"/>
    <w:uiPriority w:val="9"/>
    <w:unhideWhenUsed/>
    <w:qFormat/>
    <w:rsid w:val="00402ED6"/>
    <w:pPr>
      <w:keepNext/>
      <w:keepLines/>
      <w:spacing w:before="40" w:after="0" w:line="360" w:lineRule="auto"/>
      <w:ind w:firstLine="720"/>
      <w:jc w:val="both"/>
      <w:outlineLvl w:val="2"/>
    </w:pPr>
    <w:rPr>
      <w:rFonts w:ascii="Times New Roman" w:eastAsiaTheme="majorEastAsia" w:hAnsi="Times New Roman" w:cstheme="majorBidi"/>
      <w:b/>
      <w: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2ED6"/>
    <w:rPr>
      <w:rFonts w:ascii="Times New Roman" w:eastAsiaTheme="majorEastAsia" w:hAnsi="Times New Roman" w:cstheme="majorBidi"/>
      <w:b/>
      <w:i/>
      <w:color w:val="000000" w:themeColor="text1"/>
      <w:sz w:val="24"/>
      <w:szCs w:val="24"/>
    </w:rPr>
  </w:style>
  <w:style w:type="table" w:styleId="TableGrid">
    <w:name w:val="Table Grid"/>
    <w:basedOn w:val="TableNormal"/>
    <w:uiPriority w:val="39"/>
    <w:rsid w:val="00980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0B12"/>
    <w:pPr>
      <w:ind w:left="720"/>
      <w:contextualSpacing/>
    </w:pPr>
  </w:style>
  <w:style w:type="paragraph" w:styleId="Header">
    <w:name w:val="header"/>
    <w:basedOn w:val="Normal"/>
    <w:link w:val="HeaderChar"/>
    <w:uiPriority w:val="99"/>
    <w:unhideWhenUsed/>
    <w:rsid w:val="00950B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0B12"/>
  </w:style>
  <w:style w:type="paragraph" w:styleId="Footer">
    <w:name w:val="footer"/>
    <w:basedOn w:val="Normal"/>
    <w:link w:val="FooterChar"/>
    <w:uiPriority w:val="99"/>
    <w:unhideWhenUsed/>
    <w:rsid w:val="00950B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0B12"/>
  </w:style>
  <w:style w:type="character" w:customStyle="1" w:styleId="Heading1Char">
    <w:name w:val="Heading 1 Char"/>
    <w:basedOn w:val="DefaultParagraphFont"/>
    <w:link w:val="Heading1"/>
    <w:uiPriority w:val="9"/>
    <w:rsid w:val="00667107"/>
    <w:rPr>
      <w:rFonts w:ascii="Times New Roman" w:eastAsiaTheme="majorEastAsia" w:hAnsi="Times New Roman" w:cstheme="majorBidi"/>
      <w:b/>
      <w:color w:val="2F5496" w:themeColor="accent1" w:themeShade="BF"/>
      <w:sz w:val="32"/>
      <w:szCs w:val="32"/>
    </w:rPr>
  </w:style>
  <w:style w:type="character" w:customStyle="1" w:styleId="Heading2Char">
    <w:name w:val="Heading 2 Char"/>
    <w:basedOn w:val="DefaultParagraphFont"/>
    <w:link w:val="Heading2"/>
    <w:uiPriority w:val="9"/>
    <w:rsid w:val="00667107"/>
    <w:rPr>
      <w:rFonts w:ascii="Times New Roman" w:eastAsiaTheme="majorEastAsia" w:hAnsi="Times New Roman" w:cstheme="majorBidi"/>
      <w:i/>
      <w:color w:val="2F5496" w:themeColor="accent1" w:themeShade="BF"/>
      <w:sz w:val="26"/>
      <w:szCs w:val="26"/>
    </w:rPr>
  </w:style>
  <w:style w:type="paragraph" w:styleId="TOCHeading">
    <w:name w:val="TOC Heading"/>
    <w:basedOn w:val="Heading1"/>
    <w:next w:val="Normal"/>
    <w:uiPriority w:val="39"/>
    <w:unhideWhenUsed/>
    <w:qFormat/>
    <w:rsid w:val="005436BF"/>
    <w:pPr>
      <w:outlineLvl w:val="9"/>
    </w:pPr>
    <w:rPr>
      <w:rFonts w:asciiTheme="majorHAnsi" w:hAnsiTheme="majorHAnsi"/>
      <w:b w:val="0"/>
    </w:rPr>
  </w:style>
  <w:style w:type="paragraph" w:styleId="TOC1">
    <w:name w:val="toc 1"/>
    <w:basedOn w:val="Normal"/>
    <w:next w:val="Normal"/>
    <w:autoRedefine/>
    <w:uiPriority w:val="39"/>
    <w:unhideWhenUsed/>
    <w:rsid w:val="005436BF"/>
    <w:pPr>
      <w:spacing w:after="100"/>
    </w:pPr>
  </w:style>
  <w:style w:type="paragraph" w:styleId="TOC2">
    <w:name w:val="toc 2"/>
    <w:basedOn w:val="Normal"/>
    <w:next w:val="Normal"/>
    <w:autoRedefine/>
    <w:uiPriority w:val="39"/>
    <w:unhideWhenUsed/>
    <w:rsid w:val="005436BF"/>
    <w:pPr>
      <w:spacing w:after="100"/>
      <w:ind w:left="220"/>
    </w:pPr>
  </w:style>
  <w:style w:type="character" w:styleId="Hyperlink">
    <w:name w:val="Hyperlink"/>
    <w:basedOn w:val="DefaultParagraphFont"/>
    <w:uiPriority w:val="99"/>
    <w:unhideWhenUsed/>
    <w:rsid w:val="005436BF"/>
    <w:rPr>
      <w:color w:val="0563C1" w:themeColor="hyperlink"/>
      <w:u w:val="single"/>
    </w:rPr>
  </w:style>
  <w:style w:type="paragraph" w:customStyle="1" w:styleId="BBAuthorName">
    <w:name w:val="BB_Author_Name"/>
    <w:basedOn w:val="Normal"/>
    <w:next w:val="BCAuthorAddress"/>
    <w:rsid w:val="000E62CF"/>
    <w:pPr>
      <w:spacing w:after="240" w:line="480" w:lineRule="auto"/>
      <w:ind w:firstLine="720"/>
      <w:jc w:val="center"/>
    </w:pPr>
    <w:rPr>
      <w:rFonts w:ascii="Times New Roman" w:eastAsia="Times New Roman" w:hAnsi="Times New Roman" w:cs="Times New Roman"/>
      <w:i/>
      <w:sz w:val="24"/>
      <w:szCs w:val="20"/>
    </w:rPr>
  </w:style>
  <w:style w:type="paragraph" w:customStyle="1" w:styleId="BCAuthorAddress">
    <w:name w:val="BC_Author_Address"/>
    <w:basedOn w:val="Normal"/>
    <w:next w:val="BIEmailAddress"/>
    <w:rsid w:val="000E62CF"/>
    <w:pPr>
      <w:spacing w:after="240" w:line="480" w:lineRule="auto"/>
      <w:ind w:firstLine="720"/>
      <w:jc w:val="center"/>
    </w:pPr>
    <w:rPr>
      <w:rFonts w:ascii="Times New Roman" w:eastAsia="Times New Roman" w:hAnsi="Times New Roman" w:cs="Times New Roman"/>
      <w:sz w:val="24"/>
      <w:szCs w:val="20"/>
    </w:rPr>
  </w:style>
  <w:style w:type="paragraph" w:customStyle="1" w:styleId="BIEmailAddress">
    <w:name w:val="BI_Email_Address"/>
    <w:basedOn w:val="Normal"/>
    <w:next w:val="AIReceivedDate"/>
    <w:rsid w:val="000E62CF"/>
    <w:pPr>
      <w:spacing w:after="200" w:line="480" w:lineRule="auto"/>
      <w:ind w:firstLine="720"/>
      <w:jc w:val="both"/>
    </w:pPr>
    <w:rPr>
      <w:rFonts w:ascii="Times New Roman" w:eastAsia="Times New Roman" w:hAnsi="Times New Roman" w:cs="Times New Roman"/>
      <w:sz w:val="24"/>
      <w:szCs w:val="20"/>
    </w:rPr>
  </w:style>
  <w:style w:type="paragraph" w:customStyle="1" w:styleId="AIReceivedDate">
    <w:name w:val="AI_Received_Date"/>
    <w:basedOn w:val="Normal"/>
    <w:next w:val="Normal"/>
    <w:rsid w:val="000E62CF"/>
    <w:pPr>
      <w:spacing w:after="240" w:line="480" w:lineRule="auto"/>
      <w:ind w:firstLine="720"/>
      <w:jc w:val="both"/>
    </w:pPr>
    <w:rPr>
      <w:rFonts w:ascii="Times New Roman" w:eastAsia="Times New Roman" w:hAnsi="Times New Roman" w:cs="Times New Roman"/>
      <w:b/>
      <w:sz w:val="24"/>
      <w:szCs w:val="20"/>
    </w:rPr>
  </w:style>
  <w:style w:type="character" w:styleId="UnresolvedMention">
    <w:name w:val="Unresolved Mention"/>
    <w:basedOn w:val="DefaultParagraphFont"/>
    <w:uiPriority w:val="99"/>
    <w:semiHidden/>
    <w:unhideWhenUsed/>
    <w:rsid w:val="00E96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fm4476@tokai.ac.jp" TargetMode="External"/><Relationship Id="rId13" Type="http://schemas.openxmlformats.org/officeDocument/2006/relationships/image" Target="media/image4.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mailto:safnahussain2@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311FE-966E-4AFB-830B-BAFF07EE6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2221</Words>
  <Characters>13219</Characters>
  <Application>Microsoft Office Word</Application>
  <DocSecurity>0</DocSecurity>
  <Lines>629</Lines>
  <Paragraphs>454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コダカツト　パラムビル サフナ　フツサン</cp:lastModifiedBy>
  <cp:revision>2</cp:revision>
  <dcterms:created xsi:type="dcterms:W3CDTF">2025-02-26T05:55:00Z</dcterms:created>
  <dcterms:modified xsi:type="dcterms:W3CDTF">2025-02-26T05:55:00Z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http://www.zotero.org/styles/journal-of-non-crystalline-solids</vt:lpwstr>
  </property>
  <property fmtid="{D5CDD505-2E9C-101B-9397-08002B2CF9AE}" pid="17" name="Mendeley Recent Style Name 7_1">
    <vt:lpwstr>Journal of Non-Crystalline Solids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GrammarlyDocumentId">
    <vt:lpwstr>3f17324340487df2bee0833f1b2c06cc8a6f73d43c512109341b18b3d73068a9</vt:lpwstr>
  </property>
</Properties>
</file>