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5C01B">
      <w:pPr>
        <w:ind w:firstLine="2836" w:firstLineChars="135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Files</w:t>
      </w:r>
    </w:p>
    <w:p w14:paraId="068DA0AA">
      <w:pPr>
        <w:spacing w:line="360" w:lineRule="auto"/>
        <w:rPr>
          <w:rFonts w:ascii="Times New Roman" w:hAnsi="Times New Roman" w:cs="Times New Roman"/>
          <w:b/>
          <w:bCs/>
          <w:iCs/>
          <w:color w:val="000000"/>
          <w:sz w:val="21"/>
          <w:szCs w:val="21"/>
        </w:rPr>
      </w:pPr>
    </w:p>
    <w:p w14:paraId="66F11ED1">
      <w:pPr>
        <w:spacing w:line="36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bookmarkStart w:id="8" w:name="_GoBack"/>
      <w:bookmarkEnd w:id="8"/>
      <w:r>
        <w:rPr>
          <w:rFonts w:ascii="Times New Roman" w:hAnsi="Times New Roman" w:cs="Times New Roman"/>
          <w:b/>
          <w:bCs/>
          <w:iCs/>
          <w:color w:val="000000"/>
          <w:sz w:val="21"/>
          <w:szCs w:val="21"/>
        </w:rPr>
        <w:t>Figure legends</w:t>
      </w:r>
      <w:r>
        <w:rPr>
          <w:rFonts w:hint="eastAsia" w:ascii="Times New Roman" w:hAnsi="Times New Roman" w:cs="Times New Roman"/>
          <w:b/>
          <w:bCs/>
          <w:iCs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14:paraId="6AE8640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Supplemental Table 1.</w:t>
      </w:r>
      <w:r>
        <w:rPr>
          <w:rFonts w:ascii="Times New Roman" w:hAnsi="Times New Roman" w:cs="Times New Roman"/>
          <w:szCs w:val="21"/>
        </w:rPr>
        <w:t xml:space="preserve"> Univariate analysis for predictin </w:t>
      </w:r>
      <w:r>
        <w:rPr>
          <w:rFonts w:hint="eastAsia" w:ascii="Times New Roman" w:hAnsi="Times New Roman" w:cs="Times New Roman"/>
          <w:szCs w:val="21"/>
        </w:rPr>
        <w:t>MACE</w:t>
      </w:r>
      <w:r>
        <w:rPr>
          <w:rFonts w:ascii="Times New Roman" w:hAnsi="Times New Roman" w:cs="Times New Roman"/>
          <w:szCs w:val="21"/>
        </w:rPr>
        <w:t>s.</w:t>
      </w:r>
    </w:p>
    <w:p w14:paraId="6F4A4746">
      <w:pPr>
        <w:spacing w:line="360" w:lineRule="auto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Supplemental </w:t>
      </w:r>
      <w:r>
        <w:rPr>
          <w:rFonts w:ascii="Times New Roman" w:hAnsi="Times New Roman" w:cs="Times New Roman"/>
          <w:b/>
          <w:szCs w:val="21"/>
        </w:rPr>
        <w:t xml:space="preserve">Table 2. </w:t>
      </w:r>
      <w:r>
        <w:rPr>
          <w:rFonts w:ascii="Times New Roman" w:hAnsi="Times New Roman" w:cs="Times New Roman"/>
          <w:bCs/>
          <w:szCs w:val="21"/>
        </w:rPr>
        <w:t xml:space="preserve">Risk of </w:t>
      </w:r>
      <w:r>
        <w:rPr>
          <w:rFonts w:hint="eastAsia" w:ascii="Times New Roman" w:hAnsi="Times New Roman" w:cs="Times New Roman"/>
          <w:bCs/>
          <w:szCs w:val="21"/>
        </w:rPr>
        <w:t>o</w:t>
      </w:r>
      <w:r>
        <w:rPr>
          <w:rFonts w:ascii="Times New Roman" w:hAnsi="Times New Roman" w:cs="Times New Roman"/>
          <w:bCs/>
          <w:szCs w:val="21"/>
        </w:rPr>
        <w:t>utcome event</w:t>
      </w:r>
      <w:r>
        <w:rPr>
          <w:rFonts w:hint="eastAsia" w:ascii="Times New Roman" w:hAnsi="Times New Roman" w:cs="Times New Roman"/>
          <w:bCs/>
          <w:szCs w:val="21"/>
        </w:rPr>
        <w:t xml:space="preserve">s </w:t>
      </w:r>
      <w:r>
        <w:rPr>
          <w:rFonts w:ascii="Times New Roman" w:hAnsi="Times New Roman" w:cs="Times New Roman"/>
          <w:bCs/>
          <w:szCs w:val="21"/>
        </w:rPr>
        <w:t xml:space="preserve">based on 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TyG-</w:t>
      </w:r>
      <w:r>
        <w:rPr>
          <w:rFonts w:hint="eastAsia" w:ascii="Times New Roman" w:hAnsi="Times New Roman" w:cs="Times New Roman"/>
          <w:bCs/>
          <w:szCs w:val="21"/>
        </w:rPr>
        <w:t>WWI</w:t>
      </w:r>
      <w:r>
        <w:rPr>
          <w:rFonts w:ascii="Times New Roman" w:hAnsi="Times New Roman" w:cs="Times New Roman"/>
          <w:bCs/>
          <w:szCs w:val="21"/>
        </w:rPr>
        <w:t xml:space="preserve"> after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employ</w:t>
      </w:r>
      <w:r>
        <w:rPr>
          <w:rFonts w:hint="eastAsia" w:ascii="Times New Roman" w:hAnsi="Times New Roman" w:cs="Times New Roman"/>
          <w:bCs/>
          <w:szCs w:val="21"/>
        </w:rPr>
        <w:t>ing</w:t>
      </w:r>
      <w:r>
        <w:rPr>
          <w:rFonts w:ascii="Times New Roman" w:hAnsi="Times New Roman" w:cs="Times New Roman"/>
          <w:bCs/>
          <w:szCs w:val="21"/>
        </w:rPr>
        <w:t xml:space="preserve"> multiple imputation by chained equations to address missing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TyG-</w:t>
      </w:r>
      <w:r>
        <w:rPr>
          <w:rFonts w:hint="eastAsia" w:ascii="Times New Roman" w:hAnsi="Times New Roman" w:cs="Times New Roman"/>
          <w:bCs/>
          <w:szCs w:val="21"/>
        </w:rPr>
        <w:t xml:space="preserve">WWI </w:t>
      </w:r>
      <w:r>
        <w:rPr>
          <w:rFonts w:ascii="Times New Roman" w:hAnsi="Times New Roman" w:cs="Times New Roman"/>
          <w:bCs/>
          <w:szCs w:val="21"/>
        </w:rPr>
        <w:t>values at baseline</w:t>
      </w:r>
      <w:r>
        <w:rPr>
          <w:rFonts w:hint="eastAsia" w:ascii="Times New Roman" w:hAnsi="Times New Roman" w:cs="Times New Roman"/>
          <w:bCs/>
          <w:szCs w:val="21"/>
        </w:rPr>
        <w:t>.</w:t>
      </w:r>
    </w:p>
    <w:p w14:paraId="2A66CBA1">
      <w:pPr>
        <w:rPr>
          <w:rFonts w:ascii="Times New Roman" w:hAnsi="Times New Roman" w:cs="Times New Roman"/>
          <w:b/>
          <w:bCs/>
        </w:rPr>
      </w:pPr>
    </w:p>
    <w:p w14:paraId="7767743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Supplemental Table 1.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Univariate analysis for predictin </w:t>
      </w:r>
      <w:r>
        <w:rPr>
          <w:rFonts w:hint="eastAsia" w:ascii="Times New Roman" w:hAnsi="Times New Roman" w:cs="Times New Roman"/>
          <w:b/>
          <w:bCs/>
          <w:szCs w:val="21"/>
        </w:rPr>
        <w:t>MACE</w:t>
      </w:r>
      <w:r>
        <w:rPr>
          <w:rFonts w:ascii="Times New Roman" w:hAnsi="Times New Roman" w:cs="Times New Roman"/>
          <w:b/>
          <w:bCs/>
          <w:szCs w:val="21"/>
        </w:rPr>
        <w:t>s.</w:t>
      </w:r>
    </w:p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1421"/>
        <w:gridCol w:w="2366"/>
        <w:gridCol w:w="1471"/>
      </w:tblGrid>
      <w:tr w14:paraId="12F6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  <w:tcBorders>
              <w:top w:val="single" w:color="auto" w:sz="8" w:space="0"/>
              <w:bottom w:val="single" w:color="auto" w:sz="8" w:space="0"/>
            </w:tcBorders>
          </w:tcPr>
          <w:p w14:paraId="56E1785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pct"/>
            <w:tcBorders>
              <w:top w:val="single" w:color="auto" w:sz="8" w:space="0"/>
              <w:bottom w:val="single" w:color="auto" w:sz="8" w:space="0"/>
            </w:tcBorders>
          </w:tcPr>
          <w:p w14:paraId="22D241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HR</w:t>
            </w:r>
          </w:p>
        </w:tc>
        <w:tc>
          <w:tcPr>
            <w:tcW w:w="1388" w:type="pct"/>
            <w:tcBorders>
              <w:top w:val="single" w:color="auto" w:sz="8" w:space="0"/>
              <w:bottom w:val="single" w:color="auto" w:sz="8" w:space="0"/>
            </w:tcBorders>
          </w:tcPr>
          <w:p w14:paraId="7725BA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95% CI</w:t>
            </w:r>
          </w:p>
        </w:tc>
        <w:tc>
          <w:tcPr>
            <w:tcW w:w="863" w:type="pct"/>
            <w:tcBorders>
              <w:top w:val="single" w:color="auto" w:sz="8" w:space="0"/>
              <w:bottom w:val="single" w:color="auto" w:sz="8" w:space="0"/>
            </w:tcBorders>
          </w:tcPr>
          <w:p w14:paraId="7D647C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</w:tr>
      <w:tr w14:paraId="4B5C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0ACDAD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the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TyG-WWI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quart</w:t>
            </w:r>
            <w:r>
              <w:rPr>
                <w:rFonts w:ascii="Times New Roman" w:hAnsi="Times New Roman" w:cs="Times New Roman"/>
                <w:szCs w:val="21"/>
              </w:rPr>
              <w:t>ile</w:t>
            </w:r>
          </w:p>
        </w:tc>
        <w:tc>
          <w:tcPr>
            <w:tcW w:w="834" w:type="pct"/>
          </w:tcPr>
          <w:p w14:paraId="0F76F5B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8" w:type="pct"/>
          </w:tcPr>
          <w:p w14:paraId="61BD78E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3" w:type="pct"/>
          </w:tcPr>
          <w:p w14:paraId="3CD4D0D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2D02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685166F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 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 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Q</w:t>
            </w:r>
            <w:r>
              <w:rPr>
                <w:rFonts w:hint="eastAsia" w:ascii="Times New Roman" w:hAnsi="Times New Roman" w:cs="Times New Roman"/>
                <w:szCs w:val="21"/>
              </w:rPr>
              <w:t>uart</w:t>
            </w:r>
            <w:r>
              <w:rPr>
                <w:rFonts w:ascii="Times New Roman" w:hAnsi="Times New Roman" w:cs="Times New Roman"/>
                <w:szCs w:val="21"/>
              </w:rPr>
              <w:t>ile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1</w:t>
            </w:r>
          </w:p>
        </w:tc>
        <w:tc>
          <w:tcPr>
            <w:tcW w:w="834" w:type="pct"/>
          </w:tcPr>
          <w:p w14:paraId="7ABA74E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1388" w:type="pct"/>
          </w:tcPr>
          <w:p w14:paraId="5E2437F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3" w:type="pct"/>
          </w:tcPr>
          <w:p w14:paraId="2E84858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59983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53FE0D2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  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Quartile 2</w:t>
            </w:r>
          </w:p>
        </w:tc>
        <w:tc>
          <w:tcPr>
            <w:tcW w:w="834" w:type="pct"/>
          </w:tcPr>
          <w:p w14:paraId="544B9A7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388" w:type="pct"/>
          </w:tcPr>
          <w:p w14:paraId="73708B8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46</w:t>
            </w:r>
          </w:p>
        </w:tc>
        <w:tc>
          <w:tcPr>
            <w:tcW w:w="863" w:type="pct"/>
          </w:tcPr>
          <w:p w14:paraId="3FA5E03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0007</w:t>
            </w:r>
          </w:p>
        </w:tc>
      </w:tr>
      <w:tr w14:paraId="5037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3EEEC1A6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  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Quartile 3</w:t>
            </w:r>
          </w:p>
          <w:p w14:paraId="6887C16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Quartile 4</w:t>
            </w:r>
          </w:p>
        </w:tc>
        <w:tc>
          <w:tcPr>
            <w:tcW w:w="834" w:type="pct"/>
          </w:tcPr>
          <w:p w14:paraId="3B13DD9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36</w:t>
            </w:r>
          </w:p>
          <w:p w14:paraId="0429D5A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1388" w:type="pct"/>
          </w:tcPr>
          <w:p w14:paraId="53F57C8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57</w:t>
            </w:r>
          </w:p>
          <w:p w14:paraId="0BB6DDE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1.37-1.79</w:t>
            </w:r>
          </w:p>
        </w:tc>
        <w:tc>
          <w:tcPr>
            <w:tcW w:w="863" w:type="pct"/>
          </w:tcPr>
          <w:p w14:paraId="016B836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  <w:p w14:paraId="149C6E1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0" w:name="OLE_LINK1"/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  <w:bookmarkEnd w:id="0"/>
          </w:p>
        </w:tc>
      </w:tr>
      <w:tr w14:paraId="4333E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76A104D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Age (years)</w:t>
            </w:r>
          </w:p>
        </w:tc>
        <w:tc>
          <w:tcPr>
            <w:tcW w:w="834" w:type="pct"/>
          </w:tcPr>
          <w:p w14:paraId="1A42F41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1388" w:type="pct"/>
          </w:tcPr>
          <w:p w14:paraId="1599C26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1.03-1.04</w:t>
            </w:r>
          </w:p>
        </w:tc>
        <w:tc>
          <w:tcPr>
            <w:tcW w:w="863" w:type="pct"/>
          </w:tcPr>
          <w:p w14:paraId="46C308C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0020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3A530BD6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Male </w:t>
            </w:r>
          </w:p>
        </w:tc>
        <w:tc>
          <w:tcPr>
            <w:tcW w:w="834" w:type="pct"/>
          </w:tcPr>
          <w:p w14:paraId="1EF9D3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1.45</w:t>
            </w:r>
          </w:p>
        </w:tc>
        <w:tc>
          <w:tcPr>
            <w:tcW w:w="1388" w:type="pct"/>
          </w:tcPr>
          <w:p w14:paraId="7128502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863" w:type="pct"/>
          </w:tcPr>
          <w:p w14:paraId="3297AEF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1A360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78DB2A1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White </w:t>
            </w:r>
          </w:p>
        </w:tc>
        <w:tc>
          <w:tcPr>
            <w:tcW w:w="834" w:type="pct"/>
          </w:tcPr>
          <w:p w14:paraId="0AEA6C0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388" w:type="pct"/>
          </w:tcPr>
          <w:p w14:paraId="5E3F2F4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1.22-1.49</w:t>
            </w:r>
          </w:p>
        </w:tc>
        <w:tc>
          <w:tcPr>
            <w:tcW w:w="863" w:type="pct"/>
          </w:tcPr>
          <w:p w14:paraId="3905450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6242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26515A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Education level</w:t>
            </w:r>
          </w:p>
        </w:tc>
        <w:tc>
          <w:tcPr>
            <w:tcW w:w="834" w:type="pct"/>
          </w:tcPr>
          <w:p w14:paraId="1A05822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8" w:type="pct"/>
          </w:tcPr>
          <w:p w14:paraId="605FB5A3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863" w:type="pct"/>
          </w:tcPr>
          <w:p w14:paraId="52C81E62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554D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293E7949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 than high school</w:t>
            </w:r>
          </w:p>
        </w:tc>
        <w:tc>
          <w:tcPr>
            <w:tcW w:w="834" w:type="pct"/>
          </w:tcPr>
          <w:p w14:paraId="5CBFB04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1388" w:type="pct"/>
          </w:tcPr>
          <w:p w14:paraId="40DB38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3" w:type="pct"/>
          </w:tcPr>
          <w:p w14:paraId="3503941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16234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15" w:type="pct"/>
          </w:tcPr>
          <w:p w14:paraId="041473A5">
            <w:pPr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school graduate or GED</w:t>
            </w:r>
          </w:p>
        </w:tc>
        <w:tc>
          <w:tcPr>
            <w:tcW w:w="834" w:type="pct"/>
          </w:tcPr>
          <w:p w14:paraId="1FA524F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388" w:type="pct"/>
          </w:tcPr>
          <w:p w14:paraId="1D88993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863" w:type="pct"/>
          </w:tcPr>
          <w:p w14:paraId="1C697E6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122</w:t>
            </w:r>
          </w:p>
        </w:tc>
      </w:tr>
      <w:tr w14:paraId="4C9D1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63BDD90A">
            <w:pPr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Some college</w:t>
            </w:r>
          </w:p>
        </w:tc>
        <w:tc>
          <w:tcPr>
            <w:tcW w:w="834" w:type="pct"/>
          </w:tcPr>
          <w:p w14:paraId="053C395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88" w:type="pct"/>
          </w:tcPr>
          <w:p w14:paraId="727076E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863" w:type="pct"/>
          </w:tcPr>
          <w:p w14:paraId="5F8D590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289</w:t>
            </w:r>
          </w:p>
        </w:tc>
      </w:tr>
      <w:tr w14:paraId="2C95C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1E8AABB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degree or higher</w:t>
            </w:r>
          </w:p>
        </w:tc>
        <w:tc>
          <w:tcPr>
            <w:tcW w:w="834" w:type="pct"/>
          </w:tcPr>
          <w:p w14:paraId="15EA903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388" w:type="pct"/>
          </w:tcPr>
          <w:p w14:paraId="62AC58D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79</w:t>
            </w:r>
          </w:p>
        </w:tc>
        <w:tc>
          <w:tcPr>
            <w:tcW w:w="863" w:type="pct"/>
          </w:tcPr>
          <w:p w14:paraId="08D9F4E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2205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08B42F0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Living alone</w:t>
            </w:r>
          </w:p>
        </w:tc>
        <w:tc>
          <w:tcPr>
            <w:tcW w:w="834" w:type="pct"/>
          </w:tcPr>
          <w:p w14:paraId="037BF9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388" w:type="pct"/>
          </w:tcPr>
          <w:p w14:paraId="46141070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863" w:type="pct"/>
          </w:tcPr>
          <w:p w14:paraId="0AC77CA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876</w:t>
            </w:r>
          </w:p>
        </w:tc>
      </w:tr>
      <w:tr w14:paraId="426F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8D5FB1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Depression</w:t>
            </w:r>
          </w:p>
        </w:tc>
        <w:tc>
          <w:tcPr>
            <w:tcW w:w="834" w:type="pct"/>
          </w:tcPr>
          <w:p w14:paraId="540F3B9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388" w:type="pct"/>
          </w:tcPr>
          <w:p w14:paraId="676EB2BA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1.12-1.39</w:t>
            </w:r>
          </w:p>
        </w:tc>
        <w:tc>
          <w:tcPr>
            <w:tcW w:w="863" w:type="pct"/>
          </w:tcPr>
          <w:p w14:paraId="1CCB685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495B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0686C1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smoking</w:t>
            </w:r>
          </w:p>
        </w:tc>
        <w:tc>
          <w:tcPr>
            <w:tcW w:w="834" w:type="pct"/>
          </w:tcPr>
          <w:p w14:paraId="0107E20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388" w:type="pct"/>
          </w:tcPr>
          <w:p w14:paraId="26773CC7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bookmarkStart w:id="1" w:name="OLE_LINK11"/>
            <w:r>
              <w:rPr>
                <w:rFonts w:ascii="Times New Roman" w:hAnsi="Times New Roman" w:cs="Times New Roman"/>
                <w:color w:val="000000"/>
                <w:szCs w:val="21"/>
              </w:rPr>
              <w:t>1.19-1.4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</w:t>
            </w:r>
            <w:bookmarkEnd w:id="1"/>
          </w:p>
        </w:tc>
        <w:tc>
          <w:tcPr>
            <w:tcW w:w="863" w:type="pct"/>
          </w:tcPr>
          <w:p w14:paraId="4763590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2CFA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5B908D2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Alcohol </w:t>
            </w:r>
          </w:p>
          <w:p w14:paraId="53830E4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Proteinuria</w:t>
            </w:r>
          </w:p>
          <w:p w14:paraId="65C73A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</w:rPr>
              <w:t>eGFR</w:t>
            </w:r>
          </w:p>
        </w:tc>
        <w:tc>
          <w:tcPr>
            <w:tcW w:w="834" w:type="pct"/>
          </w:tcPr>
          <w:p w14:paraId="2717F98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0.92</w:t>
            </w:r>
          </w:p>
          <w:p w14:paraId="5DCD6D4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30</w:t>
            </w:r>
          </w:p>
          <w:p w14:paraId="2CE68C45">
            <w:pPr>
              <w:tabs>
                <w:tab w:val="left" w:pos="347"/>
              </w:tabs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0.99</w:t>
            </w:r>
          </w:p>
          <w:p w14:paraId="23A00B7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8" w:type="pct"/>
          </w:tcPr>
          <w:p w14:paraId="4DE5546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  <w:p w14:paraId="71E41B1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-1.4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</w:t>
            </w:r>
          </w:p>
          <w:p w14:paraId="56F0C84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00</w:t>
            </w:r>
          </w:p>
          <w:p w14:paraId="6E40342A"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863" w:type="pct"/>
          </w:tcPr>
          <w:p w14:paraId="301E306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118</w:t>
            </w:r>
          </w:p>
          <w:p w14:paraId="1134F1DC">
            <w:pPr>
              <w:ind w:firstLine="315" w:firstLineChars="15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0.000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7</w:t>
            </w:r>
          </w:p>
          <w:p w14:paraId="372F4F1A">
            <w:pPr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2FD59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1DFC77D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Duration of diabetes (years)</w:t>
            </w:r>
          </w:p>
        </w:tc>
        <w:tc>
          <w:tcPr>
            <w:tcW w:w="834" w:type="pct"/>
          </w:tcPr>
          <w:p w14:paraId="798DF30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388" w:type="pct"/>
          </w:tcPr>
          <w:p w14:paraId="55B14CC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1.02-1.03</w:t>
            </w:r>
          </w:p>
        </w:tc>
        <w:tc>
          <w:tcPr>
            <w:tcW w:w="863" w:type="pct"/>
          </w:tcPr>
          <w:p w14:paraId="0DDB443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424B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3051C74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CVD history</w:t>
            </w:r>
          </w:p>
        </w:tc>
        <w:tc>
          <w:tcPr>
            <w:tcW w:w="834" w:type="pct"/>
          </w:tcPr>
          <w:p w14:paraId="4C55E9B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1388" w:type="pct"/>
          </w:tcPr>
          <w:p w14:paraId="16F42145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2.18-2.6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863" w:type="pct"/>
          </w:tcPr>
          <w:p w14:paraId="2EAD1D5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56ED8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6C00763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Previous heart failure</w:t>
            </w:r>
          </w:p>
        </w:tc>
        <w:tc>
          <w:tcPr>
            <w:tcW w:w="834" w:type="pct"/>
          </w:tcPr>
          <w:p w14:paraId="68C3245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1388" w:type="pct"/>
          </w:tcPr>
          <w:p w14:paraId="215534A2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-2.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94</w:t>
            </w:r>
          </w:p>
        </w:tc>
        <w:tc>
          <w:tcPr>
            <w:tcW w:w="863" w:type="pct"/>
          </w:tcPr>
          <w:p w14:paraId="5CD0F25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2F6E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721391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Previous hypertension</w:t>
            </w:r>
          </w:p>
        </w:tc>
        <w:tc>
          <w:tcPr>
            <w:tcW w:w="834" w:type="pct"/>
          </w:tcPr>
          <w:p w14:paraId="73C6D96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1.21</w:t>
            </w:r>
          </w:p>
        </w:tc>
        <w:tc>
          <w:tcPr>
            <w:tcW w:w="1388" w:type="pct"/>
          </w:tcPr>
          <w:p w14:paraId="2E8E3CE0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863" w:type="pct"/>
          </w:tcPr>
          <w:p w14:paraId="21C220B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0.000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7</w:t>
            </w:r>
          </w:p>
        </w:tc>
      </w:tr>
      <w:tr w14:paraId="0BEB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49A6AD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Previous hyperlipidemia</w:t>
            </w:r>
          </w:p>
        </w:tc>
        <w:tc>
          <w:tcPr>
            <w:tcW w:w="834" w:type="pct"/>
          </w:tcPr>
          <w:p w14:paraId="73024AD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388" w:type="pct"/>
          </w:tcPr>
          <w:p w14:paraId="39FE20E7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863" w:type="pct"/>
          </w:tcPr>
          <w:p w14:paraId="65410F1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0781</w:t>
            </w:r>
          </w:p>
        </w:tc>
      </w:tr>
      <w:tr w14:paraId="1CDEE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705072E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Blood pressure (mmHg)</w:t>
            </w:r>
          </w:p>
        </w:tc>
        <w:tc>
          <w:tcPr>
            <w:tcW w:w="834" w:type="pct"/>
          </w:tcPr>
          <w:p w14:paraId="5953EAD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8" w:type="pct"/>
          </w:tcPr>
          <w:p w14:paraId="03662B4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3" w:type="pct"/>
          </w:tcPr>
          <w:p w14:paraId="01971A7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5BE9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2E81A33E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SBP</w:t>
            </w:r>
          </w:p>
        </w:tc>
        <w:tc>
          <w:tcPr>
            <w:tcW w:w="834" w:type="pct"/>
          </w:tcPr>
          <w:p w14:paraId="3E60506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1388" w:type="pct"/>
          </w:tcPr>
          <w:p w14:paraId="0FF8B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1.00-1.01</w:t>
            </w:r>
          </w:p>
        </w:tc>
        <w:tc>
          <w:tcPr>
            <w:tcW w:w="863" w:type="pct"/>
          </w:tcPr>
          <w:p w14:paraId="530758D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4D5BD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21B2DC1F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DBP</w:t>
            </w:r>
          </w:p>
        </w:tc>
        <w:tc>
          <w:tcPr>
            <w:tcW w:w="834" w:type="pct"/>
          </w:tcPr>
          <w:p w14:paraId="65B364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1388" w:type="pct"/>
          </w:tcPr>
          <w:p w14:paraId="2E18220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0.98-0.99</w:t>
            </w:r>
          </w:p>
        </w:tc>
        <w:tc>
          <w:tcPr>
            <w:tcW w:w="863" w:type="pct"/>
          </w:tcPr>
          <w:p w14:paraId="6EDDC85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66E67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5658CEF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Heart rate (bpm)</w:t>
            </w:r>
          </w:p>
        </w:tc>
        <w:tc>
          <w:tcPr>
            <w:tcW w:w="834" w:type="pct"/>
          </w:tcPr>
          <w:p w14:paraId="280928A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1388" w:type="pct"/>
          </w:tcPr>
          <w:p w14:paraId="026A8F9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0.99-1.00</w:t>
            </w:r>
          </w:p>
        </w:tc>
        <w:tc>
          <w:tcPr>
            <w:tcW w:w="863" w:type="pct"/>
          </w:tcPr>
          <w:p w14:paraId="4D12D79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439</w:t>
            </w:r>
          </w:p>
        </w:tc>
      </w:tr>
      <w:tr w14:paraId="40DD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32F1ABA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HbA1c (%)</w:t>
            </w:r>
          </w:p>
        </w:tc>
        <w:tc>
          <w:tcPr>
            <w:tcW w:w="834" w:type="pct"/>
          </w:tcPr>
          <w:p w14:paraId="7C52623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388" w:type="pct"/>
          </w:tcPr>
          <w:p w14:paraId="7F8F5F5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1.08-1.17</w:t>
            </w:r>
          </w:p>
        </w:tc>
        <w:tc>
          <w:tcPr>
            <w:tcW w:w="863" w:type="pct"/>
          </w:tcPr>
          <w:p w14:paraId="3A49EB8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55D9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7BA7A4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FPG </w:t>
            </w:r>
            <w:r>
              <w:rPr>
                <w:rFonts w:ascii="Times New Roman" w:hAnsi="Times New Roman" w:cs="Times New Roman"/>
                <w:szCs w:val="21"/>
              </w:rPr>
              <w:t>(mmol/L)</w:t>
            </w:r>
          </w:p>
          <w:p w14:paraId="694E1DD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2" w:name="OLE_LINK13"/>
            <w:r>
              <w:rPr>
                <w:rFonts w:ascii="Times New Roman" w:hAnsi="Times New Roman" w:cs="Times New Roman"/>
                <w:szCs w:val="21"/>
              </w:rPr>
              <w:t>BMI (kg/m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bookmarkEnd w:id="2"/>
          </w:p>
        </w:tc>
        <w:tc>
          <w:tcPr>
            <w:tcW w:w="834" w:type="pct"/>
          </w:tcPr>
          <w:p w14:paraId="74DB3F6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  <w:p w14:paraId="1A1B65A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1.00 </w:t>
            </w:r>
          </w:p>
        </w:tc>
        <w:tc>
          <w:tcPr>
            <w:tcW w:w="1388" w:type="pct"/>
          </w:tcPr>
          <w:p w14:paraId="2816687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1.00-1.00</w:t>
            </w:r>
          </w:p>
          <w:p w14:paraId="7EB37A8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0.99-1.01</w:t>
            </w:r>
          </w:p>
        </w:tc>
        <w:tc>
          <w:tcPr>
            <w:tcW w:w="863" w:type="pct"/>
          </w:tcPr>
          <w:p w14:paraId="46711F5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  <w:p w14:paraId="7CCCBF7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4958</w:t>
            </w:r>
          </w:p>
        </w:tc>
      </w:tr>
      <w:tr w14:paraId="6B396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11378B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 (mg/dL)</w:t>
            </w:r>
          </w:p>
          <w:p w14:paraId="1AE0C9E1">
            <w:pPr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</w:rPr>
              <w:t>TC (mg/dL)</w:t>
            </w:r>
          </w:p>
          <w:p w14:paraId="3CAD7742">
            <w:pPr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</w:rPr>
              <w:t>LDL-C (mg/dL)</w:t>
            </w:r>
          </w:p>
          <w:p w14:paraId="65C4F37E">
            <w:pPr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hint="eastAsia" w:ascii="Times New Roman" w:hAnsi="Times New Roman" w:cs="Times New Roman"/>
                <w:color w:val="333333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DL(mg/dL</w:t>
            </w:r>
          </w:p>
        </w:tc>
        <w:tc>
          <w:tcPr>
            <w:tcW w:w="834" w:type="pct"/>
          </w:tcPr>
          <w:p w14:paraId="4FBE24C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  <w:p w14:paraId="4C95D7B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  <w:p w14:paraId="2B82214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  <w:p w14:paraId="3A43CD2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0.98</w:t>
            </w:r>
          </w:p>
          <w:p w14:paraId="56213C2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8" w:type="pct"/>
          </w:tcPr>
          <w:p w14:paraId="540CD9B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1.00-1.00</w:t>
            </w:r>
          </w:p>
          <w:p w14:paraId="0C08200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1.00-1.00</w:t>
            </w:r>
          </w:p>
          <w:p w14:paraId="2EC0DC3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1.00-1.00</w:t>
            </w:r>
          </w:p>
          <w:p w14:paraId="37CD34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0.98-0.99</w:t>
            </w:r>
          </w:p>
          <w:p w14:paraId="56760C1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3" w:type="pct"/>
          </w:tcPr>
          <w:p w14:paraId="09BBEF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0.0001</w:t>
            </w:r>
          </w:p>
          <w:p w14:paraId="09CDE3B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0.0531</w:t>
            </w:r>
          </w:p>
          <w:p w14:paraId="3AA5CD34"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0.0376</w:t>
            </w:r>
          </w:p>
          <w:p w14:paraId="05BE290C"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21277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151A693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Medications use</w:t>
            </w:r>
          </w:p>
          <w:p w14:paraId="314236DF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Diuretics                       </w:t>
            </w:r>
          </w:p>
        </w:tc>
        <w:tc>
          <w:tcPr>
            <w:tcW w:w="834" w:type="pct"/>
          </w:tcPr>
          <w:p w14:paraId="543FDA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309E46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1.33</w:t>
            </w:r>
          </w:p>
        </w:tc>
        <w:tc>
          <w:tcPr>
            <w:tcW w:w="1388" w:type="pct"/>
          </w:tcPr>
          <w:p w14:paraId="42F036D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1474522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  1.21-1.46</w:t>
            </w:r>
          </w:p>
        </w:tc>
        <w:tc>
          <w:tcPr>
            <w:tcW w:w="863" w:type="pct"/>
          </w:tcPr>
          <w:p w14:paraId="4D7FCA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3A887CC6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1622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0305074A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Insulin</w:t>
            </w:r>
          </w:p>
        </w:tc>
        <w:tc>
          <w:tcPr>
            <w:tcW w:w="834" w:type="pct"/>
          </w:tcPr>
          <w:p w14:paraId="72F5592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1.45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 xml:space="preserve"> </w:t>
            </w:r>
          </w:p>
        </w:tc>
        <w:tc>
          <w:tcPr>
            <w:tcW w:w="1388" w:type="pct"/>
          </w:tcPr>
          <w:p w14:paraId="496B1580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1.32-1.59</w:t>
            </w:r>
          </w:p>
        </w:tc>
        <w:tc>
          <w:tcPr>
            <w:tcW w:w="863" w:type="pct"/>
          </w:tcPr>
          <w:p w14:paraId="2C24AD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7FBB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39F2E70F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ARB/ACEI</w:t>
            </w:r>
          </w:p>
        </w:tc>
        <w:tc>
          <w:tcPr>
            <w:tcW w:w="834" w:type="pct"/>
          </w:tcPr>
          <w:p w14:paraId="36970DA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388" w:type="pct"/>
          </w:tcPr>
          <w:p w14:paraId="5BF3AC63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0.92-1.12</w:t>
            </w:r>
          </w:p>
        </w:tc>
        <w:tc>
          <w:tcPr>
            <w:tcW w:w="863" w:type="pct"/>
          </w:tcPr>
          <w:p w14:paraId="2E29414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610</w:t>
            </w:r>
          </w:p>
        </w:tc>
      </w:tr>
      <w:tr w14:paraId="07B91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4F21BE3C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CCB</w:t>
            </w:r>
          </w:p>
        </w:tc>
        <w:tc>
          <w:tcPr>
            <w:tcW w:w="834" w:type="pct"/>
          </w:tcPr>
          <w:p w14:paraId="5C8BF0D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388" w:type="pct"/>
          </w:tcPr>
          <w:p w14:paraId="7FA266C7"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-1.5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863" w:type="pct"/>
          </w:tcPr>
          <w:p w14:paraId="144DCCD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3D04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636B141B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Beta blockers</w:t>
            </w:r>
          </w:p>
          <w:p w14:paraId="1DEF2AD9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Biguanides</w:t>
            </w:r>
          </w:p>
        </w:tc>
        <w:tc>
          <w:tcPr>
            <w:tcW w:w="834" w:type="pct"/>
          </w:tcPr>
          <w:p w14:paraId="7B4B94E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  <w:p w14:paraId="1D9C6C7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1388" w:type="pct"/>
          </w:tcPr>
          <w:p w14:paraId="14F9BF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1.5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  <w:p w14:paraId="4C276E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0.72-0.87</w:t>
            </w:r>
          </w:p>
        </w:tc>
        <w:tc>
          <w:tcPr>
            <w:tcW w:w="863" w:type="pct"/>
          </w:tcPr>
          <w:p w14:paraId="1FDA0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  <w:p w14:paraId="09DB4C2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&lt;0.0001</w:t>
            </w:r>
          </w:p>
        </w:tc>
      </w:tr>
      <w:tr w14:paraId="76A3D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6F82A57E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Thiazolidinediones</w:t>
            </w:r>
          </w:p>
          <w:p w14:paraId="0213C27F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Sulfonylureas</w:t>
            </w:r>
          </w:p>
          <w:p w14:paraId="4B192F05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Meglitinides</w:t>
            </w:r>
          </w:p>
        </w:tc>
        <w:tc>
          <w:tcPr>
            <w:tcW w:w="834" w:type="pct"/>
          </w:tcPr>
          <w:p w14:paraId="202DA51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  <w:p w14:paraId="12233EC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</w:p>
          <w:p w14:paraId="6D2BD61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0.84</w:t>
            </w:r>
          </w:p>
        </w:tc>
        <w:tc>
          <w:tcPr>
            <w:tcW w:w="1388" w:type="pct"/>
          </w:tcPr>
          <w:p w14:paraId="45C232D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</w:p>
          <w:p w14:paraId="462511F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0.84-1.0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</w:t>
            </w:r>
          </w:p>
          <w:p w14:paraId="172FCD0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0.61-1.16</w:t>
            </w:r>
          </w:p>
        </w:tc>
        <w:tc>
          <w:tcPr>
            <w:tcW w:w="863" w:type="pct"/>
          </w:tcPr>
          <w:p w14:paraId="1FD8A51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12</w:t>
            </w:r>
          </w:p>
          <w:p w14:paraId="554305C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1004</w:t>
            </w:r>
          </w:p>
          <w:p w14:paraId="07417EA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0.2910</w:t>
            </w:r>
          </w:p>
        </w:tc>
      </w:tr>
      <w:tr w14:paraId="52793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05802C63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Aspirin </w:t>
            </w:r>
          </w:p>
        </w:tc>
        <w:tc>
          <w:tcPr>
            <w:tcW w:w="834" w:type="pct"/>
          </w:tcPr>
          <w:p w14:paraId="2133816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1388" w:type="pct"/>
          </w:tcPr>
          <w:p w14:paraId="4FF7D8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1.02-1.23</w:t>
            </w:r>
          </w:p>
        </w:tc>
        <w:tc>
          <w:tcPr>
            <w:tcW w:w="863" w:type="pct"/>
          </w:tcPr>
          <w:p w14:paraId="7241697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216</w:t>
            </w:r>
          </w:p>
        </w:tc>
      </w:tr>
      <w:tr w14:paraId="1CF0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</w:tcPr>
          <w:p w14:paraId="0EC7492E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Statins</w:t>
            </w:r>
          </w:p>
          <w:p w14:paraId="0E4F1D6A">
            <w:pPr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Fibrates</w:t>
            </w:r>
          </w:p>
        </w:tc>
        <w:tc>
          <w:tcPr>
            <w:tcW w:w="834" w:type="pct"/>
          </w:tcPr>
          <w:p w14:paraId="0C282B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</w:t>
            </w:r>
          </w:p>
          <w:p w14:paraId="7C22253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1.12</w:t>
            </w:r>
          </w:p>
        </w:tc>
        <w:tc>
          <w:tcPr>
            <w:tcW w:w="1388" w:type="pct"/>
          </w:tcPr>
          <w:p w14:paraId="44FB3E2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21</w:t>
            </w:r>
          </w:p>
          <w:p w14:paraId="758BF91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0.93-1.35</w:t>
            </w:r>
          </w:p>
        </w:tc>
        <w:tc>
          <w:tcPr>
            <w:tcW w:w="863" w:type="pct"/>
          </w:tcPr>
          <w:p w14:paraId="15DEE3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0716</w:t>
            </w:r>
          </w:p>
          <w:p w14:paraId="22B88C7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0.2191</w:t>
            </w:r>
          </w:p>
        </w:tc>
      </w:tr>
      <w:tr w14:paraId="66852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pct"/>
            <w:tcBorders>
              <w:bottom w:val="single" w:color="auto" w:sz="8" w:space="0"/>
            </w:tcBorders>
          </w:tcPr>
          <w:p w14:paraId="5060FC2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Cholesterol absorption inhibitors</w:t>
            </w:r>
          </w:p>
        </w:tc>
        <w:tc>
          <w:tcPr>
            <w:tcW w:w="834" w:type="pct"/>
            <w:tcBorders>
              <w:bottom w:val="single" w:color="auto" w:sz="8" w:space="0"/>
            </w:tcBorders>
          </w:tcPr>
          <w:p w14:paraId="33B65DD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388" w:type="pct"/>
            <w:tcBorders>
              <w:bottom w:val="single" w:color="auto" w:sz="8" w:space="0"/>
            </w:tcBorders>
          </w:tcPr>
          <w:p w14:paraId="763B4D6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863" w:type="pct"/>
            <w:tcBorders>
              <w:bottom w:val="single" w:color="auto" w:sz="8" w:space="0"/>
            </w:tcBorders>
          </w:tcPr>
          <w:p w14:paraId="5C1681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112</w:t>
            </w:r>
          </w:p>
        </w:tc>
      </w:tr>
    </w:tbl>
    <w:p w14:paraId="1D5B07E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Abbreviations:HR, hazard ratio; CI, confidence interval;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 xml:space="preserve"> TyG-</w:t>
      </w:r>
      <w:r>
        <w:rPr>
          <w:rFonts w:ascii="Times New Roman" w:hAnsi="Times New Roman" w:cs="Times New Roman"/>
          <w:szCs w:val="21"/>
          <w:shd w:val="clear" w:color="auto" w:fill="FFFFFF"/>
        </w:rPr>
        <w:t>WWI</w:t>
      </w:r>
      <w:r>
        <w:rPr>
          <w:rFonts w:hint="eastAsia" w:ascii="Times New Roman" w:hAnsi="Times New Roman" w:cs="Times New Roman"/>
          <w:kern w:val="0"/>
          <w:sz w:val="24"/>
          <w:szCs w:val="24"/>
          <w:lang w:bidi="ar"/>
        </w:rPr>
        <w:t>,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t</w:t>
      </w:r>
      <w:r>
        <w:rPr>
          <w:rFonts w:ascii="Times New Roman" w:hAnsi="Times New Roman" w:cs="Times New Roman"/>
          <w:szCs w:val="21"/>
          <w:shd w:val="clear" w:color="auto" w:fill="FFFFFF"/>
        </w:rPr>
        <w:t>riglyceride glucose-weight adjusted waist index</w:t>
      </w:r>
      <w:r>
        <w:rPr>
          <w:rFonts w:hint="eastAsia" w:ascii="Times New Roman" w:hAnsi="Times New Roman" w:cs="Times New Roman" w:eastAsiaTheme="minorHAnsi"/>
          <w:color w:val="333333"/>
          <w:shd w:val="clear" w:color="auto" w:fill="FFFFFF"/>
        </w:rPr>
        <w:t>;</w:t>
      </w:r>
      <w:r>
        <w:rPr>
          <w:rFonts w:ascii="Times New Roman" w:hAnsi="Times New Roman" w:cs="Times New Roman"/>
          <w:szCs w:val="21"/>
        </w:rPr>
        <w:t xml:space="preserve"> GED, general education development; CVD, cardiovascular disease; bpm, beet per minute; HbA1c, hemoglobin A1c; FPG, </w:t>
      </w:r>
      <w:r>
        <w:rPr>
          <w:rFonts w:ascii="Times New Roman" w:hAnsi="Times New Roman" w:cs="Times New Roman"/>
          <w:color w:val="000000"/>
          <w:szCs w:val="21"/>
        </w:rPr>
        <w:t>fasting plasma glucose</w:t>
      </w:r>
      <w:r>
        <w:rPr>
          <w:rFonts w:ascii="Times New Roman" w:hAnsi="Times New Roman" w:cs="Times New Roman"/>
          <w:szCs w:val="21"/>
        </w:rPr>
        <w:t xml:space="preserve">; TG, triglycerides; eGFR, estimated glomerular filtration rate; </w:t>
      </w:r>
      <w:bookmarkStart w:id="3" w:name="_Hlk171326553"/>
      <w:r>
        <w:rPr>
          <w:rFonts w:ascii="Times New Roman" w:hAnsi="Times New Roman" w:cs="Times New Roman"/>
          <w:szCs w:val="21"/>
        </w:rPr>
        <w:t>BMI, body mass index;</w:t>
      </w:r>
      <w:bookmarkEnd w:id="3"/>
      <w:r>
        <w:rPr>
          <w:rFonts w:ascii="Times New Roman" w:hAnsi="Times New Roman" w:cs="Times New Roman"/>
          <w:szCs w:val="21"/>
        </w:rPr>
        <w:t xml:space="preserve"> SBP, systolic blood pressure; DBP, diastolic blood pressure; ACEI, angiotensin-converting enzyme inhibitors; ARB, angiotensin receptor blockers; CCB, calcium channel blockers; MACEs, major adverse cardiovascular events.</w:t>
      </w:r>
    </w:p>
    <w:p w14:paraId="484ABBE0"/>
    <w:p w14:paraId="4F5453F6">
      <w:pPr>
        <w:rPr>
          <w:rFonts w:ascii="Times New Roman" w:hAnsi="Times New Roman" w:cs="Times New Roman"/>
          <w:b/>
          <w:szCs w:val="21"/>
        </w:rPr>
      </w:pPr>
      <w:bookmarkStart w:id="4" w:name="_Hlk184498700"/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2. </w:t>
      </w:r>
      <w:r>
        <w:rPr>
          <w:rFonts w:ascii="Times New Roman" w:hAnsi="Times New Roman" w:cs="Times New Roman"/>
          <w:b/>
          <w:szCs w:val="21"/>
        </w:rPr>
        <w:t xml:space="preserve">Risk of </w:t>
      </w:r>
      <w:r>
        <w:rPr>
          <w:rFonts w:hint="eastAsia" w:ascii="Times New Roman" w:hAnsi="Times New Roman" w:cs="Times New Roman"/>
          <w:b/>
          <w:szCs w:val="21"/>
        </w:rPr>
        <w:t>o</w:t>
      </w:r>
      <w:r>
        <w:rPr>
          <w:rFonts w:ascii="Times New Roman" w:hAnsi="Times New Roman" w:cs="Times New Roman"/>
          <w:b/>
          <w:szCs w:val="21"/>
        </w:rPr>
        <w:t>utcome event</w:t>
      </w:r>
      <w:r>
        <w:rPr>
          <w:rFonts w:hint="eastAsia" w:ascii="Times New Roman" w:hAnsi="Times New Roman" w:cs="Times New Roman"/>
          <w:b/>
          <w:szCs w:val="21"/>
        </w:rPr>
        <w:t xml:space="preserve">s </w:t>
      </w:r>
      <w:r>
        <w:rPr>
          <w:rFonts w:ascii="Times New Roman" w:hAnsi="Times New Roman" w:cs="Times New Roman"/>
          <w:b/>
          <w:szCs w:val="21"/>
        </w:rPr>
        <w:t xml:space="preserve">based on </w:t>
      </w:r>
      <w:r>
        <w:rPr>
          <w:rFonts w:hint="eastAsia" w:ascii="Times New Roman" w:hAnsi="Times New Roman" w:cs="Times New Roman"/>
          <w:b/>
          <w:szCs w:val="21"/>
          <w:shd w:val="clear" w:color="auto" w:fill="FFFFFF"/>
        </w:rPr>
        <w:t>TyG-</w:t>
      </w:r>
      <w:r>
        <w:rPr>
          <w:rFonts w:hint="eastAsia" w:ascii="Times New Roman" w:hAnsi="Times New Roman" w:cs="Times New Roman"/>
          <w:b/>
          <w:szCs w:val="21"/>
        </w:rPr>
        <w:t>WWI</w:t>
      </w:r>
      <w:r>
        <w:rPr>
          <w:rFonts w:ascii="Times New Roman" w:hAnsi="Times New Roman" w:cs="Times New Roman"/>
          <w:b/>
          <w:szCs w:val="21"/>
        </w:rPr>
        <w:t xml:space="preserve"> after</w:t>
      </w:r>
      <w:r>
        <w:rPr>
          <w:rFonts w:hint="eastAsia"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employ</w:t>
      </w:r>
      <w:r>
        <w:rPr>
          <w:rFonts w:hint="eastAsia" w:ascii="Times New Roman" w:hAnsi="Times New Roman" w:cs="Times New Roman"/>
          <w:b/>
          <w:szCs w:val="21"/>
        </w:rPr>
        <w:t>ing</w:t>
      </w:r>
      <w:r>
        <w:rPr>
          <w:rFonts w:ascii="Times New Roman" w:hAnsi="Times New Roman" w:cs="Times New Roman"/>
          <w:b/>
          <w:szCs w:val="21"/>
        </w:rPr>
        <w:t xml:space="preserve"> multiple imputation by chained equations to address missing</w:t>
      </w:r>
      <w:r>
        <w:rPr>
          <w:rFonts w:hint="eastAsia" w:ascii="Times New Roman" w:hAnsi="Times New Roman" w:cs="Times New Roman"/>
          <w:b/>
          <w:szCs w:val="21"/>
        </w:rPr>
        <w:t xml:space="preserve"> </w:t>
      </w:r>
      <w:r>
        <w:rPr>
          <w:rFonts w:hint="eastAsia" w:ascii="Times New Roman" w:hAnsi="Times New Roman" w:cs="Times New Roman"/>
          <w:b/>
          <w:szCs w:val="21"/>
          <w:shd w:val="clear" w:color="auto" w:fill="FFFFFF"/>
        </w:rPr>
        <w:t>TyG-</w:t>
      </w:r>
      <w:r>
        <w:rPr>
          <w:rFonts w:hint="eastAsia" w:ascii="Times New Roman" w:hAnsi="Times New Roman" w:cs="Times New Roman"/>
          <w:b/>
          <w:szCs w:val="21"/>
        </w:rPr>
        <w:t xml:space="preserve">WWI </w:t>
      </w:r>
      <w:r>
        <w:rPr>
          <w:rFonts w:ascii="Times New Roman" w:hAnsi="Times New Roman" w:cs="Times New Roman"/>
          <w:b/>
          <w:szCs w:val="21"/>
        </w:rPr>
        <w:t>values at baseline</w:t>
      </w:r>
      <w:r>
        <w:rPr>
          <w:rFonts w:hint="eastAsia"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bookmarkStart w:id="5" w:name="_Hlk171330541"/>
    </w:p>
    <w:bookmarkEnd w:id="4"/>
    <w:bookmarkEnd w:id="5"/>
    <w:tbl>
      <w:tblPr>
        <w:tblStyle w:val="5"/>
        <w:tblW w:w="10348" w:type="dxa"/>
        <w:tblInd w:w="-1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14:paraId="6531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7125F34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Outcome</w:t>
            </w:r>
          </w:p>
        </w:tc>
        <w:tc>
          <w:tcPr>
            <w:tcW w:w="2268" w:type="dxa"/>
            <w:gridSpan w:val="2"/>
            <w:vAlign w:val="center"/>
          </w:tcPr>
          <w:p w14:paraId="57F2249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Non-adjusted</w:t>
            </w:r>
          </w:p>
        </w:tc>
        <w:tc>
          <w:tcPr>
            <w:tcW w:w="2268" w:type="dxa"/>
            <w:gridSpan w:val="2"/>
            <w:vAlign w:val="center"/>
          </w:tcPr>
          <w:p w14:paraId="7F7260D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61F9E37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4A98DBB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6</w:t>
            </w:r>
          </w:p>
        </w:tc>
      </w:tr>
      <w:tr w14:paraId="58DA5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</w:tcPr>
          <w:p w14:paraId="278E61FA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C51757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HR</w:t>
            </w:r>
          </w:p>
          <w:p w14:paraId="7C13E7D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(95%CI)</w:t>
            </w:r>
          </w:p>
        </w:tc>
        <w:tc>
          <w:tcPr>
            <w:tcW w:w="1134" w:type="dxa"/>
            <w:vAlign w:val="center"/>
          </w:tcPr>
          <w:p w14:paraId="22B1F0E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P-value</w:t>
            </w:r>
          </w:p>
        </w:tc>
        <w:tc>
          <w:tcPr>
            <w:tcW w:w="1134" w:type="dxa"/>
            <w:vAlign w:val="center"/>
          </w:tcPr>
          <w:p w14:paraId="1F72D68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HR</w:t>
            </w:r>
          </w:p>
          <w:p w14:paraId="139DF83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(95%CI)</w:t>
            </w:r>
          </w:p>
        </w:tc>
        <w:tc>
          <w:tcPr>
            <w:tcW w:w="1134" w:type="dxa"/>
            <w:vAlign w:val="center"/>
          </w:tcPr>
          <w:p w14:paraId="2E489F7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P-value</w:t>
            </w:r>
          </w:p>
        </w:tc>
        <w:tc>
          <w:tcPr>
            <w:tcW w:w="1134" w:type="dxa"/>
            <w:vAlign w:val="center"/>
          </w:tcPr>
          <w:p w14:paraId="331A5C4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HR</w:t>
            </w:r>
          </w:p>
          <w:p w14:paraId="155273D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(95%CI)</w:t>
            </w:r>
          </w:p>
        </w:tc>
        <w:tc>
          <w:tcPr>
            <w:tcW w:w="1134" w:type="dxa"/>
            <w:vAlign w:val="center"/>
          </w:tcPr>
          <w:p w14:paraId="173308D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P-value</w:t>
            </w:r>
          </w:p>
        </w:tc>
        <w:tc>
          <w:tcPr>
            <w:tcW w:w="1134" w:type="dxa"/>
            <w:vAlign w:val="center"/>
          </w:tcPr>
          <w:p w14:paraId="1BE65AF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HR</w:t>
            </w:r>
          </w:p>
          <w:p w14:paraId="6F3BDD0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(95%CI)</w:t>
            </w:r>
          </w:p>
        </w:tc>
        <w:tc>
          <w:tcPr>
            <w:tcW w:w="1134" w:type="dxa"/>
            <w:vAlign w:val="center"/>
          </w:tcPr>
          <w:p w14:paraId="669AB9E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P-value</w:t>
            </w:r>
          </w:p>
        </w:tc>
      </w:tr>
      <w:tr w14:paraId="0AF5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4C806621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MACEs</w:t>
            </w:r>
          </w:p>
        </w:tc>
        <w:tc>
          <w:tcPr>
            <w:tcW w:w="1134" w:type="dxa"/>
            <w:vAlign w:val="center"/>
          </w:tcPr>
          <w:p w14:paraId="74DAE47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7B995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B5D4C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B1998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5BE75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C62AB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61F7A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67034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5972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224828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Q1</w:t>
            </w:r>
          </w:p>
        </w:tc>
        <w:tc>
          <w:tcPr>
            <w:tcW w:w="1134" w:type="dxa"/>
            <w:vAlign w:val="center"/>
          </w:tcPr>
          <w:p w14:paraId="1DAFCC5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7C3F4B1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30578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109AD80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5EFD7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1A2E34B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A927B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6964C1F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6717E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5B507F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Q2</w:t>
            </w:r>
          </w:p>
        </w:tc>
        <w:tc>
          <w:tcPr>
            <w:tcW w:w="1134" w:type="dxa"/>
            <w:vAlign w:val="center"/>
          </w:tcPr>
          <w:p w14:paraId="2CFFD19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6D19856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71F5C3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92192C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7809C71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1.17 (1.01, 1.35) </w:t>
            </w:r>
          </w:p>
        </w:tc>
        <w:tc>
          <w:tcPr>
            <w:tcW w:w="1134" w:type="dxa"/>
            <w:vAlign w:val="center"/>
          </w:tcPr>
          <w:p w14:paraId="2A27D0E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14:paraId="5485875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1.17 (1.01, 1.35) </w:t>
            </w:r>
          </w:p>
        </w:tc>
        <w:tc>
          <w:tcPr>
            <w:tcW w:w="1134" w:type="dxa"/>
            <w:vAlign w:val="center"/>
          </w:tcPr>
          <w:p w14:paraId="21A58CD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78</w:t>
            </w:r>
          </w:p>
        </w:tc>
      </w:tr>
      <w:tr w14:paraId="59C6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ACFF6D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Q3</w:t>
            </w:r>
          </w:p>
        </w:tc>
        <w:tc>
          <w:tcPr>
            <w:tcW w:w="1134" w:type="dxa"/>
            <w:vAlign w:val="center"/>
          </w:tcPr>
          <w:p w14:paraId="373DBB9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1.36 (1.19, 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653A5F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212E17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95FE82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0.0003</w:t>
            </w:r>
          </w:p>
        </w:tc>
        <w:tc>
          <w:tcPr>
            <w:tcW w:w="1134" w:type="dxa"/>
            <w:vAlign w:val="center"/>
          </w:tcPr>
          <w:p w14:paraId="3F58C3F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1.20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4B62478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134" w:type="dxa"/>
            <w:vAlign w:val="center"/>
          </w:tcPr>
          <w:p w14:paraId="145FB2E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(1.03, 1.3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65E469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97</w:t>
            </w:r>
          </w:p>
        </w:tc>
      </w:tr>
      <w:tr w14:paraId="2418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41A8660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Q4</w:t>
            </w:r>
          </w:p>
        </w:tc>
        <w:tc>
          <w:tcPr>
            <w:tcW w:w="1134" w:type="dxa"/>
            <w:vAlign w:val="center"/>
          </w:tcPr>
          <w:p w14:paraId="745E134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81729C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0BAA386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1.53 (1.33, 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C43302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89ADC0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1.30 (1.10, 1.53) </w:t>
            </w:r>
          </w:p>
        </w:tc>
        <w:tc>
          <w:tcPr>
            <w:tcW w:w="1134" w:type="dxa"/>
            <w:vAlign w:val="center"/>
          </w:tcPr>
          <w:p w14:paraId="47F7B13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0.0023</w:t>
            </w:r>
          </w:p>
        </w:tc>
        <w:tc>
          <w:tcPr>
            <w:tcW w:w="1134" w:type="dxa"/>
            <w:vAlign w:val="center"/>
          </w:tcPr>
          <w:p w14:paraId="0455649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AFFD84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</w:tr>
      <w:tr w14:paraId="7A8F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4C37CE3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Per 1 SD</w:t>
            </w:r>
          </w:p>
        </w:tc>
        <w:tc>
          <w:tcPr>
            <w:tcW w:w="1134" w:type="dxa"/>
            <w:vAlign w:val="center"/>
          </w:tcPr>
          <w:p w14:paraId="13EFEA2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1.18 (1.13, 1.24) </w:t>
            </w:r>
          </w:p>
        </w:tc>
        <w:tc>
          <w:tcPr>
            <w:tcW w:w="1134" w:type="dxa"/>
            <w:vAlign w:val="center"/>
          </w:tcPr>
          <w:p w14:paraId="75F7AF6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A10708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1.17 (1.12, 1.23) </w:t>
            </w:r>
          </w:p>
        </w:tc>
        <w:tc>
          <w:tcPr>
            <w:tcW w:w="1134" w:type="dxa"/>
            <w:vAlign w:val="center"/>
          </w:tcPr>
          <w:p w14:paraId="23B91BB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0F6847C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1.12 (1.05, 1.19) </w:t>
            </w:r>
          </w:p>
        </w:tc>
        <w:tc>
          <w:tcPr>
            <w:tcW w:w="1134" w:type="dxa"/>
            <w:vAlign w:val="center"/>
          </w:tcPr>
          <w:p w14:paraId="2E96FF3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1C93A2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1.11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4FC95A0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</w:tr>
      <w:tr w14:paraId="5B1C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5D54E56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 for trend</w:t>
            </w:r>
          </w:p>
        </w:tc>
        <w:tc>
          <w:tcPr>
            <w:tcW w:w="1134" w:type="dxa"/>
            <w:vAlign w:val="center"/>
          </w:tcPr>
          <w:p w14:paraId="1CF23F7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79B34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1BDEF4E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66C49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288FEFC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4EE7DD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C5F2F3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A3706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68</w:t>
            </w:r>
          </w:p>
        </w:tc>
      </w:tr>
      <w:tr w14:paraId="1407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0C27A3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Major CHD</w:t>
            </w:r>
          </w:p>
        </w:tc>
        <w:tc>
          <w:tcPr>
            <w:tcW w:w="1134" w:type="dxa"/>
            <w:vAlign w:val="center"/>
          </w:tcPr>
          <w:p w14:paraId="3FD62E1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B24F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B1A8F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ABF27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814D7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D85BBB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7EAA5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592C5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4245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4EE2E1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Q1</w:t>
            </w:r>
          </w:p>
        </w:tc>
        <w:tc>
          <w:tcPr>
            <w:tcW w:w="1134" w:type="dxa"/>
            <w:vAlign w:val="center"/>
          </w:tcPr>
          <w:p w14:paraId="406A3F2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4705BA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CF7EB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503DD6C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655A0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1E3B67D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0B0D2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0B04628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2505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72B64DC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Q2</w:t>
            </w:r>
          </w:p>
        </w:tc>
        <w:tc>
          <w:tcPr>
            <w:tcW w:w="1134" w:type="dxa"/>
            <w:vAlign w:val="center"/>
          </w:tcPr>
          <w:p w14:paraId="56D37BB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A3E68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0.0001</w:t>
            </w:r>
          </w:p>
        </w:tc>
        <w:tc>
          <w:tcPr>
            <w:tcW w:w="1134" w:type="dxa"/>
            <w:vAlign w:val="center"/>
          </w:tcPr>
          <w:p w14:paraId="1743D54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205AB3E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52B38E7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1.20 (1.04, 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4D6D28E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14:paraId="6FC6C5D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1.20 (1.04, 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7A08B1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35</w:t>
            </w:r>
          </w:p>
        </w:tc>
      </w:tr>
      <w:tr w14:paraId="4093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C5A7D8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Q3</w:t>
            </w:r>
          </w:p>
        </w:tc>
        <w:tc>
          <w:tcPr>
            <w:tcW w:w="1134" w:type="dxa"/>
            <w:vAlign w:val="center"/>
          </w:tcPr>
          <w:p w14:paraId="668E43B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(1.27, 1.67) </w:t>
            </w:r>
          </w:p>
        </w:tc>
        <w:tc>
          <w:tcPr>
            <w:tcW w:w="1134" w:type="dxa"/>
            <w:vAlign w:val="center"/>
          </w:tcPr>
          <w:p w14:paraId="7AC97D3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1ED5220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1.36 (1.19, 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71878DB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78543BC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1.44) </w:t>
            </w:r>
          </w:p>
        </w:tc>
        <w:tc>
          <w:tcPr>
            <w:tcW w:w="1134" w:type="dxa"/>
            <w:vAlign w:val="center"/>
          </w:tcPr>
          <w:p w14:paraId="5287532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2C8D1E9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1.23 (1.06,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CDB352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54</w:t>
            </w:r>
          </w:p>
        </w:tc>
      </w:tr>
      <w:tr w14:paraId="085F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D76902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Q4</w:t>
            </w:r>
          </w:p>
        </w:tc>
        <w:tc>
          <w:tcPr>
            <w:tcW w:w="1134" w:type="dxa"/>
            <w:vAlign w:val="center"/>
          </w:tcPr>
          <w:p w14:paraId="7885294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278D14B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A60391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87B49A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7CC54FC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1.23 (1.04,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892636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14:paraId="62FC45A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1.21 (1.02, 1.43) </w:t>
            </w:r>
          </w:p>
        </w:tc>
        <w:tc>
          <w:tcPr>
            <w:tcW w:w="1134" w:type="dxa"/>
            <w:vAlign w:val="center"/>
          </w:tcPr>
          <w:p w14:paraId="0308EC5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50</w:t>
            </w:r>
          </w:p>
        </w:tc>
      </w:tr>
      <w:tr w14:paraId="637C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532A9B7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Per 1 SD</w:t>
            </w:r>
          </w:p>
        </w:tc>
        <w:tc>
          <w:tcPr>
            <w:tcW w:w="1134" w:type="dxa"/>
            <w:vAlign w:val="center"/>
          </w:tcPr>
          <w:p w14:paraId="249BFC2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1.23) </w:t>
            </w:r>
          </w:p>
        </w:tc>
        <w:tc>
          <w:tcPr>
            <w:tcW w:w="1134" w:type="dxa"/>
            <w:vAlign w:val="center"/>
          </w:tcPr>
          <w:p w14:paraId="0F24D7A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1372151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1.16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1.22) </w:t>
            </w:r>
          </w:p>
        </w:tc>
        <w:tc>
          <w:tcPr>
            <w:tcW w:w="1134" w:type="dxa"/>
            <w:vAlign w:val="center"/>
          </w:tcPr>
          <w:p w14:paraId="1A9EAFC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4CB0CA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1.09 (1.02, 1.16) </w:t>
            </w:r>
          </w:p>
        </w:tc>
        <w:tc>
          <w:tcPr>
            <w:tcW w:w="1134" w:type="dxa"/>
            <w:vAlign w:val="center"/>
          </w:tcPr>
          <w:p w14:paraId="0CB18A4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212D2A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1.08 (1.01, 1.15) </w:t>
            </w:r>
          </w:p>
        </w:tc>
        <w:tc>
          <w:tcPr>
            <w:tcW w:w="1134" w:type="dxa"/>
            <w:vAlign w:val="center"/>
          </w:tcPr>
          <w:p w14:paraId="7728637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209</w:t>
            </w:r>
          </w:p>
        </w:tc>
      </w:tr>
      <w:tr w14:paraId="5C4D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DC8440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 for trend</w:t>
            </w:r>
          </w:p>
        </w:tc>
        <w:tc>
          <w:tcPr>
            <w:tcW w:w="1134" w:type="dxa"/>
            <w:vAlign w:val="center"/>
          </w:tcPr>
          <w:p w14:paraId="76E579F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C85850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094E08B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B1D2F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DF6155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9D370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0194</w:t>
            </w:r>
          </w:p>
        </w:tc>
        <w:tc>
          <w:tcPr>
            <w:tcW w:w="1134" w:type="dxa"/>
            <w:vAlign w:val="center"/>
          </w:tcPr>
          <w:p w14:paraId="6E5580D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3C2B1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252</w:t>
            </w:r>
          </w:p>
        </w:tc>
      </w:tr>
      <w:tr w14:paraId="6A94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410A1B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CHF</w:t>
            </w:r>
          </w:p>
        </w:tc>
        <w:tc>
          <w:tcPr>
            <w:tcW w:w="1134" w:type="dxa"/>
            <w:vAlign w:val="center"/>
          </w:tcPr>
          <w:p w14:paraId="5D19D2B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B55E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E5A23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8DDA9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08E52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4B9F2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244A9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4D828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6D9C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59A43D0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Q1</w:t>
            </w:r>
          </w:p>
        </w:tc>
        <w:tc>
          <w:tcPr>
            <w:tcW w:w="1134" w:type="dxa"/>
            <w:vAlign w:val="center"/>
          </w:tcPr>
          <w:p w14:paraId="0CC5CCA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1B47C78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BD6E3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1D3AF3D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A9B5E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7EB54D1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5B5F4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2862B3E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1628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C3E160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Q2</w:t>
            </w:r>
          </w:p>
        </w:tc>
        <w:tc>
          <w:tcPr>
            <w:tcW w:w="1134" w:type="dxa"/>
            <w:vAlign w:val="center"/>
          </w:tcPr>
          <w:p w14:paraId="64DFFF3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04E66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740</w:t>
            </w:r>
          </w:p>
        </w:tc>
        <w:tc>
          <w:tcPr>
            <w:tcW w:w="1134" w:type="dxa"/>
            <w:vAlign w:val="center"/>
          </w:tcPr>
          <w:p w14:paraId="5AD14CA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2A776A1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1103</w:t>
            </w:r>
          </w:p>
        </w:tc>
        <w:tc>
          <w:tcPr>
            <w:tcW w:w="1134" w:type="dxa"/>
            <w:vAlign w:val="center"/>
          </w:tcPr>
          <w:p w14:paraId="422E6D3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A1FD36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4479</w:t>
            </w:r>
          </w:p>
        </w:tc>
        <w:tc>
          <w:tcPr>
            <w:tcW w:w="1134" w:type="dxa"/>
            <w:vAlign w:val="center"/>
          </w:tcPr>
          <w:p w14:paraId="01FE181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BF020D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4258</w:t>
            </w:r>
          </w:p>
        </w:tc>
      </w:tr>
      <w:tr w14:paraId="0D8CB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CD33FC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Q3</w:t>
            </w:r>
          </w:p>
        </w:tc>
        <w:tc>
          <w:tcPr>
            <w:tcW w:w="1134" w:type="dxa"/>
            <w:vAlign w:val="center"/>
          </w:tcPr>
          <w:p w14:paraId="0F41AF3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65EB6F8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1423524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2A17863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14:paraId="6385D15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(0.97, 1.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FBBCD4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14:paraId="02BE966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649D9C9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89</w:t>
            </w:r>
          </w:p>
        </w:tc>
      </w:tr>
      <w:tr w14:paraId="03A7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95A6F6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Q4</w:t>
            </w:r>
          </w:p>
        </w:tc>
        <w:tc>
          <w:tcPr>
            <w:tcW w:w="1134" w:type="dxa"/>
            <w:vAlign w:val="center"/>
          </w:tcPr>
          <w:p w14:paraId="4D71197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6EAA9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737725F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2.5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CF95BB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4540383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2.1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4BBAAEA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3CA96A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2.1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E03678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</w:tr>
      <w:tr w14:paraId="7DD88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4D51C23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Per 1 SD</w:t>
            </w:r>
          </w:p>
        </w:tc>
        <w:tc>
          <w:tcPr>
            <w:tcW w:w="1134" w:type="dxa"/>
            <w:vAlign w:val="center"/>
          </w:tcPr>
          <w:p w14:paraId="5494C15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1.33 (1.24, 1.43) </w:t>
            </w:r>
          </w:p>
        </w:tc>
        <w:tc>
          <w:tcPr>
            <w:tcW w:w="1134" w:type="dxa"/>
            <w:vAlign w:val="center"/>
          </w:tcPr>
          <w:p w14:paraId="69C964F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E33536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1.33 (1.23, 1.44) </w:t>
            </w:r>
          </w:p>
        </w:tc>
        <w:tc>
          <w:tcPr>
            <w:tcW w:w="1134" w:type="dxa"/>
            <w:vAlign w:val="center"/>
          </w:tcPr>
          <w:p w14:paraId="4214C54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1E0393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(1.16, 1.4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2009ED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CDA9B7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(1.15, 1.4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98AD34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</w:tr>
      <w:tr w14:paraId="27CE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775E7B9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 for trend</w:t>
            </w:r>
          </w:p>
        </w:tc>
        <w:tc>
          <w:tcPr>
            <w:tcW w:w="1134" w:type="dxa"/>
            <w:vAlign w:val="center"/>
          </w:tcPr>
          <w:p w14:paraId="7EB8C4A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5CD7F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1D5F97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8D0492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993783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76E8F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0.0002</w:t>
            </w:r>
          </w:p>
        </w:tc>
        <w:tc>
          <w:tcPr>
            <w:tcW w:w="1134" w:type="dxa"/>
            <w:vAlign w:val="center"/>
          </w:tcPr>
          <w:p w14:paraId="41D3F43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4BD8E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</w:tr>
      <w:tr w14:paraId="450C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E8F91FB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Total mortality</w:t>
            </w:r>
          </w:p>
        </w:tc>
        <w:tc>
          <w:tcPr>
            <w:tcW w:w="1134" w:type="dxa"/>
            <w:vAlign w:val="center"/>
          </w:tcPr>
          <w:p w14:paraId="54E0107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E48D9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194E2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D6DAC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948E4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237FF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F1849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788ED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4548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FEA53C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Q1</w:t>
            </w:r>
          </w:p>
        </w:tc>
        <w:tc>
          <w:tcPr>
            <w:tcW w:w="1134" w:type="dxa"/>
            <w:vAlign w:val="center"/>
          </w:tcPr>
          <w:p w14:paraId="2B9DBBF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5D3F9F3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CB96D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5967514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A53AF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3CD549A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77D08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Ref</w:t>
            </w:r>
          </w:p>
        </w:tc>
        <w:tc>
          <w:tcPr>
            <w:tcW w:w="1134" w:type="dxa"/>
            <w:vAlign w:val="center"/>
          </w:tcPr>
          <w:p w14:paraId="5886C53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 w14:paraId="080B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8A528B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Q2</w:t>
            </w:r>
          </w:p>
        </w:tc>
        <w:tc>
          <w:tcPr>
            <w:tcW w:w="1134" w:type="dxa"/>
            <w:vAlign w:val="center"/>
          </w:tcPr>
          <w:p w14:paraId="1316D6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6E399CC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2447</w:t>
            </w:r>
          </w:p>
        </w:tc>
        <w:tc>
          <w:tcPr>
            <w:tcW w:w="1134" w:type="dxa"/>
            <w:vAlign w:val="center"/>
          </w:tcPr>
          <w:p w14:paraId="333F6E8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237F355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3601</w:t>
            </w:r>
          </w:p>
        </w:tc>
        <w:tc>
          <w:tcPr>
            <w:tcW w:w="1134" w:type="dxa"/>
            <w:vAlign w:val="center"/>
          </w:tcPr>
          <w:p w14:paraId="622E025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A1D15E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7214</w:t>
            </w:r>
          </w:p>
        </w:tc>
        <w:tc>
          <w:tcPr>
            <w:tcW w:w="1134" w:type="dxa"/>
            <w:vAlign w:val="center"/>
          </w:tcPr>
          <w:p w14:paraId="68DF202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2E0759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6834</w:t>
            </w:r>
          </w:p>
        </w:tc>
      </w:tr>
      <w:tr w14:paraId="3519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E92801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Q3</w:t>
            </w:r>
          </w:p>
        </w:tc>
        <w:tc>
          <w:tcPr>
            <w:tcW w:w="1134" w:type="dxa"/>
            <w:vAlign w:val="center"/>
          </w:tcPr>
          <w:p w14:paraId="4549B11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371C00B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855721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107640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14:paraId="639541C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700A267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1134</w:t>
            </w:r>
          </w:p>
        </w:tc>
        <w:tc>
          <w:tcPr>
            <w:tcW w:w="1134" w:type="dxa"/>
            <w:vAlign w:val="center"/>
          </w:tcPr>
          <w:p w14:paraId="5072B0F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5AFCF39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1154</w:t>
            </w:r>
          </w:p>
        </w:tc>
      </w:tr>
      <w:tr w14:paraId="39D0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58AD97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Q4</w:t>
            </w:r>
          </w:p>
        </w:tc>
        <w:tc>
          <w:tcPr>
            <w:tcW w:w="1134" w:type="dxa"/>
            <w:vAlign w:val="center"/>
          </w:tcPr>
          <w:p w14:paraId="2AC5AB1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7C4214D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0E260A0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(1.36, 1.7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645C19B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C546E6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E1B6FB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4D993EE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B0E2C9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0.0001</w:t>
            </w:r>
          </w:p>
        </w:tc>
      </w:tr>
      <w:tr w14:paraId="707AE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3BD257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Per 1 SD</w:t>
            </w:r>
          </w:p>
        </w:tc>
        <w:tc>
          <w:tcPr>
            <w:tcW w:w="1134" w:type="dxa"/>
            <w:vAlign w:val="center"/>
          </w:tcPr>
          <w:p w14:paraId="0A530A4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1.17 (1.12, 1.22) </w:t>
            </w:r>
          </w:p>
        </w:tc>
        <w:tc>
          <w:tcPr>
            <w:tcW w:w="1134" w:type="dxa"/>
            <w:vAlign w:val="center"/>
          </w:tcPr>
          <w:p w14:paraId="2EBDA9D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D29A6D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1.17 (1.12, 1.23) </w:t>
            </w:r>
          </w:p>
        </w:tc>
        <w:tc>
          <w:tcPr>
            <w:tcW w:w="1134" w:type="dxa"/>
            <w:vAlign w:val="center"/>
          </w:tcPr>
          <w:p w14:paraId="01F1C0F3">
            <w:pPr>
              <w:tabs>
                <w:tab w:val="left" w:pos="645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3283EB0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1.12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1.19) </w:t>
            </w:r>
          </w:p>
        </w:tc>
        <w:tc>
          <w:tcPr>
            <w:tcW w:w="1134" w:type="dxa"/>
            <w:vAlign w:val="center"/>
          </w:tcPr>
          <w:p w14:paraId="09DBCFE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0.0003</w:t>
            </w:r>
          </w:p>
        </w:tc>
        <w:tc>
          <w:tcPr>
            <w:tcW w:w="1134" w:type="dxa"/>
            <w:vAlign w:val="center"/>
          </w:tcPr>
          <w:p w14:paraId="50C3740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1.12 (1.0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7548448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</w:tr>
      <w:tr w14:paraId="54B6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5B06D7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 for trend</w:t>
            </w:r>
          </w:p>
        </w:tc>
        <w:tc>
          <w:tcPr>
            <w:tcW w:w="1134" w:type="dxa"/>
            <w:vAlign w:val="center"/>
          </w:tcPr>
          <w:p w14:paraId="4C6381A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7202A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0DD1E8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E91B0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02BEAA4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97D56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46E3190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430F8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&lt;0.0001</w:t>
            </w:r>
          </w:p>
        </w:tc>
      </w:tr>
    </w:tbl>
    <w:p w14:paraId="030C2704">
      <w:pPr>
        <w:rPr>
          <w:rFonts w:ascii="Times New Roman" w:hAnsi="Times New Roman" w:cs="Times New Roman"/>
          <w:szCs w:val="21"/>
        </w:rPr>
      </w:pPr>
    </w:p>
    <w:p w14:paraId="21AB021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Data are expressed as HR and 95% CIs (reported in parentheses) as assessed by multivariable Cox regression analysis</w:t>
      </w:r>
      <w:r>
        <w:rPr>
          <w:rFonts w:hint="eastAsia" w:ascii="Times New Roman" w:hAnsi="Times New Roman" w:cs="Times New Roman"/>
          <w:szCs w:val="21"/>
        </w:rPr>
        <w:t>.</w:t>
      </w:r>
    </w:p>
    <w:p w14:paraId="387BA1B7">
      <w:pPr>
        <w:widowControl/>
        <w:jc w:val="left"/>
        <w:rPr>
          <w:rFonts w:ascii="Times New Roman" w:hAnsi="Times New Roman" w:cs="Times New Roman"/>
          <w:szCs w:val="21"/>
        </w:rPr>
      </w:pPr>
      <w:bookmarkStart w:id="6" w:name="OLE_LINK5"/>
      <w:r>
        <w:rPr>
          <w:rFonts w:ascii="Times New Roman" w:hAnsi="Times New Roman" w:cs="Times New Roman"/>
          <w:szCs w:val="21"/>
        </w:rPr>
        <w:t xml:space="preserve">Model </w:t>
      </w:r>
      <w:r>
        <w:rPr>
          <w:rFonts w:hint="eastAsia"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: adjusted for</w:t>
      </w:r>
      <w:bookmarkStart w:id="7" w:name="OLE_LINK18"/>
      <w:r>
        <w:rPr>
          <w:rFonts w:ascii="Times New Roman" w:hAnsi="Times New Roman" w:cs="Times New Roman"/>
          <w:szCs w:val="21"/>
        </w:rPr>
        <w:t xml:space="preserve"> sex, race, age, height, education, living alone, and smoking.</w:t>
      </w:r>
      <w:bookmarkEnd w:id="7"/>
    </w:p>
    <w:p w14:paraId="79F7CB4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Model 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: adjusted for model 1 covariables plus history of cardiovascular disease, previous hypertension, previous hyperlipidemia, proteinuria, heart failure, depression, duration of diabetes, SBP, DBP, HbA1c, TC, LDL-C, HDL-C</w:t>
      </w:r>
      <w:r>
        <w:rPr>
          <w:rFonts w:hint="eastAsia" w:ascii="Times New Roman" w:hAnsi="Times New Roman" w:cs="Times New Roman"/>
          <w:szCs w:val="21"/>
        </w:rPr>
        <w:t xml:space="preserve"> and</w:t>
      </w:r>
      <w:r>
        <w:rPr>
          <w:rFonts w:ascii="Times New Roman" w:hAnsi="Times New Roman" w:cs="Times New Roman"/>
          <w:szCs w:val="21"/>
        </w:rPr>
        <w:t xml:space="preserve"> eGFR.</w:t>
      </w:r>
    </w:p>
    <w:p w14:paraId="323DA4C1">
      <w:pPr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Model </w:t>
      </w:r>
      <w:r>
        <w:rPr>
          <w:rFonts w:hint="eastAsia"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: adjusted for model 2 covariables plus the medications use, diuretics, CCBs, beta-blockers, biguanides, meglitinides, thiazolidinediones, insulins, statins, fibrates, cholesterol absorption inhibitors, and </w:t>
      </w:r>
      <w:r>
        <w:rPr>
          <w:rFonts w:hint="eastAsia"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spirins.</w:t>
      </w:r>
    </w:p>
    <w:bookmarkEnd w:id="6"/>
    <w:p w14:paraId="01E64AA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 xml:space="preserve"> TyG-</w:t>
      </w:r>
      <w:r>
        <w:rPr>
          <w:rFonts w:ascii="Times New Roman" w:hAnsi="Times New Roman" w:cs="Times New Roman"/>
          <w:szCs w:val="21"/>
          <w:shd w:val="clear" w:color="auto" w:fill="FFFFFF"/>
        </w:rPr>
        <w:t>WWI</w:t>
      </w:r>
      <w:r>
        <w:rPr>
          <w:rFonts w:hint="eastAsia" w:ascii="Times New Roman" w:hAnsi="Times New Roman" w:cs="Times New Roman"/>
          <w:kern w:val="0"/>
          <w:sz w:val="24"/>
          <w:szCs w:val="24"/>
          <w:lang w:bidi="ar"/>
        </w:rPr>
        <w:t>,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t</w:t>
      </w:r>
      <w:r>
        <w:rPr>
          <w:rFonts w:ascii="Times New Roman" w:hAnsi="Times New Roman" w:cs="Times New Roman"/>
          <w:szCs w:val="21"/>
          <w:shd w:val="clear" w:color="auto" w:fill="FFFFFF"/>
        </w:rPr>
        <w:t>riglyceride glucose-weight adjusted waist index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;</w:t>
      </w:r>
      <w:r>
        <w:rPr>
          <w:rFonts w:ascii="Times New Roman" w:hAnsi="Times New Roman" w:cs="Times New Roman"/>
          <w:color w:val="333333"/>
          <w:kern w:val="0"/>
          <w:szCs w:val="21"/>
        </w:rPr>
        <w:t xml:space="preserve"> MACEs, Major 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a</w:t>
      </w:r>
      <w:r>
        <w:rPr>
          <w:rFonts w:ascii="Times New Roman" w:hAnsi="Times New Roman" w:cs="Times New Roman"/>
          <w:color w:val="333333"/>
          <w:kern w:val="0"/>
          <w:szCs w:val="21"/>
        </w:rPr>
        <w:t xml:space="preserve">dverse 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c</w:t>
      </w:r>
      <w:r>
        <w:rPr>
          <w:rFonts w:ascii="Times New Roman" w:hAnsi="Times New Roman" w:cs="Times New Roman"/>
          <w:color w:val="333333"/>
          <w:kern w:val="0"/>
          <w:szCs w:val="21"/>
        </w:rPr>
        <w:t xml:space="preserve">ardiovascular 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e</w:t>
      </w:r>
      <w:r>
        <w:rPr>
          <w:rFonts w:ascii="Times New Roman" w:hAnsi="Times New Roman" w:cs="Times New Roman"/>
          <w:color w:val="333333"/>
          <w:kern w:val="0"/>
          <w:szCs w:val="21"/>
        </w:rPr>
        <w:t>vents;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HR: </w:t>
      </w:r>
      <w:r>
        <w:rPr>
          <w:rFonts w:hint="eastAsia"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azard ratio; CI: </w:t>
      </w:r>
      <w:r>
        <w:rPr>
          <w:rFonts w:hint="eastAsia"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onfidence interval</w:t>
      </w:r>
      <w:r>
        <w:rPr>
          <w:rFonts w:hint="eastAsia"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color w:val="333333"/>
          <w:kern w:val="0"/>
          <w:szCs w:val="21"/>
        </w:rPr>
        <w:t xml:space="preserve"> CVD, Cardiovascular 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d</w:t>
      </w:r>
      <w:r>
        <w:rPr>
          <w:rFonts w:ascii="Times New Roman" w:hAnsi="Times New Roman" w:cs="Times New Roman"/>
          <w:color w:val="333333"/>
          <w:kern w:val="0"/>
          <w:szCs w:val="21"/>
        </w:rPr>
        <w:t>isease; MI, Myocardial infarction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;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 xml:space="preserve"> CHD,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Cs w:val="21"/>
          <w:shd w:val="clear" w:color="auto" w:fill="FFFFFF"/>
        </w:rPr>
        <w:t>oronary heart disease events</w:t>
      </w:r>
      <w:r>
        <w:rPr>
          <w:rFonts w:hint="eastAsia" w:ascii="Times New Roman" w:hAnsi="Times New Roman" w:cs="Times New Roman"/>
          <w:szCs w:val="21"/>
          <w:shd w:val="clear" w:color="auto" w:fill="FFFFFF"/>
        </w:rPr>
        <w:t>;</w:t>
      </w:r>
      <w:r>
        <w:rPr>
          <w:rFonts w:hint="eastAsia" w:ascii="Times New Roman" w:hAnsi="Times New Roman" w:cs="Times New Roman"/>
          <w:color w:val="333333"/>
          <w:kern w:val="0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HF, </w:t>
      </w:r>
      <w:r>
        <w:rPr>
          <w:rFonts w:hint="eastAsia"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ongestive heart failure</w:t>
      </w:r>
      <w:r>
        <w:rPr>
          <w:rFonts w:hint="eastAsia" w:ascii="Times New Roman" w:hAnsi="Times New Roman" w:cs="Times New Roman"/>
          <w:szCs w:val="21"/>
        </w:rPr>
        <w:t>.</w:t>
      </w:r>
    </w:p>
    <w:p w14:paraId="180FB7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8B"/>
    <w:rsid w:val="00190E8B"/>
    <w:rsid w:val="00412BA0"/>
    <w:rsid w:val="005E00C9"/>
    <w:rsid w:val="00C73E31"/>
    <w:rsid w:val="0A51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Grid Table Light"/>
    <w:basedOn w:val="4"/>
    <w:uiPriority w:val="40"/>
    <w:rPr>
      <w14:ligatures w14:val="none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796</Words>
  <Characters>4697</Characters>
  <Lines>40</Lines>
  <Paragraphs>11</Paragraphs>
  <TotalTime>0</TotalTime>
  <ScaleCrop>false</ScaleCrop>
  <LinksUpToDate>false</LinksUpToDate>
  <CharactersWithSpaces>5225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2025-01-06T07:03:00Z</dcterms:created>
  <dc:creator>maojun liu</dc:creator>
  <cp:lastModifiedBy>eninner</cp:lastModifiedBy>
  <dcterms:modified xsi:type="dcterms:W3CDTF">2025-05-16T05:33:36Z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eyJoZGlkIjoiZjFmZWIzNDg2MmIzZjExOTIzMmViNTBmYTMwYTk0ZWYiLCJ1c2VySWQiOiIyMzk1Njk4NDkifQ==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01F91836931449B88D0A2A93359D07B0_12</vt:lpwstr>
  </property>
</Properties>
</file>