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61E3E9" w14:textId="0A0AC489" w:rsidR="007643FC" w:rsidRPr="00477D51" w:rsidRDefault="007643FC" w:rsidP="00A17272">
      <w:pPr>
        <w:pStyle w:val="BCAuthorAddress"/>
      </w:pPr>
      <w:r w:rsidRPr="00477D51">
        <w:t>Supplementary Materials</w:t>
      </w:r>
    </w:p>
    <w:p w14:paraId="27479951" w14:textId="3CB748D0" w:rsidR="008C62CB" w:rsidRPr="00477D51" w:rsidRDefault="008C62CB" w:rsidP="008C62CB">
      <w:pPr>
        <w:pStyle w:val="Title"/>
        <w:autoSpaceDE w:val="0"/>
        <w:autoSpaceDN w:val="0"/>
        <w:adjustRightInd w:val="0"/>
        <w:spacing w:line="276" w:lineRule="auto"/>
        <w:rPr>
          <w:bCs/>
          <w:sz w:val="40"/>
          <w:szCs w:val="40"/>
        </w:rPr>
      </w:pPr>
      <w:bookmarkStart w:id="0" w:name="_Hlk197677626"/>
      <w:r w:rsidRPr="00477D51">
        <w:rPr>
          <w:bCs/>
          <w:sz w:val="40"/>
          <w:szCs w:val="40"/>
        </w:rPr>
        <w:t>Comprehensive Experimental Study of Multivariable Oil–Brine–Rock Interactions: Impact of Brine–Rock Chemistry and Crude Oil Polarity on Enhanced Oil Recovery in Carbonate Reservoirs</w:t>
      </w:r>
    </w:p>
    <w:bookmarkEnd w:id="0"/>
    <w:p w14:paraId="672C41F4" w14:textId="77777777" w:rsidR="004C25CD" w:rsidRPr="00477D51" w:rsidRDefault="004C25CD" w:rsidP="00BF42D5">
      <w:pPr>
        <w:pStyle w:val="Title"/>
        <w:autoSpaceDE w:val="0"/>
        <w:autoSpaceDN w:val="0"/>
        <w:adjustRightInd w:val="0"/>
        <w:spacing w:line="276" w:lineRule="auto"/>
        <w:contextualSpacing/>
        <w:rPr>
          <w:sz w:val="40"/>
          <w:szCs w:val="40"/>
        </w:rPr>
      </w:pPr>
    </w:p>
    <w:p w14:paraId="7D854922" w14:textId="3599891C" w:rsidR="00BF42D5" w:rsidRPr="00477D51" w:rsidRDefault="00BF42D5" w:rsidP="00BF42D5">
      <w:pPr>
        <w:bidi w:val="0"/>
        <w:spacing w:after="160" w:line="259" w:lineRule="auto"/>
        <w:contextualSpacing/>
      </w:pPr>
      <w:proofErr w:type="spellStart"/>
      <w:r w:rsidRPr="00477D51">
        <w:t>Azadeh</w:t>
      </w:r>
      <w:proofErr w:type="spellEnd"/>
      <w:r w:rsidRPr="00477D51">
        <w:t xml:space="preserve"> </w:t>
      </w:r>
      <w:proofErr w:type="spellStart"/>
      <w:r w:rsidRPr="00477D51">
        <w:t>Amrollahi</w:t>
      </w:r>
      <w:proofErr w:type="spellEnd"/>
      <w:r w:rsidRPr="00477D51">
        <w:t xml:space="preserve"> Biyouki</w:t>
      </w:r>
      <w:r w:rsidRPr="00477D51">
        <w:rPr>
          <w:vertAlign w:val="superscript"/>
        </w:rPr>
        <w:t>1</w:t>
      </w:r>
      <w:proofErr w:type="gramStart"/>
      <w:r w:rsidRPr="00477D51">
        <w:rPr>
          <w:vertAlign w:val="superscript"/>
        </w:rPr>
        <w:t>,</w:t>
      </w:r>
      <w:r w:rsidR="006844C5" w:rsidRPr="00477D51">
        <w:rPr>
          <w:vertAlign w:val="superscript"/>
        </w:rPr>
        <w:t>2</w:t>
      </w:r>
      <w:proofErr w:type="gramEnd"/>
      <w:r w:rsidRPr="00477D51">
        <w:t xml:space="preserve">* , </w:t>
      </w:r>
      <w:proofErr w:type="spellStart"/>
      <w:r w:rsidRPr="00477D51">
        <w:t>Nosrat</w:t>
      </w:r>
      <w:proofErr w:type="spellEnd"/>
      <w:r w:rsidRPr="00477D51">
        <w:t xml:space="preserve"> Izadi</w:t>
      </w:r>
      <w:r w:rsidR="004777FC" w:rsidRPr="00477D51">
        <w:rPr>
          <w:vertAlign w:val="superscript"/>
        </w:rPr>
        <w:t>2</w:t>
      </w:r>
      <w:r w:rsidRPr="00477D51">
        <w:t xml:space="preserve">, </w:t>
      </w:r>
      <w:proofErr w:type="spellStart"/>
      <w:r w:rsidRPr="00477D51">
        <w:t>Samaneh</w:t>
      </w:r>
      <w:proofErr w:type="spellEnd"/>
      <w:r w:rsidRPr="00477D51">
        <w:t xml:space="preserve"> Bovard</w:t>
      </w:r>
      <w:r w:rsidR="00F56320" w:rsidRPr="00477D51">
        <w:rPr>
          <w:vertAlign w:val="superscript"/>
        </w:rPr>
        <w:t>3</w:t>
      </w:r>
      <w:r w:rsidR="0056006D" w:rsidRPr="00477D51">
        <w:t>,</w:t>
      </w:r>
      <w:r w:rsidRPr="00477D51">
        <w:t xml:space="preserve"> </w:t>
      </w:r>
      <w:proofErr w:type="spellStart"/>
      <w:r w:rsidRPr="00477D51">
        <w:t>Yasaman</w:t>
      </w:r>
      <w:proofErr w:type="spellEnd"/>
      <w:r w:rsidRPr="00477D51">
        <w:t xml:space="preserve"> Tahernezhad</w:t>
      </w:r>
      <w:r w:rsidR="00CC21DA" w:rsidRPr="00477D51">
        <w:rPr>
          <w:vertAlign w:val="superscript"/>
        </w:rPr>
        <w:t>4</w:t>
      </w:r>
      <w:r w:rsidRPr="00477D51">
        <w:t>,</w:t>
      </w:r>
      <w:r w:rsidR="00795092" w:rsidRPr="00477D51">
        <w:t xml:space="preserve"> </w:t>
      </w:r>
      <w:proofErr w:type="spellStart"/>
      <w:r w:rsidR="00795092" w:rsidRPr="00477D51">
        <w:t>Nashaat</w:t>
      </w:r>
      <w:proofErr w:type="spellEnd"/>
      <w:r w:rsidR="00795092" w:rsidRPr="00477D51">
        <w:t xml:space="preserve"> Nassar</w:t>
      </w:r>
      <w:r w:rsidR="00795092" w:rsidRPr="00477D51">
        <w:rPr>
          <w:vertAlign w:val="superscript"/>
        </w:rPr>
        <w:t>5</w:t>
      </w:r>
      <w:r w:rsidR="00795092" w:rsidRPr="00477D51">
        <w:t xml:space="preserve">, </w:t>
      </w:r>
      <w:r w:rsidRPr="00477D51">
        <w:t xml:space="preserve"> </w:t>
      </w:r>
      <w:proofErr w:type="spellStart"/>
      <w:r w:rsidRPr="00477D51">
        <w:t>Ebrahim</w:t>
      </w:r>
      <w:proofErr w:type="spellEnd"/>
      <w:r w:rsidRPr="00477D51">
        <w:t xml:space="preserve"> Ghafar-Zadeh</w:t>
      </w:r>
      <w:r w:rsidR="00883352" w:rsidRPr="00477D51">
        <w:rPr>
          <w:vertAlign w:val="superscript"/>
        </w:rPr>
        <w:t>4</w:t>
      </w:r>
    </w:p>
    <w:p w14:paraId="7D5388CC" w14:textId="77777777" w:rsidR="00BF42D5" w:rsidRPr="00477D51" w:rsidRDefault="00BF42D5" w:rsidP="00BF42D5">
      <w:pPr>
        <w:bidi w:val="0"/>
        <w:spacing w:after="160" w:line="259" w:lineRule="auto"/>
        <w:contextualSpacing/>
      </w:pPr>
    </w:p>
    <w:p w14:paraId="78944377" w14:textId="38049294" w:rsidR="00BF42D5" w:rsidRPr="00477D51" w:rsidRDefault="00BF42D5" w:rsidP="00BF42D5">
      <w:pPr>
        <w:bidi w:val="0"/>
        <w:spacing w:after="160" w:line="259" w:lineRule="auto"/>
        <w:contextualSpacing/>
      </w:pPr>
      <w:r w:rsidRPr="00477D51">
        <w:rPr>
          <w:vertAlign w:val="superscript"/>
        </w:rPr>
        <w:t>1</w:t>
      </w:r>
      <w:r w:rsidRPr="00477D51">
        <w:t xml:space="preserve">School of Chemical Engineering, College of Engineering, University of Tehran, P.O. Box: 11155/4563, Tehran, </w:t>
      </w:r>
      <w:r w:rsidR="000F0E69" w:rsidRPr="00477D51">
        <w:t>Iran</w:t>
      </w:r>
    </w:p>
    <w:p w14:paraId="6AED2ADB" w14:textId="15968FB6" w:rsidR="00BF42D5" w:rsidRPr="00477D51" w:rsidRDefault="000F0E69" w:rsidP="00BF42D5">
      <w:pPr>
        <w:bidi w:val="0"/>
        <w:spacing w:after="160" w:line="259" w:lineRule="auto"/>
        <w:contextualSpacing/>
      </w:pPr>
      <w:r w:rsidRPr="00477D51">
        <w:rPr>
          <w:vertAlign w:val="superscript"/>
        </w:rPr>
        <w:t>2</w:t>
      </w:r>
      <w:r w:rsidR="00BF42D5" w:rsidRPr="00477D51">
        <w:t>Nanotechnology Research Center, Research Institute of Petroleum Industry (RIPI), P.O. Box: 14665-1998, Tehran, Iran</w:t>
      </w:r>
    </w:p>
    <w:p w14:paraId="279212DD" w14:textId="737F7B07" w:rsidR="00BF42D5" w:rsidRPr="00477D51" w:rsidRDefault="000F0E69" w:rsidP="00BF42D5">
      <w:pPr>
        <w:bidi w:val="0"/>
        <w:spacing w:after="160" w:line="259" w:lineRule="auto"/>
        <w:contextualSpacing/>
      </w:pPr>
      <w:r w:rsidRPr="00477D51">
        <w:rPr>
          <w:vertAlign w:val="superscript"/>
        </w:rPr>
        <w:t>3</w:t>
      </w:r>
      <w:r w:rsidR="00BF42D5" w:rsidRPr="00477D51">
        <w:t>Petroleum Engineering Research Division, Research Institute of Petroleum Industry (RIPI), P.O. Box: 14665-1998, Tehran, Iran</w:t>
      </w:r>
    </w:p>
    <w:p w14:paraId="3B6A9734" w14:textId="1EA03A9C" w:rsidR="009A5973" w:rsidRPr="00477D51" w:rsidRDefault="000F0E69" w:rsidP="009A5973">
      <w:pPr>
        <w:bidi w:val="0"/>
        <w:spacing w:after="160" w:line="259" w:lineRule="auto"/>
        <w:contextualSpacing/>
      </w:pPr>
      <w:r w:rsidRPr="00477D51">
        <w:rPr>
          <w:vertAlign w:val="superscript"/>
        </w:rPr>
        <w:t>4</w:t>
      </w:r>
      <w:r w:rsidR="009A5973" w:rsidRPr="00477D51">
        <w:t>Biologically Inspired Sensors and Actuators (</w:t>
      </w:r>
      <w:proofErr w:type="spellStart"/>
      <w:r w:rsidR="009A5973" w:rsidRPr="00477D51">
        <w:t>BioSA</w:t>
      </w:r>
      <w:proofErr w:type="spellEnd"/>
      <w:r w:rsidR="009A5973" w:rsidRPr="00477D51">
        <w:t xml:space="preserve">), </w:t>
      </w:r>
      <w:proofErr w:type="spellStart"/>
      <w:r w:rsidR="009A5973" w:rsidRPr="00477D51">
        <w:t>Lassonde</w:t>
      </w:r>
      <w:proofErr w:type="spellEnd"/>
      <w:r w:rsidR="009A5973" w:rsidRPr="00477D51">
        <w:t xml:space="preserve"> School of Engineering, York University, Toronto, ON M3J1P3, Canada</w:t>
      </w:r>
    </w:p>
    <w:p w14:paraId="29EA7324" w14:textId="77777777" w:rsidR="00BF42D5" w:rsidRPr="00477D51" w:rsidRDefault="00BF42D5" w:rsidP="00BF42D5">
      <w:pPr>
        <w:bidi w:val="0"/>
        <w:spacing w:after="160" w:line="259" w:lineRule="auto"/>
        <w:contextualSpacing/>
      </w:pPr>
      <w:r w:rsidRPr="00477D51">
        <w:rPr>
          <w:vertAlign w:val="superscript"/>
        </w:rPr>
        <w:t>5</w:t>
      </w:r>
      <w:r w:rsidRPr="00477D51">
        <w:t>Department of Chemical and Petroleum Engineering, University of Calgary, 2500 University Dr NW, Calgary, T2N 1N4, Alberta, Canada</w:t>
      </w:r>
    </w:p>
    <w:p w14:paraId="224FF12A" w14:textId="77777777" w:rsidR="00BF42D5" w:rsidRPr="00477D51" w:rsidRDefault="00BF42D5" w:rsidP="00BF42D5">
      <w:pPr>
        <w:bidi w:val="0"/>
        <w:spacing w:after="160" w:line="259" w:lineRule="auto"/>
        <w:contextualSpacing/>
      </w:pPr>
    </w:p>
    <w:p w14:paraId="46E8E002" w14:textId="59FB2E3A" w:rsidR="005F2427" w:rsidRPr="00477D51" w:rsidRDefault="00BF42D5" w:rsidP="00BF42D5">
      <w:pPr>
        <w:bidi w:val="0"/>
        <w:spacing w:after="160" w:line="259" w:lineRule="auto"/>
        <w:contextualSpacing/>
      </w:pPr>
      <w:r w:rsidRPr="00477D51">
        <w:t xml:space="preserve">*Corresponding authors: </w:t>
      </w:r>
      <w:proofErr w:type="spellStart"/>
      <w:r w:rsidRPr="00477D51">
        <w:t>Azadeh</w:t>
      </w:r>
      <w:proofErr w:type="spellEnd"/>
      <w:r w:rsidRPr="00477D51">
        <w:t xml:space="preserve"> </w:t>
      </w:r>
      <w:proofErr w:type="spellStart"/>
      <w:r w:rsidRPr="00477D51">
        <w:t>Amrollahi</w:t>
      </w:r>
      <w:proofErr w:type="spellEnd"/>
      <w:r w:rsidRPr="00477D51">
        <w:t xml:space="preserve"> </w:t>
      </w:r>
      <w:proofErr w:type="spellStart"/>
      <w:r w:rsidRPr="00477D51">
        <w:t>Biyouki</w:t>
      </w:r>
      <w:proofErr w:type="spellEnd"/>
      <w:r w:rsidRPr="00477D51">
        <w:t xml:space="preserve"> (Azadeh.Amrollahi@gmail.com), (</w:t>
      </w:r>
      <w:hyperlink r:id="rId8" w:history="1">
        <w:r w:rsidRPr="00477D51">
          <w:rPr>
            <w:rStyle w:val="Hyperlink"/>
            <w:color w:val="000000" w:themeColor="text1"/>
            <w:u w:val="none"/>
          </w:rPr>
          <w:t>aab@yorku.ca</w:t>
        </w:r>
      </w:hyperlink>
      <w:r w:rsidRPr="00477D51">
        <w:t>)</w:t>
      </w:r>
    </w:p>
    <w:p w14:paraId="695CB6D7" w14:textId="77777777" w:rsidR="00BF42D5" w:rsidRPr="00477D51" w:rsidRDefault="00BF42D5" w:rsidP="00BF42D5">
      <w:pPr>
        <w:bidi w:val="0"/>
        <w:spacing w:after="160" w:line="259" w:lineRule="auto"/>
        <w:contextualSpacing/>
      </w:pPr>
    </w:p>
    <w:p w14:paraId="23950DB0" w14:textId="77777777" w:rsidR="00BF42D5" w:rsidRPr="00477D51" w:rsidRDefault="00BF42D5" w:rsidP="00BF42D5">
      <w:pPr>
        <w:bidi w:val="0"/>
        <w:spacing w:after="160" w:line="259" w:lineRule="auto"/>
        <w:contextualSpacing/>
        <w:rPr>
          <w:rFonts w:ascii="Times New Roman" w:eastAsia="Times New Roman" w:hAnsi="Times New Roman" w:cs="Times New Roman"/>
          <w:sz w:val="21"/>
          <w:szCs w:val="21"/>
          <w:lang w:bidi="ar-SA"/>
        </w:rPr>
      </w:pPr>
    </w:p>
    <w:p w14:paraId="6EE679E6" w14:textId="77777777" w:rsidR="005F2427" w:rsidRPr="00477D51" w:rsidRDefault="005F2427" w:rsidP="00D6026B">
      <w:pPr>
        <w:bidi w:val="0"/>
        <w:spacing w:after="160" w:line="259" w:lineRule="auto"/>
        <w:contextualSpacing/>
        <w:rPr>
          <w:rFonts w:ascii="Times New Roman" w:eastAsia="Times New Roman" w:hAnsi="Times New Roman" w:cs="Times New Roman"/>
          <w:sz w:val="21"/>
          <w:szCs w:val="21"/>
          <w:lang w:bidi="ar-SA"/>
        </w:rPr>
      </w:pPr>
      <w:r w:rsidRPr="00477D51">
        <w:t>LAS 1012D, 4700 Keele Street, ON M3J 1P3, Toronto, Canada</w:t>
      </w:r>
    </w:p>
    <w:p w14:paraId="1ADF7035" w14:textId="77777777" w:rsidR="005F2427" w:rsidRPr="00477D51" w:rsidRDefault="005F2427" w:rsidP="00D6026B">
      <w:pPr>
        <w:bidi w:val="0"/>
        <w:spacing w:after="160" w:line="259" w:lineRule="auto"/>
        <w:contextualSpacing/>
        <w:rPr>
          <w:rFonts w:ascii="Times New Roman" w:eastAsia="Times New Roman" w:hAnsi="Times New Roman" w:cs="Times New Roman"/>
          <w:sz w:val="21"/>
          <w:szCs w:val="21"/>
          <w:lang w:bidi="ar-SA"/>
        </w:rPr>
      </w:pPr>
      <w:r w:rsidRPr="00477D51">
        <w:t>Phone: (416) 736-2100 X44646</w:t>
      </w:r>
    </w:p>
    <w:p w14:paraId="08E05A47" w14:textId="77777777" w:rsidR="005F2427" w:rsidRPr="00477D51" w:rsidRDefault="005F2427" w:rsidP="00D6026B">
      <w:pPr>
        <w:bidi w:val="0"/>
        <w:spacing w:after="160" w:line="259" w:lineRule="auto"/>
        <w:contextualSpacing/>
        <w:rPr>
          <w:rFonts w:ascii="Times New Roman" w:eastAsia="Times New Roman" w:hAnsi="Times New Roman" w:cs="Times New Roman"/>
          <w:sz w:val="21"/>
          <w:szCs w:val="21"/>
          <w:lang w:bidi="ar-SA"/>
        </w:rPr>
      </w:pPr>
      <w:r w:rsidRPr="00477D51">
        <w:t>Fax: (416) 736-5872</w:t>
      </w:r>
    </w:p>
    <w:p w14:paraId="21F4120A" w14:textId="77777777" w:rsidR="005F2427" w:rsidRPr="00477D51" w:rsidRDefault="005F2427" w:rsidP="00D6026B">
      <w:pPr>
        <w:bidi w:val="0"/>
        <w:spacing w:after="160" w:line="259" w:lineRule="auto"/>
        <w:contextualSpacing/>
        <w:rPr>
          <w:rFonts w:ascii="Times New Roman" w:eastAsia="Times New Roman" w:hAnsi="Times New Roman" w:cs="Times New Roman"/>
          <w:sz w:val="21"/>
          <w:szCs w:val="21"/>
          <w:lang w:bidi="ar-SA"/>
        </w:rPr>
      </w:pPr>
    </w:p>
    <w:p w14:paraId="2B64BE9C" w14:textId="77777777" w:rsidR="00A14A49" w:rsidRPr="00477D51" w:rsidRDefault="00A14A49" w:rsidP="00D6026B">
      <w:pPr>
        <w:bidi w:val="0"/>
        <w:contextualSpacing/>
        <w:rPr>
          <w:rFonts w:asciiTheme="majorBidi" w:eastAsia="Times New Roman" w:hAnsiTheme="majorBidi" w:cstheme="majorBidi"/>
          <w:sz w:val="21"/>
          <w:szCs w:val="21"/>
        </w:rPr>
      </w:pPr>
    </w:p>
    <w:tbl>
      <w:tblPr>
        <w:tblStyle w:val="TableGrid"/>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7"/>
        <w:gridCol w:w="1179"/>
      </w:tblGrid>
      <w:tr w:rsidR="00311CDD" w:rsidRPr="00477D51" w14:paraId="52ED1134" w14:textId="77777777" w:rsidTr="001357BC">
        <w:tc>
          <w:tcPr>
            <w:tcW w:w="9027" w:type="dxa"/>
            <w:vAlign w:val="center"/>
          </w:tcPr>
          <w:p w14:paraId="52F12A42" w14:textId="77777777" w:rsidR="00311CDD" w:rsidRPr="00477D51" w:rsidRDefault="00311CDD" w:rsidP="00C97D3B">
            <w:pPr>
              <w:pStyle w:val="TESupportingInformation"/>
              <w:spacing w:line="360" w:lineRule="auto"/>
              <w:ind w:firstLine="0"/>
              <w:jc w:val="left"/>
              <w:rPr>
                <w:rFonts w:asciiTheme="minorHAnsi" w:eastAsiaTheme="minorEastAsia" w:hAnsiTheme="minorHAnsi" w:cstheme="minorBidi"/>
                <w:b/>
                <w:bCs/>
                <w:sz w:val="20"/>
                <w:lang w:bidi="fa-IR"/>
              </w:rPr>
            </w:pPr>
            <w:r w:rsidRPr="00477D51">
              <w:rPr>
                <w:rFonts w:asciiTheme="minorHAnsi" w:eastAsiaTheme="minorEastAsia" w:hAnsiTheme="minorHAnsi" w:cstheme="minorBidi"/>
                <w:b/>
                <w:bCs/>
                <w:sz w:val="20"/>
                <w:lang w:bidi="fa-IR"/>
              </w:rPr>
              <w:t xml:space="preserve">Table of Contents: </w:t>
            </w:r>
          </w:p>
        </w:tc>
        <w:tc>
          <w:tcPr>
            <w:tcW w:w="1179" w:type="dxa"/>
            <w:vAlign w:val="center"/>
          </w:tcPr>
          <w:p w14:paraId="08EEF9AD" w14:textId="77777777" w:rsidR="00311CDD" w:rsidRPr="00477D51" w:rsidRDefault="00311CDD" w:rsidP="00AB592C">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Page</w:t>
            </w:r>
          </w:p>
        </w:tc>
      </w:tr>
      <w:tr w:rsidR="00311CDD" w:rsidRPr="00477D51" w14:paraId="6F7B4337" w14:textId="77777777" w:rsidTr="001357BC">
        <w:tc>
          <w:tcPr>
            <w:tcW w:w="9027" w:type="dxa"/>
            <w:vAlign w:val="center"/>
          </w:tcPr>
          <w:p w14:paraId="6BB9C9EF" w14:textId="77777777" w:rsidR="00311CDD" w:rsidRPr="00477D51" w:rsidRDefault="007B4C68" w:rsidP="00C97D3B">
            <w:pPr>
              <w:bidi w:val="0"/>
              <w:spacing w:line="360" w:lineRule="auto"/>
              <w:rPr>
                <w:rFonts w:asciiTheme="minorHAnsi" w:eastAsiaTheme="minorEastAsia" w:hAnsiTheme="minorHAnsi" w:cstheme="minorBidi"/>
                <w:lang w:bidi="fa-IR"/>
              </w:rPr>
            </w:pPr>
            <w:r w:rsidRPr="00477D51">
              <w:rPr>
                <w:rFonts w:asciiTheme="minorHAnsi" w:eastAsiaTheme="minorEastAsia" w:hAnsiTheme="minorHAnsi" w:cstheme="minorBidi"/>
                <w:b/>
                <w:bCs/>
                <w:lang w:bidi="fa-IR"/>
              </w:rPr>
              <w:t>Section S</w:t>
            </w:r>
            <w:r w:rsidR="00C37067" w:rsidRPr="00477D51">
              <w:rPr>
                <w:rFonts w:asciiTheme="minorHAnsi" w:eastAsiaTheme="minorEastAsia" w:hAnsiTheme="minorHAnsi" w:cstheme="minorBidi"/>
                <w:b/>
                <w:bCs/>
                <w:lang w:bidi="fa-IR"/>
              </w:rPr>
              <w:t>1</w:t>
            </w:r>
            <w:r w:rsidRPr="00477D51">
              <w:rPr>
                <w:rFonts w:asciiTheme="minorHAnsi" w:eastAsiaTheme="minorEastAsia" w:hAnsiTheme="minorHAnsi" w:cstheme="minorBidi"/>
                <w:b/>
                <w:bCs/>
                <w:lang w:bidi="fa-IR"/>
              </w:rPr>
              <w:t>.</w:t>
            </w:r>
            <w:r w:rsidRPr="00477D51">
              <w:rPr>
                <w:rFonts w:asciiTheme="minorHAnsi" w:eastAsiaTheme="minorEastAsia" w:hAnsiTheme="minorHAnsi" w:cstheme="minorBidi"/>
                <w:lang w:bidi="fa-IR"/>
              </w:rPr>
              <w:t xml:space="preserve"> </w:t>
            </w:r>
            <w:r w:rsidR="00FE0801" w:rsidRPr="00477D51">
              <w:rPr>
                <w:rFonts w:asciiTheme="minorHAnsi" w:eastAsiaTheme="minorEastAsia" w:hAnsiTheme="minorHAnsi" w:cstheme="minorBidi"/>
                <w:lang w:bidi="fa-IR"/>
              </w:rPr>
              <w:t>Extract method of asphaltenes from an Iranian oil sample</w:t>
            </w:r>
          </w:p>
        </w:tc>
        <w:tc>
          <w:tcPr>
            <w:tcW w:w="1179" w:type="dxa"/>
            <w:vAlign w:val="center"/>
          </w:tcPr>
          <w:p w14:paraId="5184D20E" w14:textId="77777777" w:rsidR="00311CDD" w:rsidRPr="00477D51" w:rsidRDefault="00C71835" w:rsidP="00AB592C">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2</w:t>
            </w:r>
          </w:p>
        </w:tc>
      </w:tr>
      <w:tr w:rsidR="004B0C62" w:rsidRPr="00477D51" w14:paraId="3395A501" w14:textId="77777777" w:rsidTr="001357BC">
        <w:tc>
          <w:tcPr>
            <w:tcW w:w="9027" w:type="dxa"/>
            <w:vAlign w:val="center"/>
          </w:tcPr>
          <w:p w14:paraId="66CE96E7" w14:textId="77777777" w:rsidR="004B0C62" w:rsidRPr="00477D51" w:rsidRDefault="00A46FBD" w:rsidP="00C71835">
            <w:pPr>
              <w:pStyle w:val="TESupportingInformation"/>
              <w:spacing w:line="360" w:lineRule="auto"/>
              <w:ind w:firstLine="0"/>
              <w:jc w:val="left"/>
              <w:rPr>
                <w:rFonts w:asciiTheme="minorHAnsi" w:eastAsiaTheme="minorEastAsia" w:hAnsiTheme="minorHAnsi" w:cstheme="minorBidi"/>
                <w:sz w:val="20"/>
                <w:lang w:bidi="fa-IR"/>
              </w:rPr>
            </w:pPr>
            <w:r w:rsidRPr="00477D51">
              <w:rPr>
                <w:rFonts w:asciiTheme="minorHAnsi" w:eastAsiaTheme="minorEastAsia" w:hAnsiTheme="minorHAnsi" w:cstheme="minorBidi"/>
                <w:b/>
                <w:bCs/>
                <w:sz w:val="20"/>
                <w:lang w:bidi="fa-IR"/>
              </w:rPr>
              <w:t>Section S</w:t>
            </w:r>
            <w:r w:rsidR="00C37067" w:rsidRPr="00477D51">
              <w:rPr>
                <w:rFonts w:asciiTheme="minorHAnsi" w:eastAsiaTheme="minorEastAsia" w:hAnsiTheme="minorHAnsi" w:cstheme="minorBidi"/>
                <w:b/>
                <w:bCs/>
                <w:sz w:val="20"/>
                <w:lang w:bidi="fa-IR"/>
              </w:rPr>
              <w:t>2</w:t>
            </w:r>
            <w:r w:rsidRPr="00477D51">
              <w:rPr>
                <w:rFonts w:asciiTheme="minorHAnsi" w:eastAsiaTheme="minorEastAsia" w:hAnsiTheme="minorHAnsi" w:cstheme="minorBidi"/>
                <w:b/>
                <w:bCs/>
                <w:sz w:val="20"/>
                <w:lang w:bidi="fa-IR"/>
              </w:rPr>
              <w:t>.</w:t>
            </w:r>
            <w:r w:rsidRPr="00477D51">
              <w:rPr>
                <w:rFonts w:asciiTheme="minorHAnsi" w:eastAsiaTheme="minorEastAsia" w:hAnsiTheme="minorHAnsi" w:cstheme="minorBidi"/>
                <w:sz w:val="20"/>
                <w:lang w:bidi="fa-IR"/>
              </w:rPr>
              <w:t xml:space="preserve"> </w:t>
            </w:r>
            <w:r w:rsidR="00FE0801" w:rsidRPr="00477D51">
              <w:rPr>
                <w:rFonts w:asciiTheme="minorHAnsi" w:eastAsiaTheme="minorEastAsia" w:hAnsiTheme="minorHAnsi" w:cstheme="minorBidi"/>
                <w:sz w:val="20"/>
                <w:lang w:bidi="fa-IR"/>
              </w:rPr>
              <w:t>FTIR spectra of asphaltenes</w:t>
            </w:r>
          </w:p>
        </w:tc>
        <w:tc>
          <w:tcPr>
            <w:tcW w:w="1179" w:type="dxa"/>
            <w:vAlign w:val="center"/>
          </w:tcPr>
          <w:p w14:paraId="1E801AEC" w14:textId="7F5D485F" w:rsidR="004B0C62" w:rsidRPr="00477D51" w:rsidRDefault="001357BC" w:rsidP="00AB592C">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2</w:t>
            </w:r>
          </w:p>
        </w:tc>
      </w:tr>
      <w:tr w:rsidR="003906AB" w:rsidRPr="00477D51" w14:paraId="238E471B" w14:textId="77777777" w:rsidTr="001357BC">
        <w:tc>
          <w:tcPr>
            <w:tcW w:w="9027" w:type="dxa"/>
            <w:vAlign w:val="center"/>
          </w:tcPr>
          <w:p w14:paraId="0EE7E5F7" w14:textId="1A956F1E" w:rsidR="003906AB" w:rsidRPr="00477D51" w:rsidRDefault="003906AB" w:rsidP="00C97D3B">
            <w:pPr>
              <w:pStyle w:val="TESupportingInformation"/>
              <w:spacing w:line="360" w:lineRule="auto"/>
              <w:ind w:firstLine="0"/>
              <w:jc w:val="left"/>
              <w:rPr>
                <w:rFonts w:asciiTheme="minorHAnsi" w:eastAsiaTheme="minorEastAsia" w:hAnsiTheme="minorHAnsi" w:cstheme="minorBidi"/>
                <w:sz w:val="20"/>
                <w:lang w:bidi="fa-IR"/>
              </w:rPr>
            </w:pPr>
            <w:r w:rsidRPr="00477D51">
              <w:rPr>
                <w:rFonts w:asciiTheme="minorHAnsi" w:eastAsiaTheme="minorEastAsia" w:hAnsiTheme="minorHAnsi" w:cstheme="minorBidi"/>
                <w:b/>
                <w:bCs/>
                <w:sz w:val="20"/>
                <w:lang w:bidi="fa-IR"/>
              </w:rPr>
              <w:t>Section S</w:t>
            </w:r>
            <w:r w:rsidR="00C37067" w:rsidRPr="00477D51">
              <w:rPr>
                <w:rFonts w:asciiTheme="minorHAnsi" w:eastAsiaTheme="minorEastAsia" w:hAnsiTheme="minorHAnsi" w:cstheme="minorBidi"/>
                <w:b/>
                <w:bCs/>
                <w:sz w:val="20"/>
                <w:lang w:bidi="fa-IR"/>
              </w:rPr>
              <w:t>3</w:t>
            </w:r>
            <w:r w:rsidRPr="00477D51">
              <w:rPr>
                <w:rFonts w:asciiTheme="minorHAnsi" w:eastAsiaTheme="minorEastAsia" w:hAnsiTheme="minorHAnsi" w:cstheme="minorBidi"/>
                <w:b/>
                <w:bCs/>
                <w:sz w:val="20"/>
                <w:lang w:bidi="fa-IR"/>
              </w:rPr>
              <w:t>.</w:t>
            </w:r>
            <w:r w:rsidRPr="00477D51">
              <w:rPr>
                <w:rFonts w:asciiTheme="minorHAnsi" w:eastAsiaTheme="minorEastAsia" w:hAnsiTheme="minorHAnsi" w:cstheme="minorBidi"/>
                <w:sz w:val="20"/>
                <w:lang w:bidi="fa-IR"/>
              </w:rPr>
              <w:t xml:space="preserve"> P-</w:t>
            </w:r>
            <w:r w:rsidR="00A641AC" w:rsidRPr="00477D51">
              <w:rPr>
                <w:rFonts w:asciiTheme="minorHAnsi" w:eastAsiaTheme="minorEastAsia" w:hAnsiTheme="minorHAnsi" w:cstheme="minorBidi"/>
                <w:sz w:val="20"/>
                <w:lang w:bidi="fa-IR"/>
              </w:rPr>
              <w:t>values of</w:t>
            </w:r>
            <w:r w:rsidRPr="00477D51">
              <w:rPr>
                <w:rFonts w:asciiTheme="minorHAnsi" w:eastAsiaTheme="minorEastAsia" w:hAnsiTheme="minorHAnsi" w:cstheme="minorBidi"/>
                <w:sz w:val="20"/>
                <w:lang w:bidi="fa-IR"/>
              </w:rPr>
              <w:t xml:space="preserve"> zeta potential data for both n-heptane/toluene 1:5 and n-heptane/toluene 1:40</w:t>
            </w:r>
          </w:p>
        </w:tc>
        <w:tc>
          <w:tcPr>
            <w:tcW w:w="1179" w:type="dxa"/>
            <w:vAlign w:val="center"/>
          </w:tcPr>
          <w:p w14:paraId="716DFCF5" w14:textId="74988C4B" w:rsidR="003906AB" w:rsidRPr="00477D51" w:rsidRDefault="00330498" w:rsidP="00AB592C">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3</w:t>
            </w:r>
          </w:p>
        </w:tc>
      </w:tr>
      <w:tr w:rsidR="00127BD8" w:rsidRPr="00477D51" w14:paraId="26EBA812" w14:textId="77777777" w:rsidTr="001357BC">
        <w:tc>
          <w:tcPr>
            <w:tcW w:w="9027" w:type="dxa"/>
            <w:vAlign w:val="center"/>
          </w:tcPr>
          <w:p w14:paraId="244A9347" w14:textId="77777777" w:rsidR="00127BD8" w:rsidRPr="00477D51" w:rsidRDefault="00127BD8" w:rsidP="00C97D3B">
            <w:pPr>
              <w:pStyle w:val="TESupportingInformation"/>
              <w:spacing w:line="360" w:lineRule="auto"/>
              <w:ind w:firstLine="0"/>
              <w:jc w:val="left"/>
              <w:rPr>
                <w:rFonts w:asciiTheme="minorHAnsi" w:eastAsiaTheme="minorEastAsia" w:hAnsiTheme="minorHAnsi" w:cstheme="minorBidi"/>
                <w:sz w:val="20"/>
                <w:lang w:bidi="fa-IR"/>
              </w:rPr>
            </w:pPr>
            <w:r w:rsidRPr="00477D51">
              <w:rPr>
                <w:rFonts w:asciiTheme="minorHAnsi" w:eastAsiaTheme="minorEastAsia" w:hAnsiTheme="minorHAnsi" w:cstheme="minorBidi"/>
                <w:b/>
                <w:bCs/>
                <w:sz w:val="20"/>
                <w:lang w:bidi="fa-IR"/>
              </w:rPr>
              <w:t>Section S4.</w:t>
            </w:r>
            <w:r w:rsidRPr="00477D51">
              <w:rPr>
                <w:rFonts w:asciiTheme="minorHAnsi" w:eastAsiaTheme="minorEastAsia" w:hAnsiTheme="minorHAnsi" w:cstheme="minorBidi"/>
                <w:sz w:val="20"/>
                <w:lang w:bidi="fa-IR"/>
              </w:rPr>
              <w:t xml:space="preserve"> Box plot of zeta potential data for both n-heptane/toluene 1:5 and n-heptane/toluene 1:40</w:t>
            </w:r>
          </w:p>
        </w:tc>
        <w:tc>
          <w:tcPr>
            <w:tcW w:w="1179" w:type="dxa"/>
            <w:vAlign w:val="center"/>
          </w:tcPr>
          <w:p w14:paraId="5C00D4AC" w14:textId="5817045A" w:rsidR="00127BD8" w:rsidRPr="00477D51" w:rsidRDefault="001357BC" w:rsidP="00AB592C">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3</w:t>
            </w:r>
          </w:p>
        </w:tc>
      </w:tr>
      <w:tr w:rsidR="006E016E" w:rsidRPr="00477D51" w14:paraId="2A78F35C" w14:textId="77777777" w:rsidTr="001357BC">
        <w:tc>
          <w:tcPr>
            <w:tcW w:w="9027" w:type="dxa"/>
            <w:vAlign w:val="center"/>
          </w:tcPr>
          <w:p w14:paraId="399B8F5C" w14:textId="73E101D9" w:rsidR="006E016E" w:rsidRPr="00477D51" w:rsidRDefault="00D6026B" w:rsidP="00C97D3B">
            <w:pPr>
              <w:pStyle w:val="TESupportingInformation"/>
              <w:spacing w:line="360" w:lineRule="auto"/>
              <w:ind w:firstLine="0"/>
              <w:jc w:val="left"/>
              <w:rPr>
                <w:rFonts w:asciiTheme="minorHAnsi" w:eastAsiaTheme="minorEastAsia" w:hAnsiTheme="minorHAnsi" w:cstheme="minorBidi"/>
                <w:sz w:val="20"/>
                <w:lang w:bidi="fa-IR"/>
              </w:rPr>
            </w:pPr>
            <w:r w:rsidRPr="00477D51">
              <w:rPr>
                <w:rFonts w:asciiTheme="minorHAnsi" w:eastAsiaTheme="minorEastAsia" w:hAnsiTheme="minorHAnsi" w:cstheme="minorBidi"/>
                <w:b/>
                <w:bCs/>
                <w:sz w:val="20"/>
                <w:lang w:bidi="fa-IR"/>
              </w:rPr>
              <w:t xml:space="preserve">Section S5. </w:t>
            </w:r>
            <w:r w:rsidR="001357BC" w:rsidRPr="00477D51">
              <w:rPr>
                <w:rFonts w:asciiTheme="minorHAnsi" w:eastAsiaTheme="minorEastAsia" w:hAnsiTheme="minorHAnsi" w:cstheme="minorBidi"/>
                <w:sz w:val="20"/>
                <w:lang w:bidi="fa-IR"/>
              </w:rPr>
              <w:t>Statistical analysis: zeta-potentials of water/oil interface</w:t>
            </w:r>
          </w:p>
        </w:tc>
        <w:tc>
          <w:tcPr>
            <w:tcW w:w="1179" w:type="dxa"/>
            <w:vAlign w:val="center"/>
          </w:tcPr>
          <w:p w14:paraId="1FD78794" w14:textId="48CC8816" w:rsidR="006E016E" w:rsidRPr="00477D51" w:rsidRDefault="00330498" w:rsidP="00AB592C">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4</w:t>
            </w:r>
          </w:p>
        </w:tc>
      </w:tr>
      <w:tr w:rsidR="006E016E" w:rsidRPr="00477D51" w14:paraId="7B860C12" w14:textId="77777777" w:rsidTr="001357BC">
        <w:tc>
          <w:tcPr>
            <w:tcW w:w="9027" w:type="dxa"/>
            <w:vAlign w:val="center"/>
          </w:tcPr>
          <w:p w14:paraId="7D1CEBE8" w14:textId="7A6DB71F" w:rsidR="006E016E" w:rsidRPr="00477D51" w:rsidRDefault="00D6026B" w:rsidP="00C97D3B">
            <w:pPr>
              <w:pStyle w:val="TESupportingInformation"/>
              <w:spacing w:line="360" w:lineRule="auto"/>
              <w:ind w:firstLine="0"/>
              <w:jc w:val="left"/>
              <w:rPr>
                <w:rFonts w:asciiTheme="minorHAnsi" w:eastAsiaTheme="minorEastAsia" w:hAnsiTheme="minorHAnsi" w:cstheme="minorBidi"/>
                <w:sz w:val="20"/>
                <w:lang w:bidi="fa-IR"/>
              </w:rPr>
            </w:pPr>
            <w:r w:rsidRPr="00477D51">
              <w:rPr>
                <w:rFonts w:asciiTheme="minorHAnsi" w:eastAsiaTheme="minorEastAsia" w:hAnsiTheme="minorHAnsi" w:cstheme="minorBidi"/>
                <w:b/>
                <w:bCs/>
                <w:sz w:val="20"/>
                <w:lang w:bidi="fa-IR"/>
              </w:rPr>
              <w:t>Section S</w:t>
            </w:r>
            <w:r w:rsidR="00A641AC" w:rsidRPr="00477D51">
              <w:rPr>
                <w:rFonts w:asciiTheme="minorHAnsi" w:eastAsiaTheme="minorEastAsia" w:hAnsiTheme="minorHAnsi" w:cstheme="minorBidi"/>
                <w:b/>
                <w:bCs/>
                <w:sz w:val="20"/>
                <w:lang w:bidi="fa-IR"/>
              </w:rPr>
              <w:t>6.</w:t>
            </w:r>
            <w:r w:rsidR="00A641AC" w:rsidRPr="00477D51">
              <w:rPr>
                <w:rFonts w:asciiTheme="minorHAnsi" w:eastAsiaTheme="minorEastAsia" w:hAnsiTheme="minorHAnsi" w:cstheme="minorBidi"/>
                <w:sz w:val="20"/>
                <w:lang w:bidi="fa-IR"/>
              </w:rPr>
              <w:t xml:space="preserve"> </w:t>
            </w:r>
            <w:r w:rsidR="001357BC" w:rsidRPr="00477D51">
              <w:rPr>
                <w:rFonts w:asciiTheme="minorHAnsi" w:eastAsiaTheme="minorEastAsia" w:hAnsiTheme="minorHAnsi" w:cstheme="minorBidi"/>
                <w:sz w:val="20"/>
                <w:lang w:bidi="fa-IR"/>
              </w:rPr>
              <w:t xml:space="preserve">Box plot with p-values of zeta potential values measured at different brine and </w:t>
            </w:r>
            <w:r w:rsidR="00A641AC" w:rsidRPr="00477D51">
              <w:rPr>
                <w:rFonts w:asciiTheme="minorHAnsi" w:eastAsiaTheme="minorEastAsia" w:hAnsiTheme="minorHAnsi" w:cstheme="minorBidi"/>
                <w:sz w:val="20"/>
                <w:lang w:bidi="fa-IR"/>
              </w:rPr>
              <w:t>Box</w:t>
            </w:r>
            <w:r w:rsidR="006E016E" w:rsidRPr="00477D51">
              <w:rPr>
                <w:rFonts w:asciiTheme="minorHAnsi" w:eastAsiaTheme="minorEastAsia" w:hAnsiTheme="minorHAnsi" w:cstheme="minorBidi"/>
                <w:sz w:val="20"/>
                <w:lang w:bidi="fa-IR"/>
              </w:rPr>
              <w:t xml:space="preserve"> </w:t>
            </w:r>
            <w:r w:rsidR="00A641AC" w:rsidRPr="00477D51">
              <w:rPr>
                <w:rFonts w:asciiTheme="minorHAnsi" w:eastAsiaTheme="minorEastAsia" w:hAnsiTheme="minorHAnsi" w:cstheme="minorBidi"/>
                <w:sz w:val="20"/>
                <w:lang w:bidi="fa-IR"/>
              </w:rPr>
              <w:t>plot of</w:t>
            </w:r>
            <w:r w:rsidR="006E016E" w:rsidRPr="00477D51">
              <w:rPr>
                <w:rFonts w:asciiTheme="minorHAnsi" w:eastAsiaTheme="minorEastAsia" w:hAnsiTheme="minorHAnsi" w:cstheme="minorBidi"/>
                <w:sz w:val="20"/>
                <w:lang w:bidi="fa-IR"/>
              </w:rPr>
              <w:t xml:space="preserve"> </w:t>
            </w:r>
            <w:r w:rsidRPr="00477D51">
              <w:rPr>
                <w:rFonts w:asciiTheme="minorHAnsi" w:eastAsiaTheme="minorEastAsia" w:hAnsiTheme="minorHAnsi" w:cstheme="minorBidi"/>
                <w:sz w:val="20"/>
                <w:lang w:bidi="fa-IR"/>
              </w:rPr>
              <w:t>ze</w:t>
            </w:r>
            <w:r w:rsidR="006E016E" w:rsidRPr="00477D51">
              <w:rPr>
                <w:rFonts w:asciiTheme="minorHAnsi" w:eastAsiaTheme="minorEastAsia" w:hAnsiTheme="minorHAnsi" w:cstheme="minorBidi"/>
                <w:sz w:val="20"/>
                <w:lang w:bidi="fa-IR"/>
              </w:rPr>
              <w:t>ta potential values measured at various concentration</w:t>
            </w:r>
          </w:p>
        </w:tc>
        <w:tc>
          <w:tcPr>
            <w:tcW w:w="1179" w:type="dxa"/>
            <w:vAlign w:val="center"/>
          </w:tcPr>
          <w:p w14:paraId="59931B2A" w14:textId="5C8F3A24" w:rsidR="006E016E" w:rsidRPr="00477D51" w:rsidRDefault="001357BC" w:rsidP="00AB592C">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5</w:t>
            </w:r>
          </w:p>
        </w:tc>
      </w:tr>
      <w:tr w:rsidR="00CD5275" w:rsidRPr="00477D51" w14:paraId="628388B7" w14:textId="77777777" w:rsidTr="001357BC">
        <w:tc>
          <w:tcPr>
            <w:tcW w:w="9027" w:type="dxa"/>
            <w:vAlign w:val="center"/>
          </w:tcPr>
          <w:p w14:paraId="608A0B5E" w14:textId="713E346A" w:rsidR="00CD5275" w:rsidRPr="00477D51" w:rsidRDefault="00CD5275" w:rsidP="00C97D3B">
            <w:pPr>
              <w:bidi w:val="0"/>
              <w:spacing w:line="360" w:lineRule="auto"/>
              <w:rPr>
                <w:rFonts w:asciiTheme="minorHAnsi" w:eastAsiaTheme="minorEastAsia" w:hAnsiTheme="minorHAnsi" w:cstheme="minorBidi"/>
                <w:lang w:bidi="fa-IR"/>
              </w:rPr>
            </w:pPr>
            <w:r w:rsidRPr="00477D51">
              <w:rPr>
                <w:rFonts w:asciiTheme="minorHAnsi" w:eastAsiaTheme="minorEastAsia" w:hAnsiTheme="minorHAnsi" w:cstheme="minorBidi"/>
                <w:b/>
                <w:bCs/>
                <w:lang w:bidi="fa-IR"/>
              </w:rPr>
              <w:lastRenderedPageBreak/>
              <w:t>Section S7.</w:t>
            </w:r>
            <w:r w:rsidRPr="00477D51">
              <w:rPr>
                <w:rFonts w:asciiTheme="minorHAnsi" w:eastAsiaTheme="minorEastAsia" w:hAnsiTheme="minorHAnsi" w:cstheme="minorBidi"/>
                <w:lang w:bidi="fa-IR"/>
              </w:rPr>
              <w:t xml:space="preserve"> </w:t>
            </w:r>
            <w:r w:rsidR="001357BC" w:rsidRPr="00477D51">
              <w:rPr>
                <w:rFonts w:asciiTheme="minorHAnsi" w:eastAsiaTheme="minorEastAsia" w:hAnsiTheme="minorHAnsi" w:cstheme="minorBidi"/>
                <w:lang w:bidi="fa-IR"/>
              </w:rPr>
              <w:t>Statistical analysis: zeta-potentials of water/rock interface</w:t>
            </w:r>
          </w:p>
        </w:tc>
        <w:tc>
          <w:tcPr>
            <w:tcW w:w="1179" w:type="dxa"/>
            <w:vAlign w:val="center"/>
          </w:tcPr>
          <w:p w14:paraId="2AE306AB" w14:textId="50EA3379" w:rsidR="00CD5275" w:rsidRPr="00477D51" w:rsidRDefault="00330498" w:rsidP="00AB592C">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7</w:t>
            </w:r>
          </w:p>
        </w:tc>
      </w:tr>
      <w:tr w:rsidR="00CD5275" w:rsidRPr="00477D51" w14:paraId="366B0EDA" w14:textId="77777777" w:rsidTr="001357BC">
        <w:tc>
          <w:tcPr>
            <w:tcW w:w="9027" w:type="dxa"/>
            <w:vAlign w:val="center"/>
          </w:tcPr>
          <w:p w14:paraId="6B20AFF7" w14:textId="0F8A80A1" w:rsidR="00CD5275" w:rsidRPr="00477D51" w:rsidRDefault="00CD5275" w:rsidP="00C97D3B">
            <w:pPr>
              <w:bidi w:val="0"/>
              <w:spacing w:line="360" w:lineRule="auto"/>
              <w:rPr>
                <w:rFonts w:asciiTheme="minorHAnsi" w:eastAsiaTheme="minorEastAsia" w:hAnsiTheme="minorHAnsi" w:cstheme="minorBidi"/>
                <w:lang w:bidi="fa-IR"/>
              </w:rPr>
            </w:pPr>
            <w:r w:rsidRPr="00477D51">
              <w:rPr>
                <w:rFonts w:asciiTheme="minorHAnsi" w:eastAsiaTheme="minorEastAsia" w:hAnsiTheme="minorHAnsi" w:cstheme="minorBidi"/>
                <w:b/>
                <w:bCs/>
                <w:lang w:bidi="fa-IR"/>
              </w:rPr>
              <w:t>Section S8.</w:t>
            </w:r>
            <w:r w:rsidRPr="00477D51">
              <w:rPr>
                <w:rFonts w:asciiTheme="minorHAnsi" w:eastAsiaTheme="minorEastAsia" w:hAnsiTheme="minorHAnsi" w:cstheme="minorBidi"/>
                <w:lang w:bidi="fa-IR"/>
              </w:rPr>
              <w:t xml:space="preserve"> </w:t>
            </w:r>
            <w:r w:rsidR="001357BC" w:rsidRPr="00477D51">
              <w:rPr>
                <w:rFonts w:asciiTheme="minorHAnsi" w:eastAsiaTheme="minorEastAsia" w:hAnsiTheme="minorHAnsi" w:cstheme="minorBidi"/>
                <w:lang w:bidi="fa-IR"/>
              </w:rPr>
              <w:t xml:space="preserve">Shapiro-Wilk and Levene's test for Zeta Potential data of rock in different Brines and </w:t>
            </w:r>
            <w:r w:rsidRPr="00477D51">
              <w:rPr>
                <w:rFonts w:asciiTheme="minorHAnsi" w:eastAsiaTheme="minorEastAsia" w:hAnsiTheme="minorHAnsi" w:cstheme="minorBidi"/>
                <w:lang w:bidi="fa-IR"/>
              </w:rPr>
              <w:t>Box-plot of zeta potential between two rock types for different brine solutions</w:t>
            </w:r>
          </w:p>
        </w:tc>
        <w:tc>
          <w:tcPr>
            <w:tcW w:w="1179" w:type="dxa"/>
            <w:vAlign w:val="center"/>
          </w:tcPr>
          <w:p w14:paraId="600B8E9D" w14:textId="0CC16C11" w:rsidR="00CD5275" w:rsidRPr="00477D51" w:rsidRDefault="00330498" w:rsidP="00AB592C">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8</w:t>
            </w:r>
          </w:p>
        </w:tc>
      </w:tr>
      <w:tr w:rsidR="00C72D4A" w:rsidRPr="00477D51" w14:paraId="15F5CB56" w14:textId="77777777" w:rsidTr="001357BC">
        <w:tc>
          <w:tcPr>
            <w:tcW w:w="9027" w:type="dxa"/>
            <w:vAlign w:val="center"/>
          </w:tcPr>
          <w:p w14:paraId="5964F442" w14:textId="577BDC51" w:rsidR="00C72D4A" w:rsidRPr="00477D51" w:rsidRDefault="00C72D4A" w:rsidP="00C72D4A">
            <w:pPr>
              <w:bidi w:val="0"/>
              <w:spacing w:line="360" w:lineRule="auto"/>
              <w:rPr>
                <w:b/>
                <w:bCs/>
              </w:rPr>
            </w:pPr>
            <w:r w:rsidRPr="00477D51">
              <w:rPr>
                <w:rFonts w:asciiTheme="minorHAnsi" w:eastAsiaTheme="minorEastAsia" w:hAnsiTheme="minorHAnsi" w:cstheme="minorBidi"/>
                <w:b/>
                <w:bCs/>
                <w:lang w:bidi="fa-IR"/>
              </w:rPr>
              <w:t>Section S9.</w:t>
            </w:r>
            <w:r w:rsidRPr="00477D51">
              <w:rPr>
                <w:rFonts w:asciiTheme="minorHAnsi" w:eastAsiaTheme="minorEastAsia" w:hAnsiTheme="minorHAnsi" w:cstheme="minorBidi"/>
                <w:lang w:bidi="fa-IR"/>
              </w:rPr>
              <w:t xml:space="preserve"> </w:t>
            </w:r>
            <w:r w:rsidR="001357BC" w:rsidRPr="00477D51">
              <w:rPr>
                <w:rFonts w:asciiTheme="minorHAnsi" w:eastAsiaTheme="minorEastAsia" w:hAnsiTheme="minorHAnsi" w:cstheme="minorBidi"/>
                <w:lang w:bidi="fa-IR"/>
              </w:rPr>
              <w:t>Statistical analysis: wettability alteration (contact angle change) In water rock interface</w:t>
            </w:r>
          </w:p>
        </w:tc>
        <w:tc>
          <w:tcPr>
            <w:tcW w:w="1179" w:type="dxa"/>
            <w:vAlign w:val="center"/>
          </w:tcPr>
          <w:p w14:paraId="10FB5B9A" w14:textId="41F2C83A" w:rsidR="00C72D4A" w:rsidRPr="00477D51" w:rsidRDefault="001357BC" w:rsidP="00C72D4A">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10</w:t>
            </w:r>
          </w:p>
        </w:tc>
      </w:tr>
      <w:tr w:rsidR="00936D68" w:rsidRPr="00477D51" w14:paraId="49097F61" w14:textId="77777777" w:rsidTr="001357BC">
        <w:tc>
          <w:tcPr>
            <w:tcW w:w="9027" w:type="dxa"/>
            <w:vAlign w:val="center"/>
          </w:tcPr>
          <w:p w14:paraId="134BFD83" w14:textId="68B44061" w:rsidR="00936D68" w:rsidRPr="00477D51" w:rsidRDefault="00936D68" w:rsidP="00C72D4A">
            <w:pPr>
              <w:bidi w:val="0"/>
              <w:spacing w:line="360" w:lineRule="auto"/>
              <w:rPr>
                <w:b/>
                <w:bCs/>
              </w:rPr>
            </w:pPr>
            <w:r w:rsidRPr="00477D51">
              <w:rPr>
                <w:rFonts w:asciiTheme="minorHAnsi" w:eastAsiaTheme="minorEastAsia" w:hAnsiTheme="minorHAnsi" w:cstheme="minorBidi"/>
                <w:b/>
                <w:bCs/>
                <w:lang w:bidi="fa-IR"/>
              </w:rPr>
              <w:t>Section S10.</w:t>
            </w:r>
            <w:r w:rsidRPr="00477D51">
              <w:rPr>
                <w:rFonts w:asciiTheme="minorHAnsi" w:eastAsiaTheme="minorEastAsia" w:hAnsiTheme="minorHAnsi" w:cstheme="minorBidi"/>
                <w:lang w:bidi="fa-IR"/>
              </w:rPr>
              <w:t xml:space="preserve"> </w:t>
            </w:r>
            <w:bookmarkStart w:id="1" w:name="_Hlk197601637"/>
            <w:r w:rsidRPr="00477D51">
              <w:rPr>
                <w:rFonts w:asciiTheme="minorHAnsi" w:eastAsiaTheme="minorEastAsia" w:hAnsiTheme="minorHAnsi" w:cstheme="minorBidi"/>
                <w:lang w:bidi="fa-IR"/>
              </w:rPr>
              <w:t>Result of asphaltene size distribution</w:t>
            </w:r>
            <w:bookmarkEnd w:id="1"/>
          </w:p>
        </w:tc>
        <w:tc>
          <w:tcPr>
            <w:tcW w:w="1179" w:type="dxa"/>
            <w:vAlign w:val="center"/>
          </w:tcPr>
          <w:p w14:paraId="65495332" w14:textId="1F2C131D" w:rsidR="00936D68" w:rsidRPr="00477D51" w:rsidRDefault="00936D68" w:rsidP="00C72D4A">
            <w:pPr>
              <w:pStyle w:val="TESupportingInformation"/>
              <w:spacing w:line="360" w:lineRule="auto"/>
              <w:ind w:firstLine="0"/>
              <w:jc w:val="center"/>
              <w:rPr>
                <w:rFonts w:asciiTheme="minorHAnsi" w:eastAsiaTheme="minorEastAsia" w:hAnsiTheme="minorHAnsi" w:cstheme="minorBidi"/>
                <w:sz w:val="20"/>
                <w:lang w:bidi="fa-IR"/>
              </w:rPr>
            </w:pPr>
            <w:r w:rsidRPr="00477D51">
              <w:rPr>
                <w:rFonts w:asciiTheme="minorHAnsi" w:eastAsiaTheme="minorEastAsia" w:hAnsiTheme="minorHAnsi" w:cstheme="minorBidi"/>
                <w:sz w:val="20"/>
                <w:lang w:bidi="fa-IR"/>
              </w:rPr>
              <w:t>11</w:t>
            </w:r>
          </w:p>
        </w:tc>
      </w:tr>
    </w:tbl>
    <w:p w14:paraId="442597AA" w14:textId="77777777" w:rsidR="00311CDD" w:rsidRPr="00477D51" w:rsidRDefault="00311CDD" w:rsidP="00D6026B">
      <w:pPr>
        <w:bidi w:val="0"/>
        <w:rPr>
          <w:sz w:val="20"/>
          <w:szCs w:val="20"/>
        </w:rPr>
      </w:pPr>
    </w:p>
    <w:p w14:paraId="71381FC2" w14:textId="77777777" w:rsidR="00266834" w:rsidRPr="00477D51" w:rsidRDefault="00EF6105" w:rsidP="00D6026B">
      <w:pPr>
        <w:bidi w:val="0"/>
      </w:pPr>
      <w:r w:rsidRPr="00477D51">
        <w:br/>
      </w:r>
    </w:p>
    <w:p w14:paraId="11274EDD" w14:textId="6B629343" w:rsidR="002D3074" w:rsidRPr="00477D51" w:rsidRDefault="00C37067" w:rsidP="00D6026B">
      <w:pPr>
        <w:bidi w:val="0"/>
        <w:rPr>
          <w:rFonts w:asciiTheme="majorBidi" w:eastAsia="Times New Roman" w:hAnsiTheme="majorBidi" w:cstheme="majorBidi"/>
          <w:b/>
          <w:bCs/>
          <w:color w:val="000000"/>
          <w:sz w:val="32"/>
          <w:szCs w:val="32"/>
          <w:lang w:bidi="ar-SA"/>
        </w:rPr>
      </w:pPr>
      <w:r w:rsidRPr="00477D51">
        <w:rPr>
          <w:b/>
          <w:bCs/>
          <w:sz w:val="24"/>
          <w:szCs w:val="24"/>
        </w:rPr>
        <w:t>S1. Extract method of asphaltenes from an Iranian oil sample- modified ASTM 2007-03.</w:t>
      </w:r>
    </w:p>
    <w:p w14:paraId="77C2A470" w14:textId="77777777" w:rsidR="002D3074" w:rsidRPr="00477D51" w:rsidRDefault="002D3074" w:rsidP="00D6026B">
      <w:pPr>
        <w:bidi w:val="0"/>
        <w:jc w:val="both"/>
        <w:rPr>
          <w:rFonts w:asciiTheme="majorBidi" w:eastAsia="Times New Roman" w:hAnsiTheme="majorBidi" w:cstheme="majorBidi"/>
          <w:color w:val="2E2E2E"/>
          <w:sz w:val="28"/>
          <w:szCs w:val="28"/>
        </w:rPr>
      </w:pPr>
      <w:r w:rsidRPr="00477D51">
        <w:t xml:space="preserve">To extract asphaltenes from an Iranian heavy oil sample, a modified ASTM 2007-03 standard procedure involving precipitation in excess n-heptane was employed. Before the extraction, the field's dead oil sample underwent centrifugation at 7000 rpm for one hour to eliminate water and particulate matter found in typical field samples. A specified quantity of heavy oil was mixed with n-heptane at a ratio of 1:40 g/mL in a sealed glass container. The mixture was then subjected to ultrasonic irradiation using an Ultrasonic Cleaner </w:t>
      </w:r>
      <w:proofErr w:type="spellStart"/>
      <w:r w:rsidRPr="00477D51">
        <w:t>Elmasonic</w:t>
      </w:r>
      <w:proofErr w:type="spellEnd"/>
      <w:r w:rsidRPr="00477D51">
        <w:t xml:space="preserve"> PH350EL for 30 min followed by stirring at 650 rpm for 24 h at room temperature. The mixture separated into two phases, with black precipitates forming in the container. After decanting the supernatant liquid, the precipitates were mixed with fresh n-heptane at a ratio of 1:4 (g/mL) and shaken for 10 min to remove any accompanying maltenes. The resultant mixture was centrifuged at 3500 rpm for 45 min. The washing with fresh n-heptane and subsequent centrifugation were repeated several times until the asphaltenes' color became shiny black. The obtained solid asphaltenes were dried at 60°C, refined, and stored in a </w:t>
      </w:r>
      <w:proofErr w:type="spellStart"/>
      <w:r w:rsidRPr="00477D51">
        <w:t>dessicator</w:t>
      </w:r>
      <w:proofErr w:type="spellEnd"/>
      <w:r w:rsidRPr="00477D51">
        <w:t xml:space="preserve">. The elemental composition, functional groups, and size of the </w:t>
      </w:r>
      <w:proofErr w:type="spellStart"/>
      <w:r w:rsidRPr="00477D51">
        <w:t>asphaltenes</w:t>
      </w:r>
      <w:proofErr w:type="spellEnd"/>
      <w:r w:rsidRPr="00477D51">
        <w:t xml:space="preserve"> nanoaggregates in </w:t>
      </w:r>
      <w:proofErr w:type="spellStart"/>
      <w:r w:rsidRPr="00477D51">
        <w:t>heptol</w:t>
      </w:r>
      <w:proofErr w:type="spellEnd"/>
      <w:r w:rsidRPr="00477D51">
        <w:t xml:space="preserve"> were determined as previously described in our research.</w:t>
      </w:r>
    </w:p>
    <w:p w14:paraId="31767A7C" w14:textId="77777777" w:rsidR="006534D9" w:rsidRPr="00477D51" w:rsidRDefault="006534D9" w:rsidP="00D6026B">
      <w:pPr>
        <w:bidi w:val="0"/>
      </w:pPr>
    </w:p>
    <w:p w14:paraId="2CA8FB5C" w14:textId="5AD828ED" w:rsidR="00FE0801" w:rsidRPr="00477D51" w:rsidRDefault="00A46FBD" w:rsidP="006534D9">
      <w:pPr>
        <w:bidi w:val="0"/>
        <w:rPr>
          <w:rFonts w:asciiTheme="majorBidi" w:eastAsia="Times New Roman" w:hAnsiTheme="majorBidi" w:cstheme="majorBidi"/>
          <w:b/>
          <w:bCs/>
          <w:color w:val="2E2E2E"/>
          <w:kern w:val="36"/>
          <w:sz w:val="32"/>
          <w:szCs w:val="32"/>
        </w:rPr>
      </w:pPr>
      <w:r w:rsidRPr="00477D51">
        <w:rPr>
          <w:b/>
          <w:bCs/>
          <w:sz w:val="24"/>
          <w:szCs w:val="24"/>
        </w:rPr>
        <w:t>S2. FTIR spectra of asphaltene.</w:t>
      </w:r>
    </w:p>
    <w:p w14:paraId="7DF53164" w14:textId="2945AD85" w:rsidR="00FE0801" w:rsidRPr="00477D51" w:rsidRDefault="006534D9" w:rsidP="006534D9">
      <w:pPr>
        <w:bidi w:val="0"/>
        <w:jc w:val="center"/>
        <w:rPr>
          <w:rFonts w:asciiTheme="majorBidi" w:eastAsia="Times New Roman" w:hAnsiTheme="majorBidi" w:cstheme="majorBidi"/>
          <w:color w:val="2E2E2E"/>
          <w:kern w:val="36"/>
          <w:sz w:val="28"/>
          <w:szCs w:val="28"/>
        </w:rPr>
      </w:pPr>
      <w:r w:rsidRPr="00477D51">
        <w:rPr>
          <w:rFonts w:asciiTheme="majorBidi" w:eastAsia="Times New Roman" w:hAnsiTheme="majorBidi" w:cstheme="majorBidi"/>
          <w:noProof/>
          <w:color w:val="2E2E2E"/>
          <w:kern w:val="36"/>
          <w:sz w:val="28"/>
          <w:szCs w:val="28"/>
          <w:lang w:val="en-IN" w:eastAsia="en-IN" w:bidi="ar-SA"/>
        </w:rPr>
        <w:drawing>
          <wp:inline distT="0" distB="0" distL="0" distR="0" wp14:anchorId="711E8791" wp14:editId="2F65436B">
            <wp:extent cx="3381546" cy="2042432"/>
            <wp:effectExtent l="0" t="0" r="0" b="0"/>
            <wp:docPr id="16" name="Picture 16" descr="A graph of a graph showing the number of the same numb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a graph showing the number of the same number&#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11766" cy="2060684"/>
                    </a:xfrm>
                    <a:prstGeom prst="rect">
                      <a:avLst/>
                    </a:prstGeom>
                    <a:noFill/>
                    <a:ln>
                      <a:noFill/>
                    </a:ln>
                  </pic:spPr>
                </pic:pic>
              </a:graphicData>
            </a:graphic>
          </wp:inline>
        </w:drawing>
      </w:r>
    </w:p>
    <w:p w14:paraId="122E1D25" w14:textId="2865E95D" w:rsidR="00FE0801" w:rsidRPr="00477D51" w:rsidRDefault="00FE0801" w:rsidP="00CD5275">
      <w:pPr>
        <w:bidi w:val="0"/>
        <w:jc w:val="center"/>
      </w:pPr>
      <w:r w:rsidRPr="00477D51">
        <w:rPr>
          <w:b/>
          <w:bCs/>
        </w:rPr>
        <w:t>Fig.S</w:t>
      </w:r>
      <w:r w:rsidR="007643FC" w:rsidRPr="00477D51">
        <w:rPr>
          <w:b/>
          <w:bCs/>
        </w:rPr>
        <w:t>1</w:t>
      </w:r>
      <w:r w:rsidRPr="00477D51">
        <w:rPr>
          <w:b/>
          <w:bCs/>
        </w:rPr>
        <w:t>.</w:t>
      </w:r>
      <w:r w:rsidRPr="00477D51">
        <w:t xml:space="preserve"> FTIR spectra of asphaltenes.</w:t>
      </w:r>
    </w:p>
    <w:p w14:paraId="0E20C3CD" w14:textId="77777777" w:rsidR="00FE0801" w:rsidRPr="00477D51" w:rsidRDefault="00FE0801" w:rsidP="00D6026B">
      <w:pPr>
        <w:bidi w:val="0"/>
        <w:rPr>
          <w:rFonts w:asciiTheme="majorBidi" w:eastAsia="Times New Roman" w:hAnsiTheme="majorBidi" w:cstheme="majorBidi"/>
          <w:color w:val="2E2E2E"/>
          <w:kern w:val="36"/>
          <w:sz w:val="24"/>
          <w:szCs w:val="24"/>
        </w:rPr>
      </w:pPr>
    </w:p>
    <w:p w14:paraId="344C178D" w14:textId="477957DC" w:rsidR="00D13272" w:rsidRPr="00477D51" w:rsidRDefault="00D13272" w:rsidP="006B667F">
      <w:pPr>
        <w:bidi w:val="0"/>
        <w:jc w:val="both"/>
      </w:pPr>
      <w:r w:rsidRPr="00477D51">
        <w:lastRenderedPageBreak/>
        <w:t xml:space="preserve">In the following, statistical analyses were conducted to evaluate the distribution and variability of zeta potential measurements across different brine conditions. The Shapiro-Wilk test </w:t>
      </w:r>
      <w:sdt>
        <w:sdtPr>
          <w:id w:val="-1839297605"/>
          <w:citation/>
        </w:sdtPr>
        <w:sdtEndPr/>
        <w:sdtContent>
          <w:r w:rsidRPr="00477D51">
            <w:fldChar w:fldCharType="begin"/>
          </w:r>
          <w:r w:rsidR="00D47A28" w:rsidRPr="00477D51">
            <w:instrText xml:space="preserve">CITATION Gon22 \l 4105 </w:instrText>
          </w:r>
          <w:r w:rsidRPr="00477D51">
            <w:fldChar w:fldCharType="separate"/>
          </w:r>
          <w:r w:rsidR="00A65A38" w:rsidRPr="00477D51">
            <w:rPr>
              <w:noProof/>
            </w:rPr>
            <w:t>[1]</w:t>
          </w:r>
          <w:r w:rsidRPr="00477D51">
            <w:fldChar w:fldCharType="end"/>
          </w:r>
        </w:sdtContent>
      </w:sdt>
      <w:r w:rsidRPr="00477D51">
        <w:t xml:space="preserve"> was employed to assess the normality of the data within each group. This test is highly sensitive to deviations from normality and is particularly effective for small sample sizes. Results indicated significant departures from normality (p&lt;0.05) in most groups, necessitating the use of non-parametric methods. To examine the equality of variances among groups, Levene’s test </w:t>
      </w:r>
      <w:sdt>
        <w:sdtPr>
          <w:id w:val="-981227785"/>
          <w:citation/>
        </w:sdtPr>
        <w:sdtEndPr/>
        <w:sdtContent>
          <w:r w:rsidRPr="00477D51">
            <w:fldChar w:fldCharType="begin"/>
          </w:r>
          <w:r w:rsidRPr="00477D51">
            <w:instrText xml:space="preserve"> CITATION Lev60 \l 4105 </w:instrText>
          </w:r>
          <w:r w:rsidRPr="00477D51">
            <w:fldChar w:fldCharType="separate"/>
          </w:r>
          <w:r w:rsidR="00A65A38" w:rsidRPr="00477D51">
            <w:rPr>
              <w:noProof/>
            </w:rPr>
            <w:t>[2]</w:t>
          </w:r>
          <w:r w:rsidRPr="00477D51">
            <w:fldChar w:fldCharType="end"/>
          </w:r>
        </w:sdtContent>
      </w:sdt>
      <w:r w:rsidRPr="00477D51">
        <w:t xml:space="preserve"> was applied, revealing heterogeneity in variances (p&lt;0.001), which further supported the use of non-parametric approaches. The degrees of freedom (</w:t>
      </w:r>
      <w:proofErr w:type="spellStart"/>
      <w:proofErr w:type="gramStart"/>
      <w:r w:rsidRPr="00477D51">
        <w:t>Df</w:t>
      </w:r>
      <w:proofErr w:type="spellEnd"/>
      <w:proofErr w:type="gramEnd"/>
      <w:r w:rsidRPr="00477D51">
        <w:t xml:space="preserve">) reported with </w:t>
      </w:r>
      <w:proofErr w:type="spellStart"/>
      <w:r w:rsidRPr="00477D51">
        <w:t>Levene's</w:t>
      </w:r>
      <w:proofErr w:type="spellEnd"/>
      <w:r w:rsidRPr="00477D51">
        <w:t xml:space="preserve"> test represent the number of independent values that can vary in the analysis. For pairwise comparisons, Wilcoxon rank-sum tests (also known as the Mann-Whitney U test) were conducted, as these tests do not assume normality or equal variances</w:t>
      </w:r>
      <w:sdt>
        <w:sdtPr>
          <w:id w:val="1009953171"/>
          <w:citation/>
        </w:sdtPr>
        <w:sdtEndPr/>
        <w:sdtContent>
          <w:r w:rsidRPr="00477D51">
            <w:fldChar w:fldCharType="begin"/>
          </w:r>
          <w:r w:rsidRPr="00477D51">
            <w:instrText xml:space="preserve"> CITATION McK10 \l 4105 </w:instrText>
          </w:r>
          <w:r w:rsidRPr="00477D51">
            <w:fldChar w:fldCharType="separate"/>
          </w:r>
          <w:r w:rsidR="00A65A38" w:rsidRPr="00477D51">
            <w:rPr>
              <w:noProof/>
            </w:rPr>
            <w:t xml:space="preserve"> [3]</w:t>
          </w:r>
          <w:r w:rsidRPr="00477D51">
            <w:fldChar w:fldCharType="end"/>
          </w:r>
        </w:sdtContent>
      </w:sdt>
      <w:r w:rsidRPr="00477D51">
        <w:t xml:space="preserve">. Additionally, the Kruskal-Wallis test </w:t>
      </w:r>
      <w:sdt>
        <w:sdtPr>
          <w:id w:val="2047249500"/>
          <w:citation/>
        </w:sdtPr>
        <w:sdtEndPr/>
        <w:sdtContent>
          <w:r w:rsidRPr="00477D51">
            <w:fldChar w:fldCharType="begin"/>
          </w:r>
          <w:r w:rsidRPr="00477D51">
            <w:instrText xml:space="preserve"> CITATION Kru52 \l 4105 </w:instrText>
          </w:r>
          <w:r w:rsidRPr="00477D51">
            <w:fldChar w:fldCharType="separate"/>
          </w:r>
          <w:r w:rsidR="00A65A38" w:rsidRPr="00477D51">
            <w:rPr>
              <w:noProof/>
            </w:rPr>
            <w:t>[4]</w:t>
          </w:r>
          <w:r w:rsidRPr="00477D51">
            <w:fldChar w:fldCharType="end"/>
          </w:r>
        </w:sdtContent>
      </w:sdt>
      <w:r w:rsidRPr="00477D51">
        <w:t xml:space="preserve"> was used for multi-group comparisons to evaluate whether distributions differed significantly across brine conditions. The Kruskal-Wallis test is a rank-based non-parametric method, appropriate for datasets that violate parametric assumptions. Statistical outputs, including W-values for </w:t>
      </w:r>
      <w:r w:rsidR="00ED435C" w:rsidRPr="00477D51">
        <w:t xml:space="preserve">Shapiro-Wilk test, </w:t>
      </w:r>
      <w:r w:rsidR="00ED435C" w:rsidRPr="00477D51">
        <w:rPr>
          <w:rFonts w:ascii="Calibri" w:eastAsia="Times New Roman" w:hAnsi="Calibri" w:cs="Calibri"/>
          <w:color w:val="000000"/>
          <w:lang w:val="en-CA" w:eastAsia="en-CA" w:bidi="ar-SA"/>
        </w:rPr>
        <w:t>Levene's test</w:t>
      </w:r>
      <w:r w:rsidR="00ED435C" w:rsidRPr="00477D51">
        <w:t xml:space="preserve"> and </w:t>
      </w:r>
      <w:r w:rsidRPr="00477D51">
        <w:t>Wilcoxon tests, along with corresponding p-values, were reported to highlight significant group differences. These methods ensured robust analysis of the data, accounting for its non-normal distribution and heteroscedasticity.</w:t>
      </w:r>
    </w:p>
    <w:p w14:paraId="05C2678C" w14:textId="77777777" w:rsidR="00C71835" w:rsidRPr="00477D51" w:rsidRDefault="00C71835" w:rsidP="00C71835">
      <w:pPr>
        <w:bidi w:val="0"/>
        <w:rPr>
          <w:rFonts w:asciiTheme="majorBidi" w:hAnsiTheme="majorBidi" w:cstheme="majorBidi"/>
          <w:lang w:bidi="ar-SA"/>
        </w:rPr>
      </w:pPr>
    </w:p>
    <w:p w14:paraId="0E0B1BE3" w14:textId="31A6E9C2" w:rsidR="00B0359F" w:rsidRPr="00477D51" w:rsidRDefault="006B53A2" w:rsidP="00E868F7">
      <w:pPr>
        <w:bidi w:val="0"/>
        <w:rPr>
          <w:rFonts w:asciiTheme="majorBidi" w:eastAsia="Times New Roman" w:hAnsiTheme="majorBidi" w:cstheme="majorBidi"/>
          <w:b/>
          <w:bCs/>
          <w:color w:val="2E2E2E"/>
          <w:sz w:val="28"/>
          <w:szCs w:val="28"/>
        </w:rPr>
      </w:pPr>
      <w:r w:rsidRPr="00477D51">
        <w:rPr>
          <w:b/>
          <w:bCs/>
          <w:sz w:val="24"/>
          <w:szCs w:val="24"/>
        </w:rPr>
        <w:t>S3. P-values of zeta potential data for both n-heptane/toluene 1:5 and n-heptane/toluene 1:40.</w:t>
      </w:r>
    </w:p>
    <w:p w14:paraId="5B398584" w14:textId="77777777" w:rsidR="00D6026B" w:rsidRPr="00477D51" w:rsidRDefault="00D6026B" w:rsidP="00D6026B">
      <w:pPr>
        <w:bidi w:val="0"/>
        <w:rPr>
          <w:rFonts w:asciiTheme="majorBidi" w:eastAsia="Times New Roman" w:hAnsiTheme="majorBidi" w:cstheme="majorBidi"/>
          <w:b/>
          <w:bCs/>
          <w:color w:val="2E2E2E"/>
          <w:sz w:val="24"/>
          <w:szCs w:val="24"/>
        </w:rPr>
      </w:pPr>
    </w:p>
    <w:p w14:paraId="48C3FFAE" w14:textId="1F321161" w:rsidR="00D6026B" w:rsidRPr="00477D51" w:rsidRDefault="00E868F7" w:rsidP="00AB592C">
      <w:pPr>
        <w:bidi w:val="0"/>
        <w:jc w:val="center"/>
        <w:rPr>
          <w:rFonts w:asciiTheme="majorBidi" w:eastAsia="Times New Roman" w:hAnsiTheme="majorBidi" w:cstheme="majorBidi"/>
          <w:color w:val="2E2E2E"/>
          <w:sz w:val="24"/>
          <w:szCs w:val="24"/>
        </w:rPr>
      </w:pPr>
      <w:r w:rsidRPr="00477D51">
        <w:rPr>
          <w:b/>
          <w:bCs/>
        </w:rPr>
        <w:t>Table S</w:t>
      </w:r>
      <w:r w:rsidR="00AB592C" w:rsidRPr="00477D51">
        <w:rPr>
          <w:b/>
          <w:bCs/>
        </w:rPr>
        <w:t>1</w:t>
      </w:r>
      <w:r w:rsidRPr="00477D51">
        <w:rPr>
          <w:b/>
          <w:bCs/>
        </w:rPr>
        <w:t>.</w:t>
      </w:r>
      <w:r w:rsidRPr="00477D51">
        <w:t xml:space="preserve"> P-values of zeta potential data for both n-heptane/toluene 1:5 and n-heptane/toluene 1:40</w:t>
      </w:r>
    </w:p>
    <w:tbl>
      <w:tblPr>
        <w:tblStyle w:val="PlainTable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B0359F" w:rsidRPr="00477D51" w14:paraId="19EDE6E6" w14:textId="77777777" w:rsidTr="0079112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bottom w:val="none" w:sz="0" w:space="0" w:color="auto"/>
            </w:tcBorders>
          </w:tcPr>
          <w:p w14:paraId="2234912D" w14:textId="77777777" w:rsidR="00B0359F" w:rsidRPr="00477D51" w:rsidRDefault="00791121" w:rsidP="00791121">
            <w:pPr>
              <w:bidi w:val="0"/>
              <w:spacing w:after="160" w:line="259" w:lineRule="auto"/>
              <w:jc w:val="center"/>
            </w:pPr>
            <w:r w:rsidRPr="00477D51">
              <w:t>Method</w:t>
            </w:r>
          </w:p>
        </w:tc>
        <w:tc>
          <w:tcPr>
            <w:tcW w:w="3005" w:type="dxa"/>
            <w:tcBorders>
              <w:bottom w:val="none" w:sz="0" w:space="0" w:color="auto"/>
            </w:tcBorders>
          </w:tcPr>
          <w:p w14:paraId="55B23274" w14:textId="77777777" w:rsidR="00B0359F" w:rsidRPr="00477D51" w:rsidRDefault="00B0359F" w:rsidP="00791121">
            <w:pPr>
              <w:bidi w:val="0"/>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477D51">
              <w:t>W</w:t>
            </w:r>
            <w:r w:rsidR="00127BD8" w:rsidRPr="00477D51">
              <w:t>-</w:t>
            </w:r>
            <w:r w:rsidRPr="00477D51">
              <w:t>value</w:t>
            </w:r>
          </w:p>
        </w:tc>
        <w:tc>
          <w:tcPr>
            <w:tcW w:w="3006" w:type="dxa"/>
            <w:tcBorders>
              <w:bottom w:val="none" w:sz="0" w:space="0" w:color="auto"/>
            </w:tcBorders>
          </w:tcPr>
          <w:p w14:paraId="30467471" w14:textId="77777777" w:rsidR="00B0359F" w:rsidRPr="00477D51" w:rsidRDefault="00B0359F" w:rsidP="00791121">
            <w:pPr>
              <w:bidi w:val="0"/>
              <w:spacing w:after="160" w:line="259" w:lineRule="auto"/>
              <w:jc w:val="center"/>
              <w:cnfStyle w:val="100000000000" w:firstRow="1" w:lastRow="0" w:firstColumn="0" w:lastColumn="0" w:oddVBand="0" w:evenVBand="0" w:oddHBand="0" w:evenHBand="0" w:firstRowFirstColumn="0" w:firstRowLastColumn="0" w:lastRowFirstColumn="0" w:lastRowLastColumn="0"/>
            </w:pPr>
            <w:r w:rsidRPr="00477D51">
              <w:t>P</w:t>
            </w:r>
            <w:r w:rsidR="00127BD8" w:rsidRPr="00477D51">
              <w:t>-</w:t>
            </w:r>
            <w:r w:rsidRPr="00477D51">
              <w:t>value</w:t>
            </w:r>
          </w:p>
        </w:tc>
      </w:tr>
      <w:tr w:rsidR="00B0359F" w:rsidRPr="00477D51" w14:paraId="621F2351" w14:textId="77777777" w:rsidTr="00791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tcPr>
          <w:p w14:paraId="56BFC2D8" w14:textId="77777777" w:rsidR="00B0359F" w:rsidRPr="00477D51" w:rsidRDefault="00B0359F" w:rsidP="00791121">
            <w:pPr>
              <w:bidi w:val="0"/>
              <w:spacing w:after="160" w:line="259" w:lineRule="auto"/>
              <w:jc w:val="center"/>
            </w:pPr>
            <w:r w:rsidRPr="00477D51">
              <w:t>Shapiro-Wilk test for n-heptane/toluene 1:5</w:t>
            </w:r>
          </w:p>
        </w:tc>
        <w:tc>
          <w:tcPr>
            <w:tcW w:w="3005" w:type="dxa"/>
            <w:tcBorders>
              <w:top w:val="none" w:sz="0" w:space="0" w:color="auto"/>
              <w:bottom w:val="none" w:sz="0" w:space="0" w:color="auto"/>
            </w:tcBorders>
          </w:tcPr>
          <w:p w14:paraId="15A2C8A4" w14:textId="77777777" w:rsidR="00B0359F" w:rsidRPr="00477D51" w:rsidRDefault="00B0359F" w:rsidP="00791121">
            <w:pPr>
              <w:bidi w:val="0"/>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477D51">
              <w:t>0.90874</w:t>
            </w:r>
          </w:p>
        </w:tc>
        <w:tc>
          <w:tcPr>
            <w:tcW w:w="3006" w:type="dxa"/>
            <w:tcBorders>
              <w:top w:val="none" w:sz="0" w:space="0" w:color="auto"/>
              <w:bottom w:val="none" w:sz="0" w:space="0" w:color="auto"/>
            </w:tcBorders>
          </w:tcPr>
          <w:p w14:paraId="20F7EBD6" w14:textId="77777777" w:rsidR="00B0359F" w:rsidRPr="00477D51" w:rsidRDefault="00B0359F" w:rsidP="00791121">
            <w:pPr>
              <w:bidi w:val="0"/>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477D51">
              <w:t>0.005966</w:t>
            </w:r>
          </w:p>
        </w:tc>
      </w:tr>
      <w:tr w:rsidR="00B0359F" w:rsidRPr="00477D51" w14:paraId="56C94FFD" w14:textId="77777777" w:rsidTr="00791121">
        <w:tc>
          <w:tcPr>
            <w:cnfStyle w:val="001000000000" w:firstRow="0" w:lastRow="0" w:firstColumn="1" w:lastColumn="0" w:oddVBand="0" w:evenVBand="0" w:oddHBand="0" w:evenHBand="0" w:firstRowFirstColumn="0" w:firstRowLastColumn="0" w:lastRowFirstColumn="0" w:lastRowLastColumn="0"/>
            <w:tcW w:w="3005" w:type="dxa"/>
          </w:tcPr>
          <w:p w14:paraId="5F9ACB91" w14:textId="77777777" w:rsidR="00B0359F" w:rsidRPr="00477D51" w:rsidRDefault="00B0359F" w:rsidP="00791121">
            <w:pPr>
              <w:bidi w:val="0"/>
              <w:spacing w:after="160" w:line="259" w:lineRule="auto"/>
              <w:jc w:val="center"/>
            </w:pPr>
            <w:r w:rsidRPr="00477D51">
              <w:t>Shapiro-Wilk test for n-heptane/toluene 1:40</w:t>
            </w:r>
          </w:p>
        </w:tc>
        <w:tc>
          <w:tcPr>
            <w:tcW w:w="3005" w:type="dxa"/>
          </w:tcPr>
          <w:p w14:paraId="50805E27" w14:textId="77777777" w:rsidR="00B0359F" w:rsidRPr="00477D51" w:rsidRDefault="00B0359F" w:rsidP="00791121">
            <w:pPr>
              <w:bidi w:val="0"/>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477D51">
              <w:t>0.81965</w:t>
            </w:r>
          </w:p>
        </w:tc>
        <w:tc>
          <w:tcPr>
            <w:tcW w:w="3006" w:type="dxa"/>
          </w:tcPr>
          <w:p w14:paraId="67A8EE42" w14:textId="77777777" w:rsidR="00B0359F" w:rsidRPr="00477D51" w:rsidRDefault="00B0359F" w:rsidP="00791121">
            <w:pPr>
              <w:bidi w:val="0"/>
              <w:spacing w:after="160" w:line="259" w:lineRule="auto"/>
              <w:jc w:val="center"/>
              <w:cnfStyle w:val="000000000000" w:firstRow="0" w:lastRow="0" w:firstColumn="0" w:lastColumn="0" w:oddVBand="0" w:evenVBand="0" w:oddHBand="0" w:evenHBand="0" w:firstRowFirstColumn="0" w:firstRowLastColumn="0" w:lastRowFirstColumn="0" w:lastRowLastColumn="0"/>
            </w:pPr>
            <w:r w:rsidRPr="00477D51">
              <w:t>1.194e-05</w:t>
            </w:r>
          </w:p>
        </w:tc>
      </w:tr>
      <w:tr w:rsidR="00B0359F" w:rsidRPr="00477D51" w14:paraId="254D0612" w14:textId="77777777" w:rsidTr="007911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Borders>
              <w:top w:val="none" w:sz="0" w:space="0" w:color="auto"/>
              <w:bottom w:val="none" w:sz="0" w:space="0" w:color="auto"/>
            </w:tcBorders>
          </w:tcPr>
          <w:p w14:paraId="040E79FA" w14:textId="77777777" w:rsidR="00B0359F" w:rsidRPr="00477D51" w:rsidRDefault="00B0359F" w:rsidP="00791121">
            <w:pPr>
              <w:bidi w:val="0"/>
              <w:spacing w:after="160" w:line="259" w:lineRule="auto"/>
              <w:jc w:val="center"/>
            </w:pPr>
            <w:r w:rsidRPr="00477D51">
              <w:t>Wilcoxon rank-sum test for Zeta Potential between n-heptane/toluene 1:5 and 1:40</w:t>
            </w:r>
          </w:p>
        </w:tc>
        <w:tc>
          <w:tcPr>
            <w:tcW w:w="3005" w:type="dxa"/>
            <w:tcBorders>
              <w:top w:val="none" w:sz="0" w:space="0" w:color="auto"/>
              <w:bottom w:val="none" w:sz="0" w:space="0" w:color="auto"/>
            </w:tcBorders>
          </w:tcPr>
          <w:p w14:paraId="3A6A0FDD" w14:textId="77777777" w:rsidR="00B0359F" w:rsidRPr="00477D51" w:rsidRDefault="00B0359F" w:rsidP="00791121">
            <w:pPr>
              <w:bidi w:val="0"/>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477D51">
              <w:t>373</w:t>
            </w:r>
          </w:p>
        </w:tc>
        <w:tc>
          <w:tcPr>
            <w:tcW w:w="3006" w:type="dxa"/>
            <w:tcBorders>
              <w:top w:val="none" w:sz="0" w:space="0" w:color="auto"/>
              <w:bottom w:val="none" w:sz="0" w:space="0" w:color="auto"/>
            </w:tcBorders>
          </w:tcPr>
          <w:p w14:paraId="11EF52ED" w14:textId="77777777" w:rsidR="00B0359F" w:rsidRPr="00477D51" w:rsidRDefault="00B0359F" w:rsidP="00791121">
            <w:pPr>
              <w:bidi w:val="0"/>
              <w:spacing w:after="160" w:line="259" w:lineRule="auto"/>
              <w:jc w:val="center"/>
              <w:cnfStyle w:val="000000100000" w:firstRow="0" w:lastRow="0" w:firstColumn="0" w:lastColumn="0" w:oddVBand="0" w:evenVBand="0" w:oddHBand="1" w:evenHBand="0" w:firstRowFirstColumn="0" w:firstRowLastColumn="0" w:lastRowFirstColumn="0" w:lastRowLastColumn="0"/>
            </w:pPr>
            <w:r w:rsidRPr="00477D51">
              <w:t>0.0001259</w:t>
            </w:r>
          </w:p>
        </w:tc>
      </w:tr>
    </w:tbl>
    <w:p w14:paraId="16EEAE51" w14:textId="77777777" w:rsidR="006B53A2" w:rsidRPr="00477D51" w:rsidRDefault="006B53A2" w:rsidP="00D6026B">
      <w:pPr>
        <w:bidi w:val="0"/>
        <w:spacing w:after="160" w:line="259" w:lineRule="auto"/>
        <w:rPr>
          <w:rFonts w:asciiTheme="majorBidi" w:eastAsia="Times New Roman" w:hAnsiTheme="majorBidi" w:cstheme="majorBidi"/>
          <w:b/>
          <w:bCs/>
          <w:color w:val="2E2E2E"/>
          <w:sz w:val="24"/>
          <w:szCs w:val="24"/>
        </w:rPr>
      </w:pPr>
    </w:p>
    <w:p w14:paraId="5DA221BB" w14:textId="77777777" w:rsidR="006B53A2" w:rsidRPr="00477D51" w:rsidRDefault="006B53A2" w:rsidP="00D6026B">
      <w:pPr>
        <w:bidi w:val="0"/>
        <w:spacing w:after="160" w:line="259" w:lineRule="auto"/>
        <w:jc w:val="both"/>
        <w:rPr>
          <w:rFonts w:asciiTheme="majorBidi" w:eastAsia="Times New Roman" w:hAnsiTheme="majorBidi" w:cstheme="majorBidi"/>
          <w:color w:val="2E2E2E"/>
          <w:sz w:val="28"/>
          <w:szCs w:val="28"/>
        </w:rPr>
      </w:pPr>
      <w:r w:rsidRPr="00477D51">
        <w:t>Since the p-value is much less than 0.05, we reject the null hypothesis that the two groups have the same distribution. This suggests that there is a statistically significant difference in the zeta potential values between the n-heptane/toluene 1:5 and n-heptane/toluene 1:40 groups.</w:t>
      </w:r>
    </w:p>
    <w:p w14:paraId="2FF4E7A3" w14:textId="77777777" w:rsidR="006B53A2" w:rsidRPr="00477D51" w:rsidRDefault="006B53A2" w:rsidP="00D6026B">
      <w:pPr>
        <w:bidi w:val="0"/>
        <w:jc w:val="both"/>
        <w:rPr>
          <w:rFonts w:asciiTheme="majorBidi" w:hAnsiTheme="majorBidi" w:cstheme="majorBidi"/>
          <w:lang w:bidi="ar-SA"/>
        </w:rPr>
      </w:pPr>
    </w:p>
    <w:p w14:paraId="1B47BCBE" w14:textId="3FB85EBC" w:rsidR="00127BD8" w:rsidRPr="00477D51" w:rsidRDefault="00127BD8" w:rsidP="00C97D3B">
      <w:pPr>
        <w:bidi w:val="0"/>
        <w:rPr>
          <w:b/>
          <w:bCs/>
          <w:sz w:val="24"/>
          <w:szCs w:val="24"/>
        </w:rPr>
      </w:pPr>
      <w:r w:rsidRPr="00477D51">
        <w:rPr>
          <w:b/>
          <w:bCs/>
          <w:sz w:val="24"/>
          <w:szCs w:val="24"/>
        </w:rPr>
        <w:t>S4. Box plot of zeta potential data for both n-heptane/toluene 1:5 and n-heptane/toluene 1:40</w:t>
      </w:r>
    </w:p>
    <w:p w14:paraId="2A20761A" w14:textId="77777777" w:rsidR="00127BD8" w:rsidRPr="00477D51" w:rsidRDefault="00127BD8" w:rsidP="00791121">
      <w:pPr>
        <w:bidi w:val="0"/>
        <w:jc w:val="both"/>
        <w:rPr>
          <w:rFonts w:asciiTheme="majorBidi" w:hAnsiTheme="majorBidi" w:cstheme="majorBidi"/>
          <w:sz w:val="28"/>
          <w:szCs w:val="28"/>
        </w:rPr>
      </w:pPr>
      <w:r w:rsidRPr="00477D51">
        <w:lastRenderedPageBreak/>
        <w:t>The boxplot analysis presented in the figure provides a detailed comparison of the zeta potentials for two different mixtures of n-heptane and toluene at ratios of 1:40 and 1:5. The median zeta potential for the n-heptane/toluene 1:40 mixture is approximately -22 mV, whereas the median for the n-heptane/toluene 1:5 mixture is around -10 mV. This indicates a more negative surface charge for the 1:40 mixture. Additionally, the mean values, indicated by the red crosses, corroborate this observation, showing a similar trend in both groups. The p-value of 0.034, derived from the Wilcoxon test, confirms that this difference is statistically significant at the 5% significance level, suggesting that the variations in zeta potential between the two mixtures are not due to random chance. Furthermore, the spread of data points and the error bars indicate a greater variability in the zeta potential values for the 1:40 mixture compared to the 1:5 mixture. The min and max values, highlighted by the triangles and circles respectively, emphasize the range of zeta potential values within each group. This detailed analysis demonstrates that the proportion of toluene in the mixture significantly impacts the zeta potential, with higher toluene content (1:40 ratio) resulting in a less negative zeta potential. These findings are critical for understanding the electrokinetic properties of these mixtures, which can influence various applications in fields such as oil recovery and colloidal stability.</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6026B" w:rsidRPr="00477D51" w14:paraId="6EE98F9C" w14:textId="77777777" w:rsidTr="00791121">
        <w:trPr>
          <w:jc w:val="center"/>
        </w:trPr>
        <w:tc>
          <w:tcPr>
            <w:tcW w:w="9016" w:type="dxa"/>
          </w:tcPr>
          <w:p w14:paraId="00FC6CE0" w14:textId="4ACFBF73" w:rsidR="00D6026B" w:rsidRPr="00477D51" w:rsidRDefault="00D46164" w:rsidP="00D6026B">
            <w:pPr>
              <w:bidi w:val="0"/>
              <w:jc w:val="center"/>
              <w:rPr>
                <w:rFonts w:asciiTheme="majorBidi" w:hAnsiTheme="majorBidi" w:cstheme="majorBidi"/>
                <w:sz w:val="24"/>
                <w:szCs w:val="24"/>
                <w:rtl/>
              </w:rPr>
            </w:pPr>
            <w:r w:rsidRPr="00477D51">
              <w:rPr>
                <w:rFonts w:asciiTheme="majorBidi" w:hAnsiTheme="majorBidi" w:cstheme="majorBidi"/>
                <w:noProof/>
                <w:sz w:val="24"/>
                <w:szCs w:val="24"/>
                <w:rtl/>
                <w:lang w:val="en-IN" w:eastAsia="en-IN"/>
              </w:rPr>
              <w:drawing>
                <wp:inline distT="0" distB="0" distL="0" distR="0" wp14:anchorId="1EF08309" wp14:editId="1DC34C5C">
                  <wp:extent cx="2143125" cy="2619375"/>
                  <wp:effectExtent l="0" t="0" r="9525" b="0"/>
                  <wp:docPr id="538535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3533" name="Picture 1" descr="A screenshot of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8190" cy="2625566"/>
                          </a:xfrm>
                          <a:prstGeom prst="rect">
                            <a:avLst/>
                          </a:prstGeom>
                        </pic:spPr>
                      </pic:pic>
                    </a:graphicData>
                  </a:graphic>
                </wp:inline>
              </w:drawing>
            </w:r>
          </w:p>
        </w:tc>
      </w:tr>
      <w:tr w:rsidR="00D6026B" w:rsidRPr="00477D51" w14:paraId="648C53C1" w14:textId="77777777" w:rsidTr="00791121">
        <w:trPr>
          <w:jc w:val="center"/>
        </w:trPr>
        <w:tc>
          <w:tcPr>
            <w:tcW w:w="9016" w:type="dxa"/>
          </w:tcPr>
          <w:p w14:paraId="11374365" w14:textId="77777777" w:rsidR="00D6026B" w:rsidRPr="00477D51" w:rsidRDefault="00D6026B" w:rsidP="00D6026B">
            <w:pPr>
              <w:bidi w:val="0"/>
              <w:jc w:val="center"/>
              <w:rPr>
                <w:rFonts w:asciiTheme="majorBidi" w:eastAsia="Times New Roman" w:hAnsiTheme="majorBidi" w:cstheme="majorBidi"/>
                <w:b/>
                <w:bCs/>
                <w:color w:val="000000"/>
                <w:sz w:val="24"/>
                <w:szCs w:val="24"/>
              </w:rPr>
            </w:pPr>
          </w:p>
          <w:p w14:paraId="0B3A686D" w14:textId="354C7503" w:rsidR="00C97D3B" w:rsidRPr="00477D51" w:rsidRDefault="00D6026B" w:rsidP="00E868F7">
            <w:pPr>
              <w:bidi w:val="0"/>
              <w:jc w:val="center"/>
              <w:rPr>
                <w:rFonts w:asciiTheme="minorHAnsi" w:hAnsiTheme="minorHAnsi" w:cstheme="majorBidi"/>
                <w:sz w:val="22"/>
                <w:szCs w:val="22"/>
              </w:rPr>
            </w:pPr>
            <w:r w:rsidRPr="00477D51">
              <w:rPr>
                <w:rFonts w:asciiTheme="minorHAnsi" w:eastAsia="Times New Roman" w:hAnsiTheme="minorHAnsi" w:cstheme="majorBidi"/>
                <w:b/>
                <w:bCs/>
                <w:color w:val="000000"/>
                <w:sz w:val="22"/>
                <w:szCs w:val="22"/>
              </w:rPr>
              <w:t>Fig.S</w:t>
            </w:r>
            <w:r w:rsidR="007643FC" w:rsidRPr="00477D51">
              <w:rPr>
                <w:rFonts w:asciiTheme="minorHAnsi" w:eastAsia="Times New Roman" w:hAnsiTheme="minorHAnsi" w:cstheme="majorBidi"/>
                <w:b/>
                <w:bCs/>
                <w:color w:val="000000"/>
                <w:sz w:val="22"/>
                <w:szCs w:val="22"/>
              </w:rPr>
              <w:t>2</w:t>
            </w:r>
            <w:r w:rsidRPr="00477D51">
              <w:rPr>
                <w:rFonts w:asciiTheme="minorHAnsi" w:eastAsia="Times New Roman" w:hAnsiTheme="minorHAnsi" w:cstheme="majorBidi"/>
                <w:b/>
                <w:bCs/>
                <w:color w:val="000000"/>
                <w:sz w:val="22"/>
                <w:szCs w:val="22"/>
              </w:rPr>
              <w:t>.</w:t>
            </w:r>
            <w:r w:rsidR="00791121" w:rsidRPr="00477D51">
              <w:rPr>
                <w:rFonts w:asciiTheme="minorHAnsi" w:eastAsia="Times New Roman" w:hAnsiTheme="minorHAnsi" w:cstheme="majorBidi"/>
                <w:color w:val="000000"/>
                <w:sz w:val="22"/>
                <w:szCs w:val="22"/>
              </w:rPr>
              <w:t xml:space="preserve"> </w:t>
            </w:r>
            <w:r w:rsidRPr="00477D51">
              <w:rPr>
                <w:rFonts w:asciiTheme="minorHAnsi" w:eastAsia="Times New Roman" w:hAnsiTheme="minorHAnsi" w:cstheme="majorBidi"/>
                <w:color w:val="000000"/>
                <w:sz w:val="22"/>
                <w:szCs w:val="22"/>
              </w:rPr>
              <w:t>Box plot of zeta potential data for both n-heptane/toluene 1:5 and n-heptane/toluene 1:40</w:t>
            </w:r>
            <w:r w:rsidR="00791121" w:rsidRPr="00477D51">
              <w:rPr>
                <w:rFonts w:asciiTheme="minorHAnsi" w:hAnsiTheme="minorHAnsi" w:cstheme="majorBidi"/>
                <w:sz w:val="22"/>
                <w:szCs w:val="22"/>
              </w:rPr>
              <w:t>.</w:t>
            </w:r>
          </w:p>
          <w:p w14:paraId="1021321E" w14:textId="77777777" w:rsidR="006534D9" w:rsidRPr="00477D51" w:rsidRDefault="006534D9" w:rsidP="006534D9">
            <w:pPr>
              <w:bidi w:val="0"/>
              <w:jc w:val="center"/>
              <w:rPr>
                <w:rFonts w:asciiTheme="majorBidi" w:hAnsiTheme="majorBidi" w:cstheme="majorBidi"/>
                <w:sz w:val="24"/>
                <w:szCs w:val="24"/>
                <w:rtl/>
              </w:rPr>
            </w:pPr>
          </w:p>
        </w:tc>
      </w:tr>
    </w:tbl>
    <w:p w14:paraId="6AE4D66F" w14:textId="3F816623" w:rsidR="00A347AF" w:rsidRPr="00477D51" w:rsidRDefault="00D6026B" w:rsidP="00A347AF">
      <w:pPr>
        <w:bidi w:val="0"/>
        <w:rPr>
          <w:b/>
          <w:bCs/>
          <w:sz w:val="24"/>
          <w:szCs w:val="24"/>
        </w:rPr>
      </w:pPr>
      <w:r w:rsidRPr="00477D51">
        <w:rPr>
          <w:b/>
          <w:bCs/>
          <w:sz w:val="24"/>
          <w:szCs w:val="24"/>
        </w:rPr>
        <w:t xml:space="preserve">S5. </w:t>
      </w:r>
      <w:r w:rsidR="00A347AF" w:rsidRPr="00477D51">
        <w:rPr>
          <w:b/>
          <w:bCs/>
          <w:sz w:val="24"/>
          <w:szCs w:val="24"/>
        </w:rPr>
        <w:t xml:space="preserve">Statistical </w:t>
      </w:r>
      <w:r w:rsidR="001B693A" w:rsidRPr="00477D51">
        <w:rPr>
          <w:b/>
          <w:bCs/>
          <w:sz w:val="24"/>
          <w:szCs w:val="24"/>
        </w:rPr>
        <w:t>a</w:t>
      </w:r>
      <w:r w:rsidR="00A347AF" w:rsidRPr="00477D51">
        <w:rPr>
          <w:b/>
          <w:bCs/>
          <w:sz w:val="24"/>
          <w:szCs w:val="24"/>
        </w:rPr>
        <w:t xml:space="preserve">nalysis: </w:t>
      </w:r>
      <w:r w:rsidR="001B693A" w:rsidRPr="00477D51">
        <w:rPr>
          <w:b/>
          <w:bCs/>
          <w:sz w:val="24"/>
          <w:szCs w:val="24"/>
        </w:rPr>
        <w:t>z</w:t>
      </w:r>
      <w:r w:rsidR="00A347AF" w:rsidRPr="00477D51">
        <w:rPr>
          <w:b/>
          <w:bCs/>
          <w:sz w:val="24"/>
          <w:szCs w:val="24"/>
        </w:rPr>
        <w:t>eta-</w:t>
      </w:r>
      <w:r w:rsidR="001B693A" w:rsidRPr="00477D51">
        <w:rPr>
          <w:b/>
          <w:bCs/>
          <w:sz w:val="24"/>
          <w:szCs w:val="24"/>
        </w:rPr>
        <w:t>p</w:t>
      </w:r>
      <w:r w:rsidR="00A347AF" w:rsidRPr="00477D51">
        <w:rPr>
          <w:b/>
          <w:bCs/>
          <w:sz w:val="24"/>
          <w:szCs w:val="24"/>
        </w:rPr>
        <w:t xml:space="preserve">otentials of </w:t>
      </w:r>
      <w:r w:rsidR="001B693A" w:rsidRPr="00477D51">
        <w:rPr>
          <w:b/>
          <w:bCs/>
          <w:sz w:val="24"/>
          <w:szCs w:val="24"/>
        </w:rPr>
        <w:t>w</w:t>
      </w:r>
      <w:r w:rsidR="00A347AF" w:rsidRPr="00477D51">
        <w:rPr>
          <w:b/>
          <w:bCs/>
          <w:sz w:val="24"/>
          <w:szCs w:val="24"/>
        </w:rPr>
        <w:t>ater/</w:t>
      </w:r>
      <w:r w:rsidR="001B693A" w:rsidRPr="00477D51">
        <w:rPr>
          <w:b/>
          <w:bCs/>
          <w:sz w:val="24"/>
          <w:szCs w:val="24"/>
        </w:rPr>
        <w:t>o</w:t>
      </w:r>
      <w:r w:rsidR="00A347AF" w:rsidRPr="00477D51">
        <w:rPr>
          <w:b/>
          <w:bCs/>
          <w:sz w:val="24"/>
          <w:szCs w:val="24"/>
        </w:rPr>
        <w:t xml:space="preserve">il </w:t>
      </w:r>
      <w:r w:rsidR="001B693A" w:rsidRPr="00477D51">
        <w:rPr>
          <w:b/>
          <w:bCs/>
          <w:sz w:val="24"/>
          <w:szCs w:val="24"/>
        </w:rPr>
        <w:t>i</w:t>
      </w:r>
      <w:r w:rsidR="00A347AF" w:rsidRPr="00477D51">
        <w:rPr>
          <w:b/>
          <w:bCs/>
          <w:sz w:val="24"/>
          <w:szCs w:val="24"/>
        </w:rPr>
        <w:t>nterface</w:t>
      </w:r>
    </w:p>
    <w:p w14:paraId="68035596" w14:textId="1BA36EC2" w:rsidR="00A347AF" w:rsidRPr="00477D51" w:rsidRDefault="00A347AF" w:rsidP="00A347AF">
      <w:pPr>
        <w:bidi w:val="0"/>
        <w:spacing w:after="120"/>
        <w:jc w:val="both"/>
        <w:rPr>
          <w:rFonts w:cstheme="minorHAnsi"/>
          <w:lang w:val="en-CA"/>
        </w:rPr>
      </w:pPr>
      <w:r w:rsidRPr="00477D51">
        <w:rPr>
          <w:rFonts w:cstheme="minorHAnsi"/>
        </w:rPr>
        <w:t xml:space="preserve">From a statistical point of view, </w:t>
      </w:r>
      <w:r w:rsidRPr="00477D51">
        <w:rPr>
          <w:rFonts w:cstheme="minorHAnsi"/>
          <w:lang w:val="en-CA"/>
        </w:rPr>
        <w:t>figure 2(a) shows results for two heptane/toluene mixtures (1:5 and 1:40). The R</w:t>
      </w:r>
      <w:r w:rsidRPr="00477D51">
        <w:rPr>
          <w:rFonts w:cstheme="minorHAnsi"/>
          <w:vertAlign w:val="superscript"/>
          <w:lang w:val="en-CA"/>
        </w:rPr>
        <w:t>2</w:t>
      </w:r>
      <w:r w:rsidRPr="00477D51">
        <w:rPr>
          <w:rFonts w:cstheme="minorHAnsi"/>
          <w:lang w:val="en-CA"/>
        </w:rPr>
        <w:t xml:space="preserve"> values of 1.00 and 0.98 confirm the reliability of the </w:t>
      </w:r>
      <w:r w:rsidRPr="00477D51">
        <w:t xml:space="preserve">Locally Estimated Scatterplot Smoothing (LOESS) </w:t>
      </w:r>
      <w:r w:rsidRPr="00477D51">
        <w:rPr>
          <w:rFonts w:cstheme="minorHAnsi"/>
          <w:lang w:val="en-CA"/>
        </w:rPr>
        <w:t xml:space="preserve">regression models. It </w:t>
      </w:r>
      <w:r w:rsidRPr="00477D51">
        <w:rPr>
          <w:rFonts w:cstheme="minorHAnsi"/>
        </w:rPr>
        <w:t xml:space="preserve">is a non-parametric regression method that fits multiple linear regressions to localized subsets of the data, enabling it to capture complex, nonlinear relationships </w:t>
      </w:r>
      <w:sdt>
        <w:sdtPr>
          <w:rPr>
            <w:rFonts w:cstheme="minorHAnsi"/>
          </w:rPr>
          <w:id w:val="-17392228"/>
          <w:citation/>
        </w:sdtPr>
        <w:sdtEndPr/>
        <w:sdtContent>
          <w:r w:rsidRPr="00477D51">
            <w:rPr>
              <w:rFonts w:cstheme="minorHAnsi"/>
            </w:rPr>
            <w:fldChar w:fldCharType="begin"/>
          </w:r>
          <w:r w:rsidRPr="00477D51">
            <w:rPr>
              <w:rFonts w:cstheme="minorHAnsi"/>
              <w:lang w:val="en-CA"/>
            </w:rPr>
            <w:instrText xml:space="preserve"> CITATION Cle792 \l 4105 </w:instrText>
          </w:r>
          <w:r w:rsidRPr="00477D51">
            <w:rPr>
              <w:rFonts w:cstheme="minorHAnsi"/>
            </w:rPr>
            <w:fldChar w:fldCharType="separate"/>
          </w:r>
          <w:r w:rsidRPr="00477D51">
            <w:rPr>
              <w:rFonts w:cstheme="minorHAnsi"/>
              <w:noProof/>
              <w:lang w:val="en-CA"/>
            </w:rPr>
            <w:t>[5]</w:t>
          </w:r>
          <w:r w:rsidRPr="00477D51">
            <w:rPr>
              <w:rFonts w:cstheme="minorHAnsi"/>
            </w:rPr>
            <w:fldChar w:fldCharType="end"/>
          </w:r>
        </w:sdtContent>
      </w:sdt>
      <w:r w:rsidRPr="00477D51">
        <w:rPr>
          <w:rFonts w:cstheme="minorHAnsi"/>
        </w:rPr>
        <w:t>. By weighing nearby points more heavily, LOESS provides a smooth curve that closely follows the underlying data patterns, making it particularly useful for modeling trends in experimental studies.</w:t>
      </w:r>
      <w:r w:rsidRPr="00477D51">
        <w:rPr>
          <w:rFonts w:cstheme="minorHAnsi"/>
          <w:lang w:val="en-CA"/>
        </w:rPr>
        <w:t xml:space="preserve"> The 1:5 mixture becomes more negative with higher pH, reaching -25 mV, while the 1:40 mixture stabilizes around -15 mV. Smaller error bars indicate consistent data, and stronger negative values at higher pH suggest better emulsion stability.</w:t>
      </w:r>
      <w:r w:rsidRPr="00477D51">
        <w:rPr>
          <w:rFonts w:cstheme="minorHAnsi"/>
          <w:b/>
          <w:bCs/>
          <w:lang w:val="en-CA"/>
        </w:rPr>
        <w:t xml:space="preserve"> </w:t>
      </w:r>
      <w:r w:rsidRPr="00477D51">
        <w:rPr>
          <w:rFonts w:cstheme="minorHAnsi"/>
          <w:lang w:val="en-CA"/>
        </w:rPr>
        <w:t xml:space="preserve">Zeta potential measurements for oil droplets in </w:t>
      </w:r>
      <w:r w:rsidRPr="00477D51">
        <w:rPr>
          <w:rFonts w:cstheme="minorHAnsi"/>
          <w:lang w:val="en-CA"/>
        </w:rPr>
        <w:lastRenderedPageBreak/>
        <w:t>brines (</w:t>
      </w:r>
      <w:r w:rsidRPr="00477D51">
        <w:rPr>
          <w:rFonts w:cstheme="minorHAnsi"/>
        </w:rPr>
        <w:t>A=FW, B=SW, C=SW2Ca, D=SW2Mg, E=SW0SO4, F=SW2SO4, G=SW4SO4, H=SW25d and I=SW50d)</w:t>
      </w:r>
      <w:r w:rsidRPr="00477D51">
        <w:rPr>
          <w:rFonts w:cstheme="minorHAnsi"/>
          <w:lang w:val="en-CA"/>
        </w:rPr>
        <w:t xml:space="preserve"> show trends influenced by pH and ionic strength. Increasing pH leads to more negative zeta potential values, reflecting stronger electrostatic repulsion. Figure 2(b) highlights variations across brines with R2 values between 0.917 and 1.000, indicating strong fits. Brine </w:t>
      </w:r>
      <w:proofErr w:type="gramStart"/>
      <w:r w:rsidRPr="00477D51">
        <w:rPr>
          <w:rFonts w:cstheme="minorHAnsi"/>
          <w:lang w:val="en-CA"/>
        </w:rPr>
        <w:t>A</w:t>
      </w:r>
      <w:proofErr w:type="gramEnd"/>
      <w:r w:rsidRPr="00477D51">
        <w:rPr>
          <w:rFonts w:cstheme="minorHAnsi"/>
          <w:lang w:val="en-CA"/>
        </w:rPr>
        <w:t xml:space="preserve"> reaches -25 mV at pH 7–8, suggesting effective stabilization against coalescence. Brines H and D show moderate decreases, while </w:t>
      </w:r>
      <w:proofErr w:type="gramStart"/>
      <w:r w:rsidRPr="00477D51">
        <w:rPr>
          <w:rFonts w:cstheme="minorHAnsi"/>
          <w:lang w:val="en-CA"/>
        </w:rPr>
        <w:t>A</w:t>
      </w:r>
      <w:proofErr w:type="gramEnd"/>
      <w:r w:rsidRPr="00477D51">
        <w:rPr>
          <w:rFonts w:cstheme="minorHAnsi"/>
          <w:lang w:val="en-CA"/>
        </w:rPr>
        <w:t xml:space="preserve"> remains stable and less negative, indicating weaker repulsion. Highly negative values in G highlight its role in stabilizing emulsions.</w:t>
      </w:r>
      <w:r w:rsidRPr="00477D51">
        <w:rPr>
          <w:rFonts w:cstheme="minorHAnsi"/>
          <w:b/>
          <w:bCs/>
          <w:lang w:val="en-CA"/>
        </w:rPr>
        <w:t xml:space="preserve"> </w:t>
      </w:r>
      <w:r w:rsidRPr="00477D51">
        <w:rPr>
          <w:rFonts w:cstheme="minorHAnsi"/>
          <w:lang w:val="en-CA"/>
        </w:rPr>
        <w:t xml:space="preserve">Figure 2(c) investigates the impact of brine concentration at neutral pH with 1:5 </w:t>
      </w:r>
      <w:proofErr w:type="spellStart"/>
      <w:r w:rsidRPr="00477D51">
        <w:rPr>
          <w:rFonts w:cstheme="minorHAnsi"/>
          <w:lang w:val="en-CA"/>
        </w:rPr>
        <w:t>heptol</w:t>
      </w:r>
      <w:proofErr w:type="spellEnd"/>
      <w:r w:rsidRPr="00477D51">
        <w:rPr>
          <w:rFonts w:cstheme="minorHAnsi"/>
          <w:lang w:val="en-CA"/>
        </w:rPr>
        <w:t xml:space="preserve"> and 0.2% </w:t>
      </w:r>
      <w:proofErr w:type="spellStart"/>
      <w:r w:rsidRPr="00477D51">
        <w:rPr>
          <w:rFonts w:cstheme="minorHAnsi"/>
          <w:lang w:val="en-CA"/>
        </w:rPr>
        <w:t>asphaltene</w:t>
      </w:r>
      <w:proofErr w:type="spellEnd"/>
      <w:r w:rsidRPr="00477D51">
        <w:rPr>
          <w:rFonts w:cstheme="minorHAnsi"/>
          <w:lang w:val="en-CA"/>
        </w:rPr>
        <w:t>. Brines show varied responses, with A remaining around -10.8 mV and B fluctuating between -16.1 mV and less negative values. D initially dips to -25 mV at low concentrations and increases, while G peaks at -28 mV at 20,000 ppm before stabilizing. The R2 values, including 0.971 for G and 0.989 for B, confirm reliable trends. Results show that zeta potential becomes less negative with rising concentrations, indicating weaker electrostatic repulsion and reduced stability. G maintains higher negative values, promoting stable emulsions and preventing droplet coalescence.</w:t>
      </w:r>
      <w:r w:rsidRPr="00477D51">
        <w:rPr>
          <w:rFonts w:cstheme="minorHAnsi"/>
          <w:b/>
          <w:bCs/>
          <w:lang w:val="en-CA"/>
        </w:rPr>
        <w:t xml:space="preserve"> </w:t>
      </w:r>
      <w:r w:rsidRPr="00477D51">
        <w:rPr>
          <w:rFonts w:cstheme="minorHAnsi"/>
          <w:lang w:val="en-CA"/>
        </w:rPr>
        <w:t xml:space="preserve">Figure 2(d) explores how IFT changes with brine type and asphaltene concentration (0.2%, 4%, and 9%). Higher asphaltene levels lead to increased IFT. Brines A and B have lower IFT (~5–8 </w:t>
      </w:r>
      <w:proofErr w:type="spellStart"/>
      <w:r w:rsidRPr="00477D51">
        <w:rPr>
          <w:rFonts w:cstheme="minorHAnsi"/>
          <w:lang w:val="en-CA"/>
        </w:rPr>
        <w:t>mN</w:t>
      </w:r>
      <w:proofErr w:type="spellEnd"/>
      <w:r w:rsidRPr="00477D51">
        <w:rPr>
          <w:rFonts w:cstheme="minorHAnsi"/>
          <w:lang w:val="en-CA"/>
        </w:rPr>
        <w:t xml:space="preserve">/m), while G and I show higher values (~12–14 </w:t>
      </w:r>
      <w:proofErr w:type="spellStart"/>
      <w:r w:rsidRPr="00477D51">
        <w:rPr>
          <w:rFonts w:cstheme="minorHAnsi"/>
          <w:lang w:val="en-CA"/>
        </w:rPr>
        <w:t>mN</w:t>
      </w:r>
      <w:proofErr w:type="spellEnd"/>
      <w:r w:rsidRPr="00477D51">
        <w:rPr>
          <w:rFonts w:cstheme="minorHAnsi"/>
          <w:lang w:val="en-CA"/>
        </w:rPr>
        <w:t>/m). The error bars are small, supporting measurement consistency. Trends emphasize the importance of balancing asphaltene content and ionic strength to control interfacial stability and optimize oil recovery.</w:t>
      </w:r>
      <w:r w:rsidRPr="00477D51">
        <w:rPr>
          <w:rFonts w:cstheme="minorHAnsi"/>
          <w:b/>
          <w:bCs/>
          <w:lang w:val="en-CA"/>
        </w:rPr>
        <w:t xml:space="preserve"> </w:t>
      </w:r>
      <w:r w:rsidRPr="00477D51">
        <w:rPr>
          <w:rFonts w:cstheme="minorHAnsi"/>
          <w:lang w:val="en-CA"/>
        </w:rPr>
        <w:t xml:space="preserve">Figure 2(f) compares IFT and coalescence times. Brine G shows the highest IFT (~25 </w:t>
      </w:r>
      <w:proofErr w:type="spellStart"/>
      <w:r w:rsidRPr="00477D51">
        <w:rPr>
          <w:rFonts w:cstheme="minorHAnsi"/>
          <w:lang w:val="en-CA"/>
        </w:rPr>
        <w:t>mN</w:t>
      </w:r>
      <w:proofErr w:type="spellEnd"/>
      <w:r w:rsidRPr="00477D51">
        <w:rPr>
          <w:rFonts w:cstheme="minorHAnsi"/>
          <w:lang w:val="en-CA"/>
        </w:rPr>
        <w:t xml:space="preserve">/m) and longest coalescence time, while brine A has lower IFT (~10 </w:t>
      </w:r>
      <w:proofErr w:type="spellStart"/>
      <w:r w:rsidRPr="00477D51">
        <w:rPr>
          <w:rFonts w:cstheme="minorHAnsi"/>
          <w:lang w:val="en-CA"/>
        </w:rPr>
        <w:t>mN</w:t>
      </w:r>
      <w:proofErr w:type="spellEnd"/>
      <w:r w:rsidRPr="00477D51">
        <w:rPr>
          <w:rFonts w:cstheme="minorHAnsi"/>
          <w:lang w:val="en-CA"/>
        </w:rPr>
        <w:t>/m) and shorter coalescence time. Higher IFT correlates with longer coalescence times, suggesting better stability. Error bars are small, confirming data reliability. Small error bars confirm reliability, and the dual-axis visualization highlights the link between IFT and coalescence behavior</w:t>
      </w:r>
      <w:r w:rsidR="00DC7572" w:rsidRPr="00477D51">
        <w:rPr>
          <w:rFonts w:cstheme="minorHAnsi"/>
          <w:lang w:val="en-CA"/>
        </w:rPr>
        <w:t xml:space="preserve"> [4-7]</w:t>
      </w:r>
      <w:r w:rsidRPr="00477D51">
        <w:rPr>
          <w:rFonts w:cstheme="minorHAnsi"/>
          <w:lang w:val="en-CA"/>
        </w:rPr>
        <w:t>.</w:t>
      </w:r>
    </w:p>
    <w:p w14:paraId="42527DB4" w14:textId="77777777" w:rsidR="00A347AF" w:rsidRPr="00477D51" w:rsidRDefault="00A347AF" w:rsidP="00A347AF">
      <w:pPr>
        <w:bidi w:val="0"/>
        <w:spacing w:after="120"/>
        <w:jc w:val="both"/>
        <w:rPr>
          <w:rFonts w:cstheme="minorHAnsi"/>
          <w:lang w:val="en-CA"/>
        </w:rPr>
      </w:pPr>
      <w:r w:rsidRPr="00477D51">
        <w:rPr>
          <w:rFonts w:cstheme="minorHAnsi"/>
          <w:lang w:val="en-CA"/>
        </w:rPr>
        <w:t>These results confirm that pH, brine type, concentration, and asphaltene levels affect zeta potential and interfacial stability. Stronger negative zeta potentials and higher IFT values prevent droplet merging, stabilizing emulsions. High values validate the data, emphasizing the importance of selecting brine compositions to optimize oil recovery. Lower concentrations and sulfate-rich brines like G enhance stability due to stronger electrostatic repulsion. These findings provide practical strategies for improving oil recovery through controlled chemical interactions.</w:t>
      </w:r>
    </w:p>
    <w:p w14:paraId="0290714D" w14:textId="77777777" w:rsidR="001B693A" w:rsidRPr="00477D51" w:rsidRDefault="001B693A" w:rsidP="001B693A">
      <w:pPr>
        <w:bidi w:val="0"/>
        <w:spacing w:after="120"/>
        <w:jc w:val="both"/>
        <w:rPr>
          <w:rFonts w:cstheme="minorHAnsi"/>
          <w:lang w:val="en-CA"/>
        </w:rPr>
      </w:pPr>
    </w:p>
    <w:p w14:paraId="0020C2DB" w14:textId="77777777" w:rsidR="001B693A" w:rsidRPr="00477D51" w:rsidRDefault="001B693A" w:rsidP="001B693A">
      <w:pPr>
        <w:bidi w:val="0"/>
        <w:spacing w:after="120"/>
        <w:jc w:val="both"/>
        <w:rPr>
          <w:rFonts w:cstheme="minorHAnsi"/>
          <w:lang w:val="en-CA"/>
        </w:rPr>
      </w:pPr>
    </w:p>
    <w:p w14:paraId="05BDB057" w14:textId="5AA205CD" w:rsidR="001B693A" w:rsidRPr="00477D51" w:rsidRDefault="001B693A" w:rsidP="001B693A">
      <w:pPr>
        <w:bidi w:val="0"/>
        <w:jc w:val="both"/>
        <w:rPr>
          <w:rFonts w:asciiTheme="majorBidi" w:hAnsiTheme="majorBidi" w:cstheme="majorBidi"/>
          <w:b/>
          <w:bCs/>
          <w:sz w:val="32"/>
          <w:szCs w:val="32"/>
        </w:rPr>
      </w:pPr>
      <w:r w:rsidRPr="00477D51">
        <w:rPr>
          <w:b/>
          <w:bCs/>
          <w:sz w:val="24"/>
          <w:szCs w:val="24"/>
        </w:rPr>
        <w:t xml:space="preserve">S6. </w:t>
      </w:r>
      <w:r w:rsidR="00D6026B" w:rsidRPr="00477D51">
        <w:rPr>
          <w:b/>
          <w:bCs/>
          <w:sz w:val="24"/>
          <w:szCs w:val="24"/>
        </w:rPr>
        <w:t>Box plot with p-values from Wilcox test for zeta potential of oil droplets in different brine</w:t>
      </w:r>
      <w:r w:rsidRPr="00477D51">
        <w:rPr>
          <w:b/>
          <w:bCs/>
          <w:sz w:val="24"/>
          <w:szCs w:val="24"/>
        </w:rPr>
        <w:t xml:space="preserve"> and Box plot of zeta potential values measured at various concentrations.</w:t>
      </w:r>
    </w:p>
    <w:p w14:paraId="2A3A62D3" w14:textId="0985BF44" w:rsidR="006E016E" w:rsidRPr="00477D51" w:rsidRDefault="001B693A" w:rsidP="00791121">
      <w:pPr>
        <w:bidi w:val="0"/>
        <w:jc w:val="both"/>
        <w:rPr>
          <w:rFonts w:asciiTheme="majorBidi" w:hAnsiTheme="majorBidi" w:cstheme="majorBidi"/>
          <w:sz w:val="28"/>
          <w:szCs w:val="28"/>
        </w:rPr>
      </w:pPr>
      <w:r w:rsidRPr="00477D51">
        <w:t xml:space="preserve">Wilcox test for zeta potential of oil droplets in different brine plot </w:t>
      </w:r>
      <w:r w:rsidR="006E016E" w:rsidRPr="00477D51">
        <w:t>provides a detailed analysis of the zeta potential differences across various brine types, with a particular focus on the statistical significance of these differences as indicated by the p-values. The extremely low p-values observed in many pairwise comparisons (e.g., 4.2e-08, 3.1e-07) suggest highly significant differences in zeta potential between the corresponding brine types. For instance, the zeta potential values for FW and SW0SO</w:t>
      </w:r>
      <w:r w:rsidR="006E016E" w:rsidRPr="00477D51">
        <w:rPr>
          <w:vertAlign w:val="subscript"/>
        </w:rPr>
        <w:t>4</w:t>
      </w:r>
      <w:r w:rsidR="006E016E" w:rsidRPr="00477D51">
        <w:t xml:space="preserve"> are significantly different from those of all other brine types, emphasizing their unique electrochemical properties. On the other hand, brine types like SW2Mg and SW4SO</w:t>
      </w:r>
      <w:r w:rsidR="006E016E" w:rsidRPr="00477D51">
        <w:rPr>
          <w:vertAlign w:val="subscript"/>
        </w:rPr>
        <w:t>4</w:t>
      </w:r>
      <w:r w:rsidR="006E016E" w:rsidRPr="00477D51">
        <w:t xml:space="preserve"> exhibit p-values around 0.65, indicating no significant difference in their zeta potential values. These findings are crucial for practical applications, such as oil recovery, where understanding the surface charge </w:t>
      </w:r>
      <w:r w:rsidR="006E016E" w:rsidRPr="00477D51">
        <w:lastRenderedPageBreak/>
        <w:t>interactions can optimize the selection of brine types. The plot highlights the importance of statistical analysis in distinguishing the electrochemical behaviors of different brines, providing a clear indication of which brine types have significantly different properties and thus, should be chosen carefully based on their specific electrochemical characteristics.</w:t>
      </w:r>
    </w:p>
    <w:p w14:paraId="1CEE024F" w14:textId="26D0A842" w:rsidR="006E016E" w:rsidRPr="00477D51" w:rsidRDefault="000D1283" w:rsidP="000D1283">
      <w:pPr>
        <w:pStyle w:val="NormalWeb"/>
        <w:jc w:val="center"/>
      </w:pPr>
      <w:r w:rsidRPr="00477D51">
        <w:rPr>
          <w:noProof/>
          <w:lang w:val="en-IN" w:eastAsia="en-IN"/>
        </w:rPr>
        <w:drawing>
          <wp:inline distT="0" distB="0" distL="0" distR="0" wp14:anchorId="2DD3AF90" wp14:editId="25F65A12">
            <wp:extent cx="4600575" cy="6134100"/>
            <wp:effectExtent l="0" t="0" r="9525" b="0"/>
            <wp:docPr id="456382088" name="Picture 5"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82088" name="Picture 5" descr="A screenshot of a video g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22028" cy="6162704"/>
                    </a:xfrm>
                    <a:prstGeom prst="rect">
                      <a:avLst/>
                    </a:prstGeom>
                  </pic:spPr>
                </pic:pic>
              </a:graphicData>
            </a:graphic>
          </wp:inline>
        </w:drawing>
      </w:r>
    </w:p>
    <w:p w14:paraId="42BC5C57" w14:textId="57D22753" w:rsidR="00C97D3B" w:rsidRPr="00477D51" w:rsidRDefault="006E016E" w:rsidP="007D2734">
      <w:pPr>
        <w:ind w:firstLine="720"/>
        <w:jc w:val="center"/>
        <w:rPr>
          <w:rFonts w:asciiTheme="majorBidi" w:hAnsiTheme="majorBidi" w:cstheme="majorBidi"/>
          <w:sz w:val="24"/>
          <w:szCs w:val="24"/>
        </w:rPr>
      </w:pPr>
      <w:r w:rsidRPr="00477D51">
        <w:rPr>
          <w:b/>
          <w:bCs/>
        </w:rPr>
        <w:t>Fig.S</w:t>
      </w:r>
      <w:r w:rsidR="007643FC" w:rsidRPr="00477D51">
        <w:rPr>
          <w:b/>
          <w:bCs/>
        </w:rPr>
        <w:t>3</w:t>
      </w:r>
      <w:r w:rsidRPr="00477D51">
        <w:rPr>
          <w:b/>
          <w:bCs/>
        </w:rPr>
        <w:t>.</w:t>
      </w:r>
      <w:r w:rsidRPr="00477D51">
        <w:t xml:space="preserve"> Box plot of zeta potential of oil droplets in FW, SW, SW4SO</w:t>
      </w:r>
      <w:r w:rsidRPr="00477D51">
        <w:rPr>
          <w:vertAlign w:val="subscript"/>
        </w:rPr>
        <w:t>4</w:t>
      </w:r>
      <w:r w:rsidRPr="00477D51">
        <w:t xml:space="preserve"> and 25dSW brines in variety of PH (1:5 </w:t>
      </w:r>
      <w:proofErr w:type="spellStart"/>
      <w:r w:rsidRPr="00477D51">
        <w:t>heptol</w:t>
      </w:r>
      <w:proofErr w:type="spellEnd"/>
      <w:r w:rsidRPr="00477D51">
        <w:t>, Asph0.2%).</w:t>
      </w:r>
    </w:p>
    <w:p w14:paraId="05A916D7" w14:textId="77777777" w:rsidR="001B693A" w:rsidRPr="00477D51" w:rsidRDefault="001B693A" w:rsidP="00791121">
      <w:pPr>
        <w:bidi w:val="0"/>
        <w:jc w:val="both"/>
      </w:pPr>
    </w:p>
    <w:p w14:paraId="57EEF86F" w14:textId="77777777" w:rsidR="001B693A" w:rsidRPr="00477D51" w:rsidRDefault="001B693A" w:rsidP="001B693A">
      <w:pPr>
        <w:bidi w:val="0"/>
        <w:jc w:val="both"/>
      </w:pPr>
    </w:p>
    <w:p w14:paraId="62F991C0" w14:textId="61F11E7D" w:rsidR="006E016E" w:rsidRPr="00477D51" w:rsidRDefault="001B693A" w:rsidP="001B693A">
      <w:pPr>
        <w:bidi w:val="0"/>
        <w:jc w:val="both"/>
        <w:rPr>
          <w:rFonts w:asciiTheme="majorBidi" w:hAnsiTheme="majorBidi" w:cstheme="majorBidi"/>
          <w:sz w:val="28"/>
          <w:szCs w:val="28"/>
        </w:rPr>
      </w:pPr>
      <w:r w:rsidRPr="00477D51">
        <w:lastRenderedPageBreak/>
        <w:t>Box plot of zeta potential values measured at various concentrations</w:t>
      </w:r>
      <w:r w:rsidR="006E016E" w:rsidRPr="00477D51">
        <w:t xml:space="preserve"> compares the zeta potential values for four different brine types: FW, SW, SW25d, and SW4SO</w:t>
      </w:r>
      <w:r w:rsidR="006E016E" w:rsidRPr="00477D51">
        <w:rPr>
          <w:vertAlign w:val="subscript"/>
        </w:rPr>
        <w:t>4</w:t>
      </w:r>
      <w:r w:rsidR="006E016E" w:rsidRPr="00477D51">
        <w:t xml:space="preserve">, providing a detailed view of the data points, summary statistics, and error bars. The individual data points are displayed as dots, showing the distribution and variability within each brine type. The summary statistics, including the mean, median, maximum, and minimum values, are indicated by different symbols: the mean is marked with a cross, the maximum with a circle, and the minimum with a triangle.  The error bars represent the standard error of the mean, giving insight into the reliability of the measurements. The p-values shown in the plot highlight the statistical significance of the differences in zeta potential between the brine types, with all values being less than 0.05. For instance, the p-value of 0.00025 between FW and SW indicates a highly significant difference, while the p-values of 9.7e-07 and 2.8e-07 between SW and SW25d, and SW and SW4SO4, respectively, and also show substantial differences. The p-value of 0.0081 between SW25d and SW4SO4, although significant, indicates a relatively smaller difference. These findings underscore the importance of understanding the distinct electrochemical properties of each brine type for applications such as oil recovery and surface chemistry. The plot provides a clear depiction of the variability and central tendencies, emphasizing the need to select the appropriate brine type based on its zeta potential characteristics to optimize </w:t>
      </w:r>
      <w:r w:rsidR="00BF42D5" w:rsidRPr="00477D51">
        <w:t>processes [</w:t>
      </w:r>
      <w:r w:rsidR="00DC7572" w:rsidRPr="00477D51">
        <w:t>8-10]</w:t>
      </w:r>
      <w:r w:rsidR="006E016E" w:rsidRPr="00477D51">
        <w:t>.</w:t>
      </w:r>
    </w:p>
    <w:p w14:paraId="1B596565" w14:textId="5A53893E" w:rsidR="006E016E" w:rsidRPr="00477D51" w:rsidRDefault="006E016E" w:rsidP="00D6026B">
      <w:pPr>
        <w:bidi w:val="0"/>
        <w:rPr>
          <w:rFonts w:asciiTheme="majorBidi" w:hAnsiTheme="majorBidi" w:cstheme="majorBidi"/>
          <w:sz w:val="24"/>
          <w:szCs w:val="24"/>
        </w:rPr>
      </w:pPr>
    </w:p>
    <w:p w14:paraId="4F9383B8" w14:textId="3F4BB51E" w:rsidR="006E016E" w:rsidRPr="00477D51" w:rsidRDefault="000D1283" w:rsidP="000D1283">
      <w:pPr>
        <w:bidi w:val="0"/>
        <w:jc w:val="center"/>
        <w:rPr>
          <w:rFonts w:asciiTheme="majorBidi" w:hAnsiTheme="majorBidi" w:cstheme="majorBidi"/>
          <w:sz w:val="24"/>
          <w:szCs w:val="24"/>
        </w:rPr>
      </w:pPr>
      <w:r w:rsidRPr="00477D51">
        <w:rPr>
          <w:rFonts w:asciiTheme="majorBidi" w:hAnsiTheme="majorBidi" w:cstheme="majorBidi"/>
          <w:noProof/>
          <w:sz w:val="24"/>
          <w:szCs w:val="24"/>
          <w:lang w:val="en-IN" w:eastAsia="en-IN" w:bidi="ar-SA"/>
        </w:rPr>
        <w:drawing>
          <wp:inline distT="0" distB="0" distL="0" distR="0" wp14:anchorId="089230BA" wp14:editId="2622F3F9">
            <wp:extent cx="4733710" cy="2791863"/>
            <wp:effectExtent l="0" t="0" r="0" b="8890"/>
            <wp:docPr id="17896219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8721" cy="2800716"/>
                    </a:xfrm>
                    <a:prstGeom prst="rect">
                      <a:avLst/>
                    </a:prstGeom>
                    <a:noFill/>
                  </pic:spPr>
                </pic:pic>
              </a:graphicData>
            </a:graphic>
          </wp:inline>
        </w:drawing>
      </w:r>
      <w:r w:rsidR="006534D9" w:rsidRPr="00477D51">
        <w:rPr>
          <w:rFonts w:asciiTheme="majorBidi" w:hAnsiTheme="majorBidi" w:cstheme="majorBidi"/>
          <w:sz w:val="24"/>
          <w:szCs w:val="24"/>
        </w:rPr>
        <w:br w:type="textWrapping" w:clear="all"/>
      </w:r>
    </w:p>
    <w:p w14:paraId="6931143D" w14:textId="1A0E6042" w:rsidR="00D6026B" w:rsidRPr="00477D51" w:rsidRDefault="00D6026B" w:rsidP="00791121">
      <w:pPr>
        <w:ind w:firstLine="720"/>
        <w:jc w:val="center"/>
      </w:pPr>
      <w:r w:rsidRPr="00477D51">
        <w:rPr>
          <w:b/>
          <w:bCs/>
        </w:rPr>
        <w:t>Fig.S</w:t>
      </w:r>
      <w:r w:rsidR="007643FC" w:rsidRPr="00477D51">
        <w:rPr>
          <w:b/>
          <w:bCs/>
        </w:rPr>
        <w:t>4</w:t>
      </w:r>
      <w:r w:rsidRPr="00477D51">
        <w:rPr>
          <w:b/>
          <w:bCs/>
        </w:rPr>
        <w:t>.</w:t>
      </w:r>
      <w:r w:rsidRPr="00477D51">
        <w:t xml:space="preserve"> Box plot of zeta potential of oil droplets in different brines concentrations and in neutral pH (1:5 </w:t>
      </w:r>
      <w:proofErr w:type="spellStart"/>
      <w:r w:rsidRPr="00477D51">
        <w:t>heptol</w:t>
      </w:r>
      <w:proofErr w:type="spellEnd"/>
      <w:r w:rsidRPr="00477D51">
        <w:t>, Asph0.2%).</w:t>
      </w:r>
    </w:p>
    <w:p w14:paraId="343C6B84" w14:textId="77777777" w:rsidR="001B693A" w:rsidRPr="00477D51" w:rsidRDefault="001B693A" w:rsidP="00791121">
      <w:pPr>
        <w:ind w:firstLine="720"/>
        <w:jc w:val="center"/>
      </w:pPr>
    </w:p>
    <w:p w14:paraId="3F18F76A" w14:textId="77777777" w:rsidR="001B693A" w:rsidRPr="00477D51" w:rsidRDefault="001B693A" w:rsidP="00791121">
      <w:pPr>
        <w:ind w:firstLine="720"/>
        <w:jc w:val="center"/>
      </w:pPr>
    </w:p>
    <w:p w14:paraId="77FD5ECE" w14:textId="77777777" w:rsidR="001B693A" w:rsidRPr="00477D51" w:rsidRDefault="001B693A" w:rsidP="00791121">
      <w:pPr>
        <w:ind w:firstLine="720"/>
        <w:jc w:val="center"/>
      </w:pPr>
    </w:p>
    <w:p w14:paraId="53FDC0AB" w14:textId="731E5079" w:rsidR="001B693A" w:rsidRPr="00477D51" w:rsidRDefault="001B693A" w:rsidP="001B693A">
      <w:pPr>
        <w:bidi w:val="0"/>
        <w:rPr>
          <w:b/>
          <w:bCs/>
          <w:sz w:val="24"/>
          <w:szCs w:val="24"/>
        </w:rPr>
      </w:pPr>
      <w:r w:rsidRPr="00477D51">
        <w:rPr>
          <w:b/>
          <w:bCs/>
          <w:sz w:val="24"/>
          <w:szCs w:val="24"/>
        </w:rPr>
        <w:t>S7. Statistical analysis: zeta-potentials of water/rock interface</w:t>
      </w:r>
    </w:p>
    <w:p w14:paraId="16274907" w14:textId="1769D5A7" w:rsidR="001B693A" w:rsidRPr="00477D51" w:rsidRDefault="001B693A" w:rsidP="001B693A">
      <w:pPr>
        <w:bidi w:val="0"/>
        <w:spacing w:after="120" w:line="240" w:lineRule="auto"/>
        <w:jc w:val="both"/>
        <w:rPr>
          <w:rFonts w:cstheme="minorHAnsi"/>
        </w:rPr>
      </w:pPr>
      <w:r w:rsidRPr="00477D51">
        <w:rPr>
          <w:rFonts w:cstheme="minorHAnsi"/>
        </w:rPr>
        <w:lastRenderedPageBreak/>
        <w:t xml:space="preserve">From a Statistical Point of View, the zeta potential instrument was used to measure the charge of the rock/brine interface for calcite and dolomite in various brines. Figures 3(a) and 3(b) show the variation of zeta potential with pH for calcite and dolomite, respectively. The results indicate that the isoelectric point (IEP) is not fixed but varies with brine salinity, reflecting dynamic electrostatic and ionic interactions. Calcite particles exhibit no IEP in A but show an IEP of 9.5 in B. Above this IEP, the charge is positive, turning negative below it. Dolomite, in contrast, shows a lower IEP around pH 5, reflecting a higher affinity for potential-determining ions (PDIs) due to its more defective surface structure compared to calcite. The LOESS model provides high R2 values (0.994–1.000), indicating reliable fits. Figure 3(d) compares zeta potential values across brines and asphaltene concentrations (0.2%, 4%, </w:t>
      </w:r>
      <w:proofErr w:type="gramStart"/>
      <w:r w:rsidRPr="00477D51">
        <w:rPr>
          <w:rFonts w:cstheme="minorHAnsi"/>
        </w:rPr>
        <w:t>9</w:t>
      </w:r>
      <w:proofErr w:type="gramEnd"/>
      <w:r w:rsidRPr="00477D51">
        <w:rPr>
          <w:rFonts w:cstheme="minorHAnsi"/>
        </w:rPr>
        <w:t xml:space="preserve">%). Calcite shows more variation in surface charge, with zeta potential shifting to more negative values at higher sulfate concentrations (G), emphasizing the influence of sulfate ions in stabilizing emulsions. Dolomite maintains a higher, less variable positive charge due to its stronger interactions with divalent cations. These trends demonstrate that calcite is more sensitive to pH and ionic changes, whereas dolomite is influenced more by cation composition.  Figures 3(e) and 3(f) examine zeta potential of calcite and dolomite in brines, showing that calcite tends to have more negative values, especially in sulfate-rich solutions. Dolomite remains closer to neutral, indicating higher stability at different pH levels. The results highlight calcite’s steeper slope in B compared to </w:t>
      </w:r>
      <w:proofErr w:type="gramStart"/>
      <w:r w:rsidRPr="00477D51">
        <w:rPr>
          <w:rFonts w:cstheme="minorHAnsi"/>
        </w:rPr>
        <w:t>A</w:t>
      </w:r>
      <w:proofErr w:type="gramEnd"/>
      <w:r w:rsidRPr="00477D51">
        <w:rPr>
          <w:rFonts w:cstheme="minorHAnsi"/>
        </w:rPr>
        <w:t>, shifting IEP to higher pH values (9.3–11.1) with increasing sulfate concentration. Dolomite retains positive charges at higher pH due to excess divalent cations, aligning with previous studies. These trends show that calcite responds strongly to brine modifications, while dolomite’s charge stability reduces sensitivity to pH changes. Total Zeta Potential of Oil/Brine for Calcite and Dolomite. Figures 3(g) and 3(h) combine oil/brine zeta potential for calcite and dolomite. Higher asphaltene concentrations result in less negative potentials, reducing electrostatic repulsion. Calcite shows larger variations (-40 mV to -5 mV) compared to dolomite (-15 mV to -5 mV), indicating calcite’s greater responsiveness to ionic strength and pH changes. The total zeta potential aligns with oil production rates, suggesting that higher repulsion improves oil recovery by stabilizing emulsions. Figure 3(</w:t>
      </w:r>
      <w:proofErr w:type="spellStart"/>
      <w:r w:rsidRPr="00477D51">
        <w:rPr>
          <w:rFonts w:cstheme="minorHAnsi"/>
        </w:rPr>
        <w:t>i</w:t>
      </w:r>
      <w:proofErr w:type="spellEnd"/>
      <w:r w:rsidRPr="00477D51">
        <w:rPr>
          <w:rFonts w:cstheme="minorHAnsi"/>
        </w:rPr>
        <w:t>) provides a summary of zeta potential distributions for calcite and dolomite. Calcite has a wider range (-40 mV to 5 mV), reflecting higher sensitivity to pH and brine composition. Dolomite shows a narrower range (-25 mV to 10 mV), indicating more stable behavior. Statistical markers highlight mean, maximum, and minimum values, reinforcing calcite’s higher variability and dolomite’s consistency. These results support the conclusion that calcite can be fine-tuned for electrostatic interactions, while dolomite offers baseline stability.</w:t>
      </w:r>
    </w:p>
    <w:p w14:paraId="7C295473" w14:textId="724FA42A" w:rsidR="001B693A" w:rsidRPr="00477D51" w:rsidRDefault="001B693A" w:rsidP="001B693A">
      <w:pPr>
        <w:bidi w:val="0"/>
        <w:spacing w:after="120" w:line="240" w:lineRule="auto"/>
        <w:jc w:val="both"/>
        <w:rPr>
          <w:rFonts w:cstheme="minorHAnsi"/>
        </w:rPr>
      </w:pPr>
      <w:r w:rsidRPr="00477D51">
        <w:rPr>
          <w:rFonts w:cstheme="minorHAnsi"/>
        </w:rPr>
        <w:t>From a statistical perspective, Figures 3(a)–(</w:t>
      </w:r>
      <w:proofErr w:type="spellStart"/>
      <w:r w:rsidRPr="00477D51">
        <w:rPr>
          <w:rFonts w:cstheme="minorHAnsi"/>
        </w:rPr>
        <w:t>i</w:t>
      </w:r>
      <w:proofErr w:type="spellEnd"/>
      <w:r w:rsidRPr="00477D51">
        <w:rPr>
          <w:rFonts w:cstheme="minorHAnsi"/>
        </w:rPr>
        <w:t>) highlight how pH, brine composition, and asphaltene concentrations influence zeta potential and surface stability for calcite and dolomite. High R2 values confirm reliable data, showing that calcite is more responsive to pH and brine changes, while dolomite maintains stability with divalent cations. Trends indicate that sulfate-rich brines, like G, produce more negative zeta potentials, enhancing emulsion stability and oil recovery. These findings emphasize the importance of tailoring pH and brine composition to control surface charges, optimizing oil recovery processes through chemical adjustments. Additionally, variations in electrostatic behavior align with oil recovery rates, further demonstrating the role of zeta potential in enhancing production efficiency.</w:t>
      </w:r>
    </w:p>
    <w:p w14:paraId="5899C7D9" w14:textId="77777777" w:rsidR="001B693A" w:rsidRPr="00477D51" w:rsidRDefault="001B693A" w:rsidP="001B693A">
      <w:pPr>
        <w:bidi w:val="0"/>
        <w:jc w:val="both"/>
        <w:rPr>
          <w:rFonts w:cstheme="majorBidi"/>
          <w:b/>
          <w:bCs/>
        </w:rPr>
      </w:pPr>
    </w:p>
    <w:p w14:paraId="63E8BCE4" w14:textId="77777777" w:rsidR="001B693A" w:rsidRPr="00477D51" w:rsidRDefault="001B693A" w:rsidP="00791121">
      <w:pPr>
        <w:ind w:firstLine="720"/>
        <w:jc w:val="center"/>
        <w:rPr>
          <w:rFonts w:asciiTheme="majorBidi" w:hAnsiTheme="majorBidi" w:cstheme="majorBidi"/>
          <w:sz w:val="24"/>
          <w:szCs w:val="24"/>
        </w:rPr>
      </w:pPr>
    </w:p>
    <w:p w14:paraId="7A630E1C" w14:textId="6ED30C94" w:rsidR="00624517" w:rsidRPr="00477D51" w:rsidRDefault="00624517" w:rsidP="00624517">
      <w:pPr>
        <w:bidi w:val="0"/>
        <w:rPr>
          <w:rFonts w:asciiTheme="majorBidi" w:eastAsia="Times New Roman" w:hAnsiTheme="majorBidi" w:cstheme="majorBidi"/>
          <w:b/>
          <w:bCs/>
          <w:color w:val="000000"/>
          <w:sz w:val="32"/>
          <w:szCs w:val="32"/>
          <w:lang w:bidi="ar-SA"/>
        </w:rPr>
      </w:pPr>
      <w:r w:rsidRPr="00477D51">
        <w:rPr>
          <w:b/>
          <w:bCs/>
          <w:sz w:val="24"/>
          <w:szCs w:val="24"/>
        </w:rPr>
        <w:t>S</w:t>
      </w:r>
      <w:r w:rsidR="001B693A" w:rsidRPr="00477D51">
        <w:rPr>
          <w:b/>
          <w:bCs/>
          <w:sz w:val="24"/>
          <w:szCs w:val="24"/>
        </w:rPr>
        <w:t>8</w:t>
      </w:r>
      <w:r w:rsidRPr="00477D51">
        <w:rPr>
          <w:b/>
          <w:bCs/>
          <w:sz w:val="24"/>
          <w:szCs w:val="24"/>
        </w:rPr>
        <w:t xml:space="preserve">. Shapiro-Wilk and Levene's test for </w:t>
      </w:r>
      <w:r w:rsidR="001B693A" w:rsidRPr="00477D51">
        <w:rPr>
          <w:b/>
          <w:bCs/>
          <w:sz w:val="24"/>
          <w:szCs w:val="24"/>
        </w:rPr>
        <w:t>z</w:t>
      </w:r>
      <w:r w:rsidRPr="00477D51">
        <w:rPr>
          <w:b/>
          <w:bCs/>
          <w:sz w:val="24"/>
          <w:szCs w:val="24"/>
        </w:rPr>
        <w:t xml:space="preserve">eta </w:t>
      </w:r>
      <w:r w:rsidR="001B693A" w:rsidRPr="00477D51">
        <w:rPr>
          <w:b/>
          <w:bCs/>
          <w:sz w:val="24"/>
          <w:szCs w:val="24"/>
        </w:rPr>
        <w:t>p</w:t>
      </w:r>
      <w:r w:rsidRPr="00477D51">
        <w:rPr>
          <w:b/>
          <w:bCs/>
          <w:sz w:val="24"/>
          <w:szCs w:val="24"/>
        </w:rPr>
        <w:t xml:space="preserve">otential data of rock in different </w:t>
      </w:r>
      <w:r w:rsidR="001B693A" w:rsidRPr="00477D51">
        <w:rPr>
          <w:b/>
          <w:bCs/>
          <w:sz w:val="24"/>
          <w:szCs w:val="24"/>
        </w:rPr>
        <w:t>b</w:t>
      </w:r>
      <w:r w:rsidRPr="00477D51">
        <w:rPr>
          <w:b/>
          <w:bCs/>
          <w:sz w:val="24"/>
          <w:szCs w:val="24"/>
        </w:rPr>
        <w:t>rines</w:t>
      </w:r>
      <w:r w:rsidR="001B693A" w:rsidRPr="00477D51">
        <w:rPr>
          <w:b/>
          <w:bCs/>
          <w:sz w:val="24"/>
          <w:szCs w:val="24"/>
        </w:rPr>
        <w:t xml:space="preserve"> and Box-plot of zeta potential between two rock types for different brine.</w:t>
      </w:r>
    </w:p>
    <w:p w14:paraId="2CB18274" w14:textId="3FFB136E" w:rsidR="00031EB5" w:rsidRPr="00477D51" w:rsidRDefault="00624517" w:rsidP="001B693A">
      <w:pPr>
        <w:bidi w:val="0"/>
        <w:spacing w:line="240" w:lineRule="auto"/>
        <w:jc w:val="both"/>
      </w:pPr>
      <w:r w:rsidRPr="00477D51">
        <w:t>Table S</w:t>
      </w:r>
      <w:r w:rsidR="00AB592C" w:rsidRPr="00477D51">
        <w:t>2</w:t>
      </w:r>
      <w:r w:rsidRPr="00477D51">
        <w:t xml:space="preserve"> </w:t>
      </w:r>
      <w:r w:rsidR="00031EB5" w:rsidRPr="00477D51">
        <w:t>indicate significant deviations from normality across all brine groups for both Calcite and Dolomite stones, as shown by the Shapiro-Wilk test (p&lt;0.05). Additionally, the Levene's test for equality of variances revealed significant differences in variance among groups (p&lt;0.001), suggesting heterogeneity in variances. Given these violations of normality and homogeneity assumptions, non-</w:t>
      </w:r>
      <w:r w:rsidR="00031EB5" w:rsidRPr="00477D51">
        <w:lastRenderedPageBreak/>
        <w:t>parametric methods are recommended. Specifically, the Wilcoxon rank-sum test (Mann-Whitney U test) is suitable for pairwise comparisons, while the Kruskal-Wallis test is appropriate for multi-group comparisons, followed by p-value adjustments for multiple testing.</w:t>
      </w:r>
    </w:p>
    <w:p w14:paraId="09B84D78" w14:textId="77777777" w:rsidR="001B693A" w:rsidRPr="00477D51" w:rsidRDefault="001B693A" w:rsidP="001B693A">
      <w:pPr>
        <w:bidi w:val="0"/>
        <w:spacing w:line="240" w:lineRule="auto"/>
        <w:jc w:val="both"/>
      </w:pPr>
    </w:p>
    <w:p w14:paraId="280DA632" w14:textId="787B598B" w:rsidR="00624517" w:rsidRPr="00477D51" w:rsidRDefault="00624517" w:rsidP="00AB592C">
      <w:pPr>
        <w:bidi w:val="0"/>
        <w:spacing w:line="240" w:lineRule="auto"/>
        <w:jc w:val="center"/>
        <w:rPr>
          <w:rFonts w:asciiTheme="majorBidi" w:eastAsia="Times New Roman" w:hAnsiTheme="majorBidi" w:cstheme="majorBidi"/>
          <w:color w:val="2E2E2E"/>
        </w:rPr>
      </w:pPr>
      <w:r w:rsidRPr="00477D51">
        <w:rPr>
          <w:b/>
          <w:bCs/>
        </w:rPr>
        <w:t>Table S</w:t>
      </w:r>
      <w:r w:rsidR="00AB592C" w:rsidRPr="00477D51">
        <w:rPr>
          <w:b/>
          <w:bCs/>
        </w:rPr>
        <w:t>2</w:t>
      </w:r>
      <w:r w:rsidRPr="00477D51">
        <w:rPr>
          <w:b/>
          <w:bCs/>
        </w:rPr>
        <w:t>:</w:t>
      </w:r>
      <w:r w:rsidRPr="00477D51">
        <w:t xml:space="preserve"> Shapiro-Wilk and Levene's test for zeta potential rock/brain.</w:t>
      </w:r>
    </w:p>
    <w:tbl>
      <w:tblPr>
        <w:tblStyle w:val="TableGridLight"/>
        <w:tblW w:w="0" w:type="auto"/>
        <w:jc w:val="center"/>
        <w:tblLook w:val="04A0" w:firstRow="1" w:lastRow="0" w:firstColumn="1" w:lastColumn="0" w:noHBand="0" w:noVBand="1"/>
      </w:tblPr>
      <w:tblGrid>
        <w:gridCol w:w="983"/>
        <w:gridCol w:w="1053"/>
        <w:gridCol w:w="1413"/>
        <w:gridCol w:w="1044"/>
        <w:gridCol w:w="425"/>
        <w:gridCol w:w="979"/>
        <w:gridCol w:w="1004"/>
      </w:tblGrid>
      <w:tr w:rsidR="007D2734" w:rsidRPr="00477D51" w14:paraId="520A6CF3" w14:textId="77777777" w:rsidTr="007D2734">
        <w:trPr>
          <w:trHeight w:val="285"/>
          <w:jc w:val="center"/>
        </w:trPr>
        <w:tc>
          <w:tcPr>
            <w:tcW w:w="0" w:type="auto"/>
            <w:noWrap/>
            <w:hideMark/>
          </w:tcPr>
          <w:p w14:paraId="05196615" w14:textId="77777777" w:rsidR="007D2734" w:rsidRPr="00477D51" w:rsidRDefault="007D2734" w:rsidP="00031EB5">
            <w:pPr>
              <w:bidi w:val="0"/>
              <w:jc w:val="center"/>
              <w:rPr>
                <w:rFonts w:ascii="Calibri" w:eastAsia="Times New Roman" w:hAnsi="Calibri" w:cs="Calibri"/>
                <w:b/>
                <w:bCs/>
                <w:color w:val="000000"/>
                <w:lang w:val="en-CA" w:eastAsia="en-CA" w:bidi="ar-SA"/>
              </w:rPr>
            </w:pPr>
            <w:r w:rsidRPr="00477D51">
              <w:rPr>
                <w:rFonts w:ascii="Calibri" w:eastAsia="Times New Roman" w:hAnsi="Calibri" w:cs="Calibri"/>
                <w:b/>
                <w:bCs/>
                <w:color w:val="000000"/>
                <w:lang w:val="en-CA" w:eastAsia="en-CA" w:bidi="ar-SA"/>
              </w:rPr>
              <w:t>Brine</w:t>
            </w:r>
          </w:p>
        </w:tc>
        <w:tc>
          <w:tcPr>
            <w:tcW w:w="0" w:type="auto"/>
            <w:noWrap/>
            <w:hideMark/>
          </w:tcPr>
          <w:p w14:paraId="3A6DE442" w14:textId="77777777" w:rsidR="007D2734" w:rsidRPr="00477D51" w:rsidRDefault="007D2734" w:rsidP="00031EB5">
            <w:pPr>
              <w:bidi w:val="0"/>
              <w:jc w:val="center"/>
              <w:rPr>
                <w:rFonts w:ascii="Calibri" w:eastAsia="Times New Roman" w:hAnsi="Calibri" w:cs="Calibri"/>
                <w:b/>
                <w:bCs/>
                <w:color w:val="000000"/>
                <w:lang w:val="en-CA" w:eastAsia="en-CA" w:bidi="ar-SA"/>
              </w:rPr>
            </w:pPr>
            <w:proofErr w:type="spellStart"/>
            <w:r w:rsidRPr="00477D51">
              <w:rPr>
                <w:rFonts w:ascii="Calibri" w:eastAsia="Times New Roman" w:hAnsi="Calibri" w:cs="Calibri"/>
                <w:b/>
                <w:bCs/>
                <w:color w:val="000000"/>
                <w:lang w:val="en-CA" w:eastAsia="en-CA" w:bidi="ar-SA"/>
              </w:rPr>
              <w:t>p_value</w:t>
            </w:r>
            <w:proofErr w:type="spellEnd"/>
          </w:p>
        </w:tc>
        <w:tc>
          <w:tcPr>
            <w:tcW w:w="0" w:type="auto"/>
            <w:noWrap/>
            <w:hideMark/>
          </w:tcPr>
          <w:p w14:paraId="24DA8D66" w14:textId="77777777" w:rsidR="007D2734" w:rsidRPr="00477D51" w:rsidRDefault="007D2734" w:rsidP="00031EB5">
            <w:pPr>
              <w:bidi w:val="0"/>
              <w:jc w:val="center"/>
              <w:rPr>
                <w:rFonts w:ascii="Calibri" w:eastAsia="Times New Roman" w:hAnsi="Calibri" w:cs="Calibri"/>
                <w:b/>
                <w:bCs/>
                <w:color w:val="000000"/>
                <w:lang w:val="en-CA" w:eastAsia="en-CA" w:bidi="ar-SA"/>
              </w:rPr>
            </w:pPr>
            <w:r w:rsidRPr="00477D51">
              <w:rPr>
                <w:rFonts w:ascii="Calibri" w:eastAsia="Times New Roman" w:hAnsi="Calibri" w:cs="Calibri"/>
                <w:b/>
                <w:bCs/>
                <w:color w:val="000000"/>
                <w:lang w:val="en-CA" w:eastAsia="en-CA" w:bidi="ar-SA"/>
              </w:rPr>
              <w:t>Test</w:t>
            </w:r>
          </w:p>
        </w:tc>
        <w:tc>
          <w:tcPr>
            <w:tcW w:w="0" w:type="auto"/>
            <w:noWrap/>
            <w:hideMark/>
          </w:tcPr>
          <w:p w14:paraId="6F6F383A" w14:textId="77777777" w:rsidR="007D2734" w:rsidRPr="00477D51" w:rsidRDefault="007D2734" w:rsidP="00031EB5">
            <w:pPr>
              <w:bidi w:val="0"/>
              <w:jc w:val="center"/>
              <w:rPr>
                <w:rFonts w:ascii="Calibri" w:eastAsia="Times New Roman" w:hAnsi="Calibri" w:cs="Calibri"/>
                <w:b/>
                <w:bCs/>
                <w:color w:val="000000"/>
                <w:lang w:val="en-CA" w:eastAsia="en-CA" w:bidi="ar-SA"/>
              </w:rPr>
            </w:pPr>
            <w:r w:rsidRPr="00477D51">
              <w:rPr>
                <w:rFonts w:ascii="Calibri" w:eastAsia="Times New Roman" w:hAnsi="Calibri" w:cs="Calibri"/>
                <w:b/>
                <w:bCs/>
                <w:color w:val="000000"/>
                <w:lang w:val="en-CA" w:eastAsia="en-CA" w:bidi="ar-SA"/>
              </w:rPr>
              <w:t>Stone</w:t>
            </w:r>
          </w:p>
        </w:tc>
        <w:tc>
          <w:tcPr>
            <w:tcW w:w="0" w:type="auto"/>
            <w:noWrap/>
            <w:hideMark/>
          </w:tcPr>
          <w:p w14:paraId="18CCEF6D" w14:textId="77777777" w:rsidR="007D2734" w:rsidRPr="00477D51" w:rsidRDefault="007D2734" w:rsidP="00031EB5">
            <w:pPr>
              <w:bidi w:val="0"/>
              <w:jc w:val="center"/>
              <w:rPr>
                <w:rFonts w:ascii="Calibri" w:eastAsia="Times New Roman" w:hAnsi="Calibri" w:cs="Calibri"/>
                <w:b/>
                <w:bCs/>
                <w:color w:val="000000"/>
                <w:lang w:val="en-CA" w:eastAsia="en-CA" w:bidi="ar-SA"/>
              </w:rPr>
            </w:pPr>
            <w:proofErr w:type="spellStart"/>
            <w:r w:rsidRPr="00477D51">
              <w:rPr>
                <w:rFonts w:ascii="Calibri" w:eastAsia="Times New Roman" w:hAnsi="Calibri" w:cs="Calibri"/>
                <w:b/>
                <w:bCs/>
                <w:color w:val="000000"/>
                <w:lang w:val="en-CA" w:eastAsia="en-CA" w:bidi="ar-SA"/>
              </w:rPr>
              <w:t>Df</w:t>
            </w:r>
            <w:proofErr w:type="spellEnd"/>
          </w:p>
        </w:tc>
        <w:tc>
          <w:tcPr>
            <w:tcW w:w="0" w:type="auto"/>
            <w:noWrap/>
            <w:hideMark/>
          </w:tcPr>
          <w:p w14:paraId="0909E0DF" w14:textId="50A7B511" w:rsidR="007D2734" w:rsidRPr="00477D51" w:rsidRDefault="007D2734" w:rsidP="00031EB5">
            <w:pPr>
              <w:bidi w:val="0"/>
              <w:jc w:val="center"/>
              <w:rPr>
                <w:rFonts w:ascii="Calibri" w:eastAsia="Times New Roman" w:hAnsi="Calibri" w:cs="Calibri"/>
                <w:b/>
                <w:bCs/>
                <w:color w:val="000000"/>
                <w:lang w:val="en-CA" w:eastAsia="en-CA" w:bidi="ar-SA"/>
              </w:rPr>
            </w:pPr>
            <w:r w:rsidRPr="00477D51">
              <w:rPr>
                <w:rFonts w:ascii="Calibri" w:eastAsia="Times New Roman" w:hAnsi="Calibri" w:cs="Calibri"/>
                <w:b/>
                <w:bCs/>
                <w:color w:val="000000"/>
                <w:lang w:val="en-CA" w:eastAsia="en-CA" w:bidi="ar-SA"/>
              </w:rPr>
              <w:t>W-value</w:t>
            </w:r>
          </w:p>
        </w:tc>
        <w:tc>
          <w:tcPr>
            <w:tcW w:w="0" w:type="auto"/>
            <w:noWrap/>
            <w:hideMark/>
          </w:tcPr>
          <w:p w14:paraId="5B048E4C" w14:textId="7EE34451" w:rsidR="007D2734" w:rsidRPr="00477D51" w:rsidRDefault="007D2734" w:rsidP="00031EB5">
            <w:pPr>
              <w:bidi w:val="0"/>
              <w:jc w:val="center"/>
              <w:rPr>
                <w:rFonts w:ascii="Calibri" w:eastAsia="Times New Roman" w:hAnsi="Calibri" w:cs="Calibri"/>
                <w:b/>
                <w:bCs/>
                <w:color w:val="000000"/>
                <w:lang w:val="en-CA" w:eastAsia="en-CA" w:bidi="ar-SA"/>
              </w:rPr>
            </w:pPr>
            <w:r w:rsidRPr="00477D51">
              <w:rPr>
                <w:rFonts w:ascii="Calibri" w:eastAsia="Times New Roman" w:hAnsi="Calibri" w:cs="Calibri"/>
                <w:b/>
                <w:bCs/>
                <w:color w:val="000000"/>
                <w:lang w:val="en-CA" w:eastAsia="en-CA" w:bidi="ar-SA"/>
              </w:rPr>
              <w:t>P-value</w:t>
            </w:r>
          </w:p>
        </w:tc>
      </w:tr>
      <w:tr w:rsidR="007D2734" w:rsidRPr="00477D51" w14:paraId="454DBBFB" w14:textId="77777777" w:rsidTr="00DD1864">
        <w:trPr>
          <w:trHeight w:val="285"/>
          <w:jc w:val="center"/>
        </w:trPr>
        <w:tc>
          <w:tcPr>
            <w:tcW w:w="0" w:type="auto"/>
            <w:noWrap/>
            <w:hideMark/>
          </w:tcPr>
          <w:p w14:paraId="750276D3"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FW</w:t>
            </w:r>
          </w:p>
        </w:tc>
        <w:tc>
          <w:tcPr>
            <w:tcW w:w="0" w:type="auto"/>
            <w:noWrap/>
            <w:hideMark/>
          </w:tcPr>
          <w:p w14:paraId="7A95609A"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9.22E-06</w:t>
            </w:r>
          </w:p>
        </w:tc>
        <w:tc>
          <w:tcPr>
            <w:tcW w:w="0" w:type="auto"/>
            <w:noWrap/>
            <w:hideMark/>
          </w:tcPr>
          <w:p w14:paraId="4FA80023"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Shapiro-Wilk</w:t>
            </w:r>
          </w:p>
        </w:tc>
        <w:tc>
          <w:tcPr>
            <w:tcW w:w="0" w:type="auto"/>
            <w:noWrap/>
            <w:hideMark/>
          </w:tcPr>
          <w:p w14:paraId="7B1A12DB"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Calcite</w:t>
            </w:r>
          </w:p>
        </w:tc>
        <w:tc>
          <w:tcPr>
            <w:tcW w:w="0" w:type="auto"/>
            <w:gridSpan w:val="3"/>
            <w:vMerge w:val="restart"/>
            <w:shd w:val="clear" w:color="auto" w:fill="D9D9D9" w:themeFill="background1" w:themeFillShade="D9"/>
            <w:noWrap/>
            <w:hideMark/>
          </w:tcPr>
          <w:p w14:paraId="7BFD7438" w14:textId="77777777" w:rsidR="007D2734" w:rsidRPr="00477D51" w:rsidRDefault="007D2734" w:rsidP="00031EB5">
            <w:pPr>
              <w:bidi w:val="0"/>
              <w:rPr>
                <w:rFonts w:ascii="Times New Roman" w:eastAsia="Times New Roman" w:hAnsi="Times New Roman" w:cs="Times New Roman"/>
                <w:sz w:val="20"/>
                <w:szCs w:val="20"/>
                <w:lang w:val="en-CA" w:eastAsia="en-CA" w:bidi="ar-SA"/>
              </w:rPr>
            </w:pPr>
          </w:p>
        </w:tc>
      </w:tr>
      <w:tr w:rsidR="007D2734" w:rsidRPr="00477D51" w14:paraId="14FEB826" w14:textId="77777777" w:rsidTr="00DD1864">
        <w:trPr>
          <w:trHeight w:val="285"/>
          <w:jc w:val="center"/>
        </w:trPr>
        <w:tc>
          <w:tcPr>
            <w:tcW w:w="0" w:type="auto"/>
            <w:noWrap/>
            <w:hideMark/>
          </w:tcPr>
          <w:p w14:paraId="5231711C"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SW</w:t>
            </w:r>
          </w:p>
        </w:tc>
        <w:tc>
          <w:tcPr>
            <w:tcW w:w="0" w:type="auto"/>
            <w:noWrap/>
            <w:hideMark/>
          </w:tcPr>
          <w:p w14:paraId="4DCD32B6"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5.76E-07</w:t>
            </w:r>
          </w:p>
        </w:tc>
        <w:tc>
          <w:tcPr>
            <w:tcW w:w="0" w:type="auto"/>
            <w:noWrap/>
            <w:hideMark/>
          </w:tcPr>
          <w:p w14:paraId="541F4D67"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Shapiro-Wilk</w:t>
            </w:r>
          </w:p>
        </w:tc>
        <w:tc>
          <w:tcPr>
            <w:tcW w:w="0" w:type="auto"/>
            <w:noWrap/>
            <w:hideMark/>
          </w:tcPr>
          <w:p w14:paraId="4FE947BA"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Calcite</w:t>
            </w:r>
          </w:p>
        </w:tc>
        <w:tc>
          <w:tcPr>
            <w:tcW w:w="0" w:type="auto"/>
            <w:gridSpan w:val="3"/>
            <w:vMerge/>
            <w:shd w:val="clear" w:color="auto" w:fill="D9D9D9" w:themeFill="background1" w:themeFillShade="D9"/>
            <w:noWrap/>
            <w:hideMark/>
          </w:tcPr>
          <w:p w14:paraId="344818C1" w14:textId="77777777" w:rsidR="007D2734" w:rsidRPr="00477D51" w:rsidRDefault="007D2734" w:rsidP="00031EB5">
            <w:pPr>
              <w:bidi w:val="0"/>
              <w:rPr>
                <w:rFonts w:ascii="Times New Roman" w:eastAsia="Times New Roman" w:hAnsi="Times New Roman" w:cs="Times New Roman"/>
                <w:sz w:val="20"/>
                <w:szCs w:val="20"/>
                <w:lang w:val="en-CA" w:eastAsia="en-CA" w:bidi="ar-SA"/>
              </w:rPr>
            </w:pPr>
          </w:p>
        </w:tc>
      </w:tr>
      <w:tr w:rsidR="007D2734" w:rsidRPr="00477D51" w14:paraId="04CD5B6D" w14:textId="77777777" w:rsidTr="00DD1864">
        <w:trPr>
          <w:trHeight w:val="285"/>
          <w:jc w:val="center"/>
        </w:trPr>
        <w:tc>
          <w:tcPr>
            <w:tcW w:w="0" w:type="auto"/>
            <w:noWrap/>
            <w:hideMark/>
          </w:tcPr>
          <w:p w14:paraId="0AEB55DC"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SW25d</w:t>
            </w:r>
          </w:p>
        </w:tc>
        <w:tc>
          <w:tcPr>
            <w:tcW w:w="0" w:type="auto"/>
            <w:noWrap/>
            <w:hideMark/>
          </w:tcPr>
          <w:p w14:paraId="01499A6A"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7.57E-05</w:t>
            </w:r>
          </w:p>
        </w:tc>
        <w:tc>
          <w:tcPr>
            <w:tcW w:w="0" w:type="auto"/>
            <w:noWrap/>
            <w:hideMark/>
          </w:tcPr>
          <w:p w14:paraId="7FB57E8A"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Shapiro-Wilk</w:t>
            </w:r>
          </w:p>
        </w:tc>
        <w:tc>
          <w:tcPr>
            <w:tcW w:w="0" w:type="auto"/>
            <w:noWrap/>
            <w:hideMark/>
          </w:tcPr>
          <w:p w14:paraId="70C47083"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Calcite</w:t>
            </w:r>
          </w:p>
        </w:tc>
        <w:tc>
          <w:tcPr>
            <w:tcW w:w="0" w:type="auto"/>
            <w:gridSpan w:val="3"/>
            <w:vMerge/>
            <w:shd w:val="clear" w:color="auto" w:fill="D9D9D9" w:themeFill="background1" w:themeFillShade="D9"/>
            <w:noWrap/>
            <w:hideMark/>
          </w:tcPr>
          <w:p w14:paraId="6DFB05E5" w14:textId="77777777" w:rsidR="007D2734" w:rsidRPr="00477D51" w:rsidRDefault="007D2734" w:rsidP="00031EB5">
            <w:pPr>
              <w:bidi w:val="0"/>
              <w:rPr>
                <w:rFonts w:ascii="Times New Roman" w:eastAsia="Times New Roman" w:hAnsi="Times New Roman" w:cs="Times New Roman"/>
                <w:sz w:val="20"/>
                <w:szCs w:val="20"/>
                <w:lang w:val="en-CA" w:eastAsia="en-CA" w:bidi="ar-SA"/>
              </w:rPr>
            </w:pPr>
          </w:p>
        </w:tc>
      </w:tr>
      <w:tr w:rsidR="007D2734" w:rsidRPr="00477D51" w14:paraId="5BDFE86E" w14:textId="77777777" w:rsidTr="00DD1864">
        <w:trPr>
          <w:trHeight w:val="285"/>
          <w:jc w:val="center"/>
        </w:trPr>
        <w:tc>
          <w:tcPr>
            <w:tcW w:w="0" w:type="auto"/>
            <w:noWrap/>
            <w:hideMark/>
          </w:tcPr>
          <w:p w14:paraId="553913BA"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SW4SO4</w:t>
            </w:r>
          </w:p>
        </w:tc>
        <w:tc>
          <w:tcPr>
            <w:tcW w:w="0" w:type="auto"/>
            <w:noWrap/>
            <w:hideMark/>
          </w:tcPr>
          <w:p w14:paraId="09B6AA14"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0.000503</w:t>
            </w:r>
          </w:p>
        </w:tc>
        <w:tc>
          <w:tcPr>
            <w:tcW w:w="0" w:type="auto"/>
            <w:noWrap/>
            <w:hideMark/>
          </w:tcPr>
          <w:p w14:paraId="3FA77D22"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Shapiro-Wilk</w:t>
            </w:r>
          </w:p>
        </w:tc>
        <w:tc>
          <w:tcPr>
            <w:tcW w:w="0" w:type="auto"/>
            <w:noWrap/>
            <w:hideMark/>
          </w:tcPr>
          <w:p w14:paraId="17786037"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Calcite</w:t>
            </w:r>
          </w:p>
        </w:tc>
        <w:tc>
          <w:tcPr>
            <w:tcW w:w="0" w:type="auto"/>
            <w:gridSpan w:val="3"/>
            <w:vMerge/>
            <w:shd w:val="clear" w:color="auto" w:fill="D9D9D9" w:themeFill="background1" w:themeFillShade="D9"/>
            <w:noWrap/>
            <w:hideMark/>
          </w:tcPr>
          <w:p w14:paraId="00F654B7" w14:textId="77777777" w:rsidR="007D2734" w:rsidRPr="00477D51" w:rsidRDefault="007D2734" w:rsidP="00031EB5">
            <w:pPr>
              <w:bidi w:val="0"/>
              <w:rPr>
                <w:rFonts w:ascii="Times New Roman" w:eastAsia="Times New Roman" w:hAnsi="Times New Roman" w:cs="Times New Roman"/>
                <w:sz w:val="20"/>
                <w:szCs w:val="20"/>
                <w:lang w:val="en-CA" w:eastAsia="en-CA" w:bidi="ar-SA"/>
              </w:rPr>
            </w:pPr>
          </w:p>
        </w:tc>
      </w:tr>
      <w:tr w:rsidR="007D2734" w:rsidRPr="00477D51" w14:paraId="00968812" w14:textId="77777777" w:rsidTr="007D2734">
        <w:trPr>
          <w:trHeight w:val="285"/>
          <w:jc w:val="center"/>
        </w:trPr>
        <w:tc>
          <w:tcPr>
            <w:tcW w:w="0" w:type="auto"/>
            <w:gridSpan w:val="2"/>
            <w:shd w:val="clear" w:color="auto" w:fill="D9D9D9" w:themeFill="background1" w:themeFillShade="D9"/>
            <w:noWrap/>
            <w:hideMark/>
          </w:tcPr>
          <w:p w14:paraId="5D1B5E61" w14:textId="77777777" w:rsidR="007D2734" w:rsidRPr="00477D51" w:rsidRDefault="007D2734" w:rsidP="00031EB5">
            <w:pPr>
              <w:bidi w:val="0"/>
              <w:rPr>
                <w:rFonts w:ascii="Times New Roman" w:eastAsia="Times New Roman" w:hAnsi="Times New Roman" w:cs="Times New Roman"/>
                <w:sz w:val="20"/>
                <w:szCs w:val="20"/>
                <w:lang w:val="en-CA" w:eastAsia="en-CA" w:bidi="ar-SA"/>
              </w:rPr>
            </w:pPr>
          </w:p>
        </w:tc>
        <w:tc>
          <w:tcPr>
            <w:tcW w:w="0" w:type="auto"/>
            <w:noWrap/>
            <w:hideMark/>
          </w:tcPr>
          <w:p w14:paraId="7E008F38"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Levene's Test</w:t>
            </w:r>
          </w:p>
        </w:tc>
        <w:tc>
          <w:tcPr>
            <w:tcW w:w="0" w:type="auto"/>
            <w:noWrap/>
            <w:hideMark/>
          </w:tcPr>
          <w:p w14:paraId="76834B54"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Calcite</w:t>
            </w:r>
          </w:p>
        </w:tc>
        <w:tc>
          <w:tcPr>
            <w:tcW w:w="0" w:type="auto"/>
            <w:noWrap/>
            <w:hideMark/>
          </w:tcPr>
          <w:p w14:paraId="25EDDC9D"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3</w:t>
            </w:r>
          </w:p>
        </w:tc>
        <w:tc>
          <w:tcPr>
            <w:tcW w:w="0" w:type="auto"/>
            <w:noWrap/>
            <w:hideMark/>
          </w:tcPr>
          <w:p w14:paraId="313539B2"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8.5347</w:t>
            </w:r>
          </w:p>
        </w:tc>
        <w:tc>
          <w:tcPr>
            <w:tcW w:w="0" w:type="auto"/>
            <w:noWrap/>
            <w:hideMark/>
          </w:tcPr>
          <w:p w14:paraId="61F32027"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2.28E-05</w:t>
            </w:r>
          </w:p>
        </w:tc>
      </w:tr>
      <w:tr w:rsidR="007D2734" w:rsidRPr="00477D51" w14:paraId="2CCFEC4A" w14:textId="77777777" w:rsidTr="00C63C01">
        <w:trPr>
          <w:trHeight w:val="285"/>
          <w:jc w:val="center"/>
        </w:trPr>
        <w:tc>
          <w:tcPr>
            <w:tcW w:w="0" w:type="auto"/>
            <w:noWrap/>
            <w:hideMark/>
          </w:tcPr>
          <w:p w14:paraId="29EED31D"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FW</w:t>
            </w:r>
          </w:p>
        </w:tc>
        <w:tc>
          <w:tcPr>
            <w:tcW w:w="0" w:type="auto"/>
            <w:noWrap/>
            <w:hideMark/>
          </w:tcPr>
          <w:p w14:paraId="4A25B855"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6.88E-06</w:t>
            </w:r>
          </w:p>
        </w:tc>
        <w:tc>
          <w:tcPr>
            <w:tcW w:w="0" w:type="auto"/>
            <w:noWrap/>
            <w:hideMark/>
          </w:tcPr>
          <w:p w14:paraId="241D6E15"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Shapiro-Wilk</w:t>
            </w:r>
          </w:p>
        </w:tc>
        <w:tc>
          <w:tcPr>
            <w:tcW w:w="0" w:type="auto"/>
            <w:noWrap/>
            <w:hideMark/>
          </w:tcPr>
          <w:p w14:paraId="1814EBA8"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Dolomite</w:t>
            </w:r>
          </w:p>
        </w:tc>
        <w:tc>
          <w:tcPr>
            <w:tcW w:w="0" w:type="auto"/>
            <w:gridSpan w:val="3"/>
            <w:vMerge w:val="restart"/>
            <w:shd w:val="clear" w:color="auto" w:fill="D9D9D9" w:themeFill="background1" w:themeFillShade="D9"/>
            <w:noWrap/>
            <w:hideMark/>
          </w:tcPr>
          <w:p w14:paraId="74D5FDE7" w14:textId="77777777" w:rsidR="007D2734" w:rsidRPr="00477D51" w:rsidRDefault="007D2734" w:rsidP="00031EB5">
            <w:pPr>
              <w:bidi w:val="0"/>
              <w:rPr>
                <w:rFonts w:ascii="Times New Roman" w:eastAsia="Times New Roman" w:hAnsi="Times New Roman" w:cs="Times New Roman"/>
                <w:sz w:val="20"/>
                <w:szCs w:val="20"/>
                <w:lang w:val="en-CA" w:eastAsia="en-CA" w:bidi="ar-SA"/>
              </w:rPr>
            </w:pPr>
          </w:p>
        </w:tc>
      </w:tr>
      <w:tr w:rsidR="007D2734" w:rsidRPr="00477D51" w14:paraId="659C32B2" w14:textId="77777777" w:rsidTr="00C63C01">
        <w:trPr>
          <w:trHeight w:val="285"/>
          <w:jc w:val="center"/>
        </w:trPr>
        <w:tc>
          <w:tcPr>
            <w:tcW w:w="0" w:type="auto"/>
            <w:noWrap/>
            <w:hideMark/>
          </w:tcPr>
          <w:p w14:paraId="3FA88CF4"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SW</w:t>
            </w:r>
          </w:p>
        </w:tc>
        <w:tc>
          <w:tcPr>
            <w:tcW w:w="0" w:type="auto"/>
            <w:noWrap/>
            <w:hideMark/>
          </w:tcPr>
          <w:p w14:paraId="40343DB7"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9.2E-06</w:t>
            </w:r>
          </w:p>
        </w:tc>
        <w:tc>
          <w:tcPr>
            <w:tcW w:w="0" w:type="auto"/>
            <w:noWrap/>
            <w:hideMark/>
          </w:tcPr>
          <w:p w14:paraId="2F305D7D"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Shapiro-Wilk</w:t>
            </w:r>
          </w:p>
        </w:tc>
        <w:tc>
          <w:tcPr>
            <w:tcW w:w="0" w:type="auto"/>
            <w:noWrap/>
            <w:hideMark/>
          </w:tcPr>
          <w:p w14:paraId="6D7F4D3D"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Dolomite</w:t>
            </w:r>
          </w:p>
        </w:tc>
        <w:tc>
          <w:tcPr>
            <w:tcW w:w="0" w:type="auto"/>
            <w:gridSpan w:val="3"/>
            <w:vMerge/>
            <w:shd w:val="clear" w:color="auto" w:fill="D9D9D9" w:themeFill="background1" w:themeFillShade="D9"/>
            <w:noWrap/>
            <w:hideMark/>
          </w:tcPr>
          <w:p w14:paraId="36E0E225" w14:textId="77777777" w:rsidR="007D2734" w:rsidRPr="00477D51" w:rsidRDefault="007D2734" w:rsidP="00031EB5">
            <w:pPr>
              <w:bidi w:val="0"/>
              <w:rPr>
                <w:rFonts w:ascii="Times New Roman" w:eastAsia="Times New Roman" w:hAnsi="Times New Roman" w:cs="Times New Roman"/>
                <w:sz w:val="20"/>
                <w:szCs w:val="20"/>
                <w:lang w:val="en-CA" w:eastAsia="en-CA" w:bidi="ar-SA"/>
              </w:rPr>
            </w:pPr>
          </w:p>
        </w:tc>
      </w:tr>
      <w:tr w:rsidR="007D2734" w:rsidRPr="00477D51" w14:paraId="1FA434BF" w14:textId="77777777" w:rsidTr="00C63C01">
        <w:trPr>
          <w:trHeight w:val="285"/>
          <w:jc w:val="center"/>
        </w:trPr>
        <w:tc>
          <w:tcPr>
            <w:tcW w:w="0" w:type="auto"/>
            <w:noWrap/>
            <w:hideMark/>
          </w:tcPr>
          <w:p w14:paraId="3451B0CE"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SW25d</w:t>
            </w:r>
          </w:p>
        </w:tc>
        <w:tc>
          <w:tcPr>
            <w:tcW w:w="0" w:type="auto"/>
            <w:noWrap/>
            <w:hideMark/>
          </w:tcPr>
          <w:p w14:paraId="3CF89605"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5.3E-07</w:t>
            </w:r>
          </w:p>
        </w:tc>
        <w:tc>
          <w:tcPr>
            <w:tcW w:w="0" w:type="auto"/>
            <w:noWrap/>
            <w:hideMark/>
          </w:tcPr>
          <w:p w14:paraId="27A006B9"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Shapiro-Wilk</w:t>
            </w:r>
          </w:p>
        </w:tc>
        <w:tc>
          <w:tcPr>
            <w:tcW w:w="0" w:type="auto"/>
            <w:noWrap/>
            <w:hideMark/>
          </w:tcPr>
          <w:p w14:paraId="412EB6EE"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Dolomite</w:t>
            </w:r>
          </w:p>
        </w:tc>
        <w:tc>
          <w:tcPr>
            <w:tcW w:w="0" w:type="auto"/>
            <w:gridSpan w:val="3"/>
            <w:vMerge/>
            <w:shd w:val="clear" w:color="auto" w:fill="D9D9D9" w:themeFill="background1" w:themeFillShade="D9"/>
            <w:noWrap/>
            <w:hideMark/>
          </w:tcPr>
          <w:p w14:paraId="6C512DBF" w14:textId="77777777" w:rsidR="007D2734" w:rsidRPr="00477D51" w:rsidRDefault="007D2734" w:rsidP="00031EB5">
            <w:pPr>
              <w:bidi w:val="0"/>
              <w:rPr>
                <w:rFonts w:ascii="Times New Roman" w:eastAsia="Times New Roman" w:hAnsi="Times New Roman" w:cs="Times New Roman"/>
                <w:sz w:val="20"/>
                <w:szCs w:val="20"/>
                <w:lang w:val="en-CA" w:eastAsia="en-CA" w:bidi="ar-SA"/>
              </w:rPr>
            </w:pPr>
          </w:p>
        </w:tc>
      </w:tr>
      <w:tr w:rsidR="007D2734" w:rsidRPr="00477D51" w14:paraId="4DB5632B" w14:textId="77777777" w:rsidTr="00C63C01">
        <w:trPr>
          <w:trHeight w:val="285"/>
          <w:jc w:val="center"/>
        </w:trPr>
        <w:tc>
          <w:tcPr>
            <w:tcW w:w="0" w:type="auto"/>
            <w:noWrap/>
            <w:hideMark/>
          </w:tcPr>
          <w:p w14:paraId="79884DA3"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SW4SO4</w:t>
            </w:r>
          </w:p>
        </w:tc>
        <w:tc>
          <w:tcPr>
            <w:tcW w:w="0" w:type="auto"/>
            <w:noWrap/>
            <w:hideMark/>
          </w:tcPr>
          <w:p w14:paraId="7D1766A3"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0.0161</w:t>
            </w:r>
          </w:p>
        </w:tc>
        <w:tc>
          <w:tcPr>
            <w:tcW w:w="0" w:type="auto"/>
            <w:noWrap/>
            <w:hideMark/>
          </w:tcPr>
          <w:p w14:paraId="05C9884F"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Shapiro-Wilk</w:t>
            </w:r>
          </w:p>
        </w:tc>
        <w:tc>
          <w:tcPr>
            <w:tcW w:w="0" w:type="auto"/>
            <w:noWrap/>
            <w:hideMark/>
          </w:tcPr>
          <w:p w14:paraId="1F7EF360"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Dolomite</w:t>
            </w:r>
          </w:p>
        </w:tc>
        <w:tc>
          <w:tcPr>
            <w:tcW w:w="0" w:type="auto"/>
            <w:gridSpan w:val="3"/>
            <w:vMerge/>
            <w:shd w:val="clear" w:color="auto" w:fill="D9D9D9" w:themeFill="background1" w:themeFillShade="D9"/>
            <w:noWrap/>
            <w:hideMark/>
          </w:tcPr>
          <w:p w14:paraId="196AC0A4" w14:textId="77777777" w:rsidR="007D2734" w:rsidRPr="00477D51" w:rsidRDefault="007D2734" w:rsidP="00031EB5">
            <w:pPr>
              <w:bidi w:val="0"/>
              <w:rPr>
                <w:rFonts w:ascii="Times New Roman" w:eastAsia="Times New Roman" w:hAnsi="Times New Roman" w:cs="Times New Roman"/>
                <w:sz w:val="20"/>
                <w:szCs w:val="20"/>
                <w:lang w:val="en-CA" w:eastAsia="en-CA" w:bidi="ar-SA"/>
              </w:rPr>
            </w:pPr>
          </w:p>
        </w:tc>
      </w:tr>
      <w:tr w:rsidR="007D2734" w:rsidRPr="00477D51" w14:paraId="31AFF86D" w14:textId="77777777" w:rsidTr="007D2734">
        <w:trPr>
          <w:trHeight w:val="285"/>
          <w:jc w:val="center"/>
        </w:trPr>
        <w:tc>
          <w:tcPr>
            <w:tcW w:w="0" w:type="auto"/>
            <w:gridSpan w:val="2"/>
            <w:shd w:val="clear" w:color="auto" w:fill="D9D9D9" w:themeFill="background1" w:themeFillShade="D9"/>
            <w:noWrap/>
            <w:hideMark/>
          </w:tcPr>
          <w:p w14:paraId="1890BCDF" w14:textId="77777777" w:rsidR="007D2734" w:rsidRPr="00477D51" w:rsidRDefault="007D2734" w:rsidP="00031EB5">
            <w:pPr>
              <w:bidi w:val="0"/>
              <w:rPr>
                <w:rFonts w:ascii="Times New Roman" w:eastAsia="Times New Roman" w:hAnsi="Times New Roman" w:cs="Times New Roman"/>
                <w:sz w:val="20"/>
                <w:szCs w:val="20"/>
                <w:lang w:val="en-CA" w:eastAsia="en-CA" w:bidi="ar-SA"/>
              </w:rPr>
            </w:pPr>
          </w:p>
        </w:tc>
        <w:tc>
          <w:tcPr>
            <w:tcW w:w="0" w:type="auto"/>
            <w:noWrap/>
            <w:hideMark/>
          </w:tcPr>
          <w:p w14:paraId="03AA677F"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Levene's Test</w:t>
            </w:r>
          </w:p>
        </w:tc>
        <w:tc>
          <w:tcPr>
            <w:tcW w:w="0" w:type="auto"/>
            <w:noWrap/>
            <w:hideMark/>
          </w:tcPr>
          <w:p w14:paraId="3B511441" w14:textId="77777777" w:rsidR="007D2734" w:rsidRPr="00477D51" w:rsidRDefault="007D2734" w:rsidP="00031EB5">
            <w:pPr>
              <w:bidi w:val="0"/>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Dolomite</w:t>
            </w:r>
          </w:p>
        </w:tc>
        <w:tc>
          <w:tcPr>
            <w:tcW w:w="0" w:type="auto"/>
            <w:noWrap/>
            <w:hideMark/>
          </w:tcPr>
          <w:p w14:paraId="3082E665"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3</w:t>
            </w:r>
          </w:p>
        </w:tc>
        <w:tc>
          <w:tcPr>
            <w:tcW w:w="0" w:type="auto"/>
            <w:noWrap/>
            <w:hideMark/>
          </w:tcPr>
          <w:p w14:paraId="28CD6FEF"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8.3898</w:t>
            </w:r>
          </w:p>
        </w:tc>
        <w:tc>
          <w:tcPr>
            <w:tcW w:w="0" w:type="auto"/>
            <w:noWrap/>
            <w:hideMark/>
          </w:tcPr>
          <w:p w14:paraId="6C4BE2FD" w14:textId="77777777" w:rsidR="007D2734" w:rsidRPr="00477D51" w:rsidRDefault="007D2734" w:rsidP="00031EB5">
            <w:pPr>
              <w:bidi w:val="0"/>
              <w:jc w:val="right"/>
              <w:rPr>
                <w:rFonts w:ascii="Calibri" w:eastAsia="Times New Roman" w:hAnsi="Calibri" w:cs="Calibri"/>
                <w:color w:val="000000"/>
                <w:lang w:val="en-CA" w:eastAsia="en-CA" w:bidi="ar-SA"/>
              </w:rPr>
            </w:pPr>
            <w:r w:rsidRPr="00477D51">
              <w:rPr>
                <w:rFonts w:ascii="Calibri" w:eastAsia="Times New Roman" w:hAnsi="Calibri" w:cs="Calibri"/>
                <w:color w:val="000000"/>
                <w:lang w:val="en-CA" w:eastAsia="en-CA" w:bidi="ar-SA"/>
              </w:rPr>
              <w:t>2.75E-05</w:t>
            </w:r>
          </w:p>
        </w:tc>
      </w:tr>
    </w:tbl>
    <w:p w14:paraId="24C3B7EA" w14:textId="77777777" w:rsidR="00624517" w:rsidRPr="00477D51" w:rsidRDefault="00624517" w:rsidP="00624517">
      <w:pPr>
        <w:bidi w:val="0"/>
        <w:rPr>
          <w:rFonts w:asciiTheme="majorBidi" w:hAnsiTheme="majorBidi" w:cstheme="majorBidi"/>
          <w:sz w:val="24"/>
          <w:szCs w:val="24"/>
          <w:lang w:bidi="ar-SA"/>
        </w:rPr>
      </w:pPr>
    </w:p>
    <w:p w14:paraId="692687B5" w14:textId="34508016" w:rsidR="007D2734" w:rsidRPr="00477D51" w:rsidRDefault="007D2734" w:rsidP="006B667F">
      <w:pPr>
        <w:bidi w:val="0"/>
        <w:spacing w:after="0" w:line="240" w:lineRule="auto"/>
        <w:jc w:val="both"/>
        <w:rPr>
          <w:rFonts w:eastAsia="Calibri" w:cstheme="majorBidi"/>
          <w:lang w:bidi="ar-SA"/>
        </w:rPr>
      </w:pPr>
      <w:r w:rsidRPr="00477D51">
        <w:rPr>
          <w:rFonts w:eastAsia="Calibri" w:cstheme="majorBidi"/>
          <w:lang w:bidi="ar-SA"/>
        </w:rPr>
        <w:t xml:space="preserve">Figure </w:t>
      </w:r>
      <w:proofErr w:type="gramStart"/>
      <w:r w:rsidRPr="00477D51">
        <w:rPr>
          <w:rFonts w:eastAsia="Calibri" w:cstheme="majorBidi"/>
          <w:lang w:bidi="ar-SA"/>
        </w:rPr>
        <w:t>S5(</w:t>
      </w:r>
      <w:proofErr w:type="gramEnd"/>
      <w:r w:rsidRPr="00477D51">
        <w:rPr>
          <w:rFonts w:eastAsia="Calibri" w:cstheme="majorBidi"/>
          <w:lang w:bidi="ar-SA"/>
        </w:rPr>
        <w:t>a) and S5(b) illustrate the zeta potential distributions for Calcite and Dolomite samples, respectively, under different brine conditions (FW, SW, SW25d, and SW4SO4). The boxplot for Calcite shows significant differences in zeta potential across the brine types. The freshwater (FW) condition exhibits the highest mean zeta potential, with values decreasing progressively for SW, SW25d, and SW4SO4. Pairwise comparisons, assessed using the Wilcoxon rank-sum test, reveal highly significant differences (p-values ranging from 8.9×10−11 to 4.6×10−5) between all brine pairs. The observed trends suggest that changes in brine composition strongly influence surface charge, with SW4SO4 producing the most negative zeta potential values. Statistical markers for maximum, mean, and minimum values provide further insights into the variability within each condition, confirming non-overlapping distributions. In contrast, Dolomite demonstrates a more gradual decrease in zeta potential across brine conditions, with FW maintaining higher values and SW4SO4 exhibiting the lowest. Pairwise comparisons indicate significant differences between FW and SW (p=1.7×10−6), FW and SW25d (p=0.012), and FW and SW4SO4 (p=0.027). However, comparisons involving SW25d and SW4SO4 yield non-significant results (p=0.65), suggesting that Dolomite is less sensitive to changes in brine composition than Calcite. Despite this, variations in mean, maximum, and minimum values indicate distinct group separations, especially between FW and SW. Both figures highlight the pronounced effect of brine composition on zeta potential, with Calcite displaying greater sensitivity to compositional changes compared to Dolomite. These findings emphasize the role of mineral type in surface charge behavior and the potential implications for wettability and reactivity in different brine environments. The significant differences detected in most pairwise comparisons further validate the use of non-parametric methods due to deviations from normality and equality of variances, as previously discussed.</w:t>
      </w:r>
    </w:p>
    <w:p w14:paraId="77EB3D66" w14:textId="77777777" w:rsidR="006534D9" w:rsidRPr="00477D51" w:rsidRDefault="006534D9" w:rsidP="007D2734">
      <w:pPr>
        <w:bidi w:val="0"/>
        <w:rPr>
          <w:b/>
          <w:bCs/>
          <w:sz w:val="24"/>
          <w:szCs w:val="24"/>
        </w:rPr>
      </w:pPr>
    </w:p>
    <w:p w14:paraId="03735A80" w14:textId="0AB94EED" w:rsidR="00624517" w:rsidRPr="00477D51" w:rsidRDefault="00624517" w:rsidP="006534D9">
      <w:pPr>
        <w:bidi w:val="0"/>
        <w:rPr>
          <w:rFonts w:asciiTheme="majorBidi" w:hAnsiTheme="majorBidi" w:cstheme="majorBidi"/>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24517" w:rsidRPr="00477D51" w14:paraId="79314A27" w14:textId="77777777" w:rsidTr="00624517">
        <w:tc>
          <w:tcPr>
            <w:tcW w:w="9016" w:type="dxa"/>
          </w:tcPr>
          <w:p w14:paraId="34DC0ED1" w14:textId="77777777" w:rsidR="00624517" w:rsidRPr="00477D51" w:rsidRDefault="00624517" w:rsidP="00624517">
            <w:pPr>
              <w:bidi w:val="0"/>
              <w:rPr>
                <w:rFonts w:asciiTheme="majorBidi" w:hAnsiTheme="majorBidi" w:cstheme="majorBidi"/>
                <w:b/>
                <w:bCs/>
                <w:sz w:val="24"/>
                <w:szCs w:val="24"/>
              </w:rPr>
            </w:pPr>
            <w:r w:rsidRPr="00477D51">
              <w:rPr>
                <w:rFonts w:asciiTheme="majorBidi" w:hAnsiTheme="majorBidi" w:cstheme="majorBidi"/>
                <w:b/>
                <w:bCs/>
                <w:sz w:val="24"/>
                <w:szCs w:val="24"/>
              </w:rPr>
              <w:t>a</w:t>
            </w:r>
          </w:p>
        </w:tc>
      </w:tr>
      <w:tr w:rsidR="00624517" w:rsidRPr="00477D51" w14:paraId="7F1937AA" w14:textId="77777777" w:rsidTr="00624517">
        <w:tc>
          <w:tcPr>
            <w:tcW w:w="9016" w:type="dxa"/>
          </w:tcPr>
          <w:p w14:paraId="72F6BF63" w14:textId="3BE2E850" w:rsidR="00624517" w:rsidRPr="00477D51" w:rsidRDefault="00031EB5" w:rsidP="00624517">
            <w:pPr>
              <w:bidi w:val="0"/>
              <w:jc w:val="center"/>
              <w:rPr>
                <w:rFonts w:asciiTheme="majorBidi" w:hAnsiTheme="majorBidi" w:cstheme="majorBidi"/>
                <w:b/>
                <w:bCs/>
                <w:sz w:val="24"/>
                <w:szCs w:val="24"/>
              </w:rPr>
            </w:pPr>
            <w:r w:rsidRPr="00477D51">
              <w:rPr>
                <w:rFonts w:asciiTheme="majorBidi" w:hAnsiTheme="majorBidi" w:cstheme="majorBidi"/>
                <w:b/>
                <w:bCs/>
                <w:noProof/>
                <w:sz w:val="24"/>
                <w:szCs w:val="24"/>
                <w:lang w:val="en-IN" w:eastAsia="en-IN"/>
              </w:rPr>
              <w:lastRenderedPageBreak/>
              <w:drawing>
                <wp:inline distT="0" distB="0" distL="0" distR="0" wp14:anchorId="13370839" wp14:editId="2E21DDCB">
                  <wp:extent cx="4538150" cy="2676525"/>
                  <wp:effectExtent l="0" t="0" r="0" b="0"/>
                  <wp:docPr id="9409974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0525" cy="2695619"/>
                          </a:xfrm>
                          <a:prstGeom prst="rect">
                            <a:avLst/>
                          </a:prstGeom>
                          <a:noFill/>
                        </pic:spPr>
                      </pic:pic>
                    </a:graphicData>
                  </a:graphic>
                </wp:inline>
              </w:drawing>
            </w:r>
          </w:p>
        </w:tc>
      </w:tr>
      <w:tr w:rsidR="00624517" w:rsidRPr="00477D51" w14:paraId="206EC8C5" w14:textId="77777777" w:rsidTr="00624517">
        <w:tc>
          <w:tcPr>
            <w:tcW w:w="9016" w:type="dxa"/>
          </w:tcPr>
          <w:p w14:paraId="5160C096" w14:textId="77777777" w:rsidR="006534D9" w:rsidRPr="00477D51" w:rsidRDefault="006534D9" w:rsidP="00624517">
            <w:pPr>
              <w:bidi w:val="0"/>
              <w:rPr>
                <w:rFonts w:asciiTheme="majorBidi" w:hAnsiTheme="majorBidi" w:cstheme="majorBidi"/>
                <w:b/>
                <w:bCs/>
                <w:sz w:val="24"/>
                <w:szCs w:val="24"/>
              </w:rPr>
            </w:pPr>
          </w:p>
          <w:p w14:paraId="05797AF5" w14:textId="71AB3D6F" w:rsidR="00624517" w:rsidRPr="00477D51" w:rsidRDefault="00624517" w:rsidP="006534D9">
            <w:pPr>
              <w:bidi w:val="0"/>
              <w:rPr>
                <w:rFonts w:asciiTheme="majorBidi" w:hAnsiTheme="majorBidi" w:cstheme="majorBidi"/>
                <w:b/>
                <w:bCs/>
                <w:sz w:val="24"/>
                <w:szCs w:val="24"/>
              </w:rPr>
            </w:pPr>
            <w:r w:rsidRPr="00477D51">
              <w:rPr>
                <w:rFonts w:asciiTheme="majorBidi" w:hAnsiTheme="majorBidi" w:cstheme="majorBidi"/>
                <w:b/>
                <w:bCs/>
                <w:sz w:val="24"/>
                <w:szCs w:val="24"/>
              </w:rPr>
              <w:t>b</w:t>
            </w:r>
          </w:p>
        </w:tc>
      </w:tr>
      <w:tr w:rsidR="00624517" w:rsidRPr="00477D51" w14:paraId="39CE2E84" w14:textId="77777777" w:rsidTr="00624517">
        <w:tc>
          <w:tcPr>
            <w:tcW w:w="9016" w:type="dxa"/>
          </w:tcPr>
          <w:p w14:paraId="5518F725" w14:textId="3F888D4B" w:rsidR="00624517" w:rsidRPr="00477D51" w:rsidRDefault="00031EB5" w:rsidP="00624517">
            <w:pPr>
              <w:bidi w:val="0"/>
              <w:jc w:val="center"/>
              <w:rPr>
                <w:rFonts w:asciiTheme="majorBidi" w:hAnsiTheme="majorBidi" w:cstheme="majorBidi"/>
                <w:b/>
                <w:bCs/>
                <w:sz w:val="24"/>
                <w:szCs w:val="24"/>
              </w:rPr>
            </w:pPr>
            <w:r w:rsidRPr="00477D51">
              <w:rPr>
                <w:rFonts w:asciiTheme="majorBidi" w:hAnsiTheme="majorBidi" w:cstheme="majorBidi"/>
                <w:b/>
                <w:bCs/>
                <w:noProof/>
                <w:sz w:val="24"/>
                <w:szCs w:val="24"/>
                <w:lang w:val="en-IN" w:eastAsia="en-IN"/>
              </w:rPr>
              <w:drawing>
                <wp:inline distT="0" distB="0" distL="0" distR="0" wp14:anchorId="0B597DD2" wp14:editId="2DB755AC">
                  <wp:extent cx="4683500" cy="2762250"/>
                  <wp:effectExtent l="0" t="0" r="3175" b="0"/>
                  <wp:docPr id="21390760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03209" cy="2773874"/>
                          </a:xfrm>
                          <a:prstGeom prst="rect">
                            <a:avLst/>
                          </a:prstGeom>
                          <a:noFill/>
                        </pic:spPr>
                      </pic:pic>
                    </a:graphicData>
                  </a:graphic>
                </wp:inline>
              </w:drawing>
            </w:r>
          </w:p>
        </w:tc>
      </w:tr>
      <w:tr w:rsidR="00624517" w:rsidRPr="00477D51" w14:paraId="3C7BA4A2" w14:textId="77777777" w:rsidTr="00624517">
        <w:tc>
          <w:tcPr>
            <w:tcW w:w="9016" w:type="dxa"/>
          </w:tcPr>
          <w:p w14:paraId="35DB6342" w14:textId="5AF20D96" w:rsidR="00624517" w:rsidRPr="00477D51" w:rsidRDefault="00624517" w:rsidP="00624517">
            <w:pPr>
              <w:bidi w:val="0"/>
              <w:jc w:val="center"/>
              <w:rPr>
                <w:rFonts w:asciiTheme="minorHAnsi" w:hAnsiTheme="minorHAnsi" w:cstheme="majorBidi"/>
                <w:b/>
                <w:bCs/>
                <w:sz w:val="22"/>
                <w:szCs w:val="22"/>
              </w:rPr>
            </w:pPr>
            <w:r w:rsidRPr="00477D51">
              <w:rPr>
                <w:rFonts w:asciiTheme="minorHAnsi" w:hAnsiTheme="minorHAnsi" w:cstheme="majorBidi"/>
                <w:b/>
                <w:bCs/>
                <w:sz w:val="22"/>
                <w:szCs w:val="22"/>
              </w:rPr>
              <w:t>Fig S</w:t>
            </w:r>
            <w:r w:rsidR="007643FC" w:rsidRPr="00477D51">
              <w:rPr>
                <w:rFonts w:asciiTheme="minorHAnsi" w:hAnsiTheme="minorHAnsi" w:cstheme="majorBidi"/>
                <w:b/>
                <w:bCs/>
                <w:sz w:val="22"/>
                <w:szCs w:val="22"/>
              </w:rPr>
              <w:t>5</w:t>
            </w:r>
            <w:r w:rsidRPr="00477D51">
              <w:rPr>
                <w:rFonts w:asciiTheme="minorHAnsi" w:hAnsiTheme="minorHAnsi" w:cstheme="majorBidi"/>
                <w:b/>
                <w:bCs/>
                <w:sz w:val="22"/>
                <w:szCs w:val="22"/>
              </w:rPr>
              <w:t>.</w:t>
            </w:r>
            <w:r w:rsidRPr="00477D51">
              <w:rPr>
                <w:rFonts w:asciiTheme="minorHAnsi" w:hAnsiTheme="minorHAnsi" w:cstheme="majorBidi"/>
                <w:sz w:val="22"/>
                <w:szCs w:val="22"/>
              </w:rPr>
              <w:t xml:space="preserve"> Box plot of zeta-potential of a) calcite and b) dolomite particles in FW, SW, SW4SO</w:t>
            </w:r>
            <w:r w:rsidRPr="00477D51">
              <w:rPr>
                <w:rFonts w:asciiTheme="minorHAnsi" w:hAnsiTheme="minorHAnsi" w:cstheme="majorBidi"/>
                <w:sz w:val="22"/>
                <w:szCs w:val="22"/>
                <w:vertAlign w:val="subscript"/>
              </w:rPr>
              <w:t>4</w:t>
            </w:r>
            <w:r w:rsidRPr="00477D51">
              <w:rPr>
                <w:rFonts w:asciiTheme="minorHAnsi" w:hAnsiTheme="minorHAnsi" w:cstheme="majorBidi"/>
                <w:sz w:val="22"/>
                <w:szCs w:val="22"/>
              </w:rPr>
              <w:t xml:space="preserve"> and 25dSW</w:t>
            </w:r>
            <w:r w:rsidR="001F77D5" w:rsidRPr="00477D51">
              <w:rPr>
                <w:rFonts w:asciiTheme="minorHAnsi" w:hAnsiTheme="minorHAnsi" w:cstheme="majorBidi"/>
                <w:sz w:val="22"/>
                <w:szCs w:val="22"/>
              </w:rPr>
              <w:t>.</w:t>
            </w:r>
          </w:p>
        </w:tc>
      </w:tr>
    </w:tbl>
    <w:p w14:paraId="6E67A388" w14:textId="77777777" w:rsidR="00624517" w:rsidRPr="00477D51" w:rsidRDefault="00624517" w:rsidP="00624517">
      <w:pPr>
        <w:bidi w:val="0"/>
        <w:rPr>
          <w:rFonts w:cstheme="majorBidi"/>
          <w:b/>
          <w:bCs/>
        </w:rPr>
      </w:pPr>
    </w:p>
    <w:p w14:paraId="7A15FD52" w14:textId="77777777" w:rsidR="00FF7CAE" w:rsidRPr="00477D51" w:rsidRDefault="00FF7CAE" w:rsidP="00FF7CAE">
      <w:pPr>
        <w:bidi w:val="0"/>
        <w:spacing w:after="120"/>
        <w:jc w:val="both"/>
        <w:rPr>
          <w:rFonts w:cstheme="minorHAnsi"/>
          <w:lang w:val="en-CA"/>
        </w:rPr>
      </w:pPr>
    </w:p>
    <w:p w14:paraId="6876BD29" w14:textId="2DAB7982" w:rsidR="001505C0" w:rsidRPr="00477D51" w:rsidRDefault="001505C0" w:rsidP="00DC7572">
      <w:pPr>
        <w:bidi w:val="0"/>
        <w:spacing w:after="120" w:line="240" w:lineRule="auto"/>
        <w:jc w:val="both"/>
        <w:rPr>
          <w:rFonts w:cstheme="minorHAnsi"/>
          <w:b/>
          <w:bCs/>
        </w:rPr>
      </w:pPr>
      <w:r w:rsidRPr="00477D51">
        <w:rPr>
          <w:b/>
          <w:bCs/>
          <w:sz w:val="24"/>
          <w:szCs w:val="24"/>
        </w:rPr>
        <w:t>S</w:t>
      </w:r>
      <w:r w:rsidR="001B693A" w:rsidRPr="00477D51">
        <w:rPr>
          <w:b/>
          <w:bCs/>
          <w:sz w:val="24"/>
          <w:szCs w:val="24"/>
        </w:rPr>
        <w:t>9</w:t>
      </w:r>
      <w:r w:rsidRPr="00477D51">
        <w:rPr>
          <w:b/>
          <w:bCs/>
          <w:sz w:val="24"/>
          <w:szCs w:val="24"/>
        </w:rPr>
        <w:t xml:space="preserve">. </w:t>
      </w:r>
      <w:r w:rsidR="00A641AC" w:rsidRPr="00477D51">
        <w:rPr>
          <w:b/>
          <w:bCs/>
          <w:sz w:val="24"/>
          <w:szCs w:val="24"/>
        </w:rPr>
        <w:t xml:space="preserve">Statistical </w:t>
      </w:r>
      <w:r w:rsidR="001B693A" w:rsidRPr="00477D51">
        <w:rPr>
          <w:b/>
          <w:bCs/>
          <w:sz w:val="24"/>
          <w:szCs w:val="24"/>
        </w:rPr>
        <w:t>a</w:t>
      </w:r>
      <w:r w:rsidR="00A641AC" w:rsidRPr="00477D51">
        <w:rPr>
          <w:b/>
          <w:bCs/>
          <w:sz w:val="24"/>
          <w:szCs w:val="24"/>
        </w:rPr>
        <w:t>nalysis</w:t>
      </w:r>
      <w:r w:rsidRPr="00477D51">
        <w:rPr>
          <w:b/>
          <w:bCs/>
          <w:sz w:val="24"/>
          <w:szCs w:val="24"/>
        </w:rPr>
        <w:t xml:space="preserve">: </w:t>
      </w:r>
      <w:r w:rsidR="001B693A" w:rsidRPr="00477D51">
        <w:rPr>
          <w:b/>
          <w:bCs/>
          <w:sz w:val="24"/>
          <w:szCs w:val="24"/>
        </w:rPr>
        <w:t>w</w:t>
      </w:r>
      <w:r w:rsidRPr="00477D51">
        <w:rPr>
          <w:b/>
          <w:bCs/>
          <w:sz w:val="24"/>
          <w:szCs w:val="24"/>
        </w:rPr>
        <w:t xml:space="preserve">ettability </w:t>
      </w:r>
      <w:r w:rsidR="001B693A" w:rsidRPr="00477D51">
        <w:rPr>
          <w:b/>
          <w:bCs/>
          <w:sz w:val="24"/>
          <w:szCs w:val="24"/>
        </w:rPr>
        <w:t>a</w:t>
      </w:r>
      <w:r w:rsidRPr="00477D51">
        <w:rPr>
          <w:b/>
          <w:bCs/>
          <w:sz w:val="24"/>
          <w:szCs w:val="24"/>
        </w:rPr>
        <w:t>lteration (</w:t>
      </w:r>
      <w:r w:rsidR="001B693A" w:rsidRPr="00477D51">
        <w:rPr>
          <w:b/>
          <w:bCs/>
          <w:sz w:val="24"/>
          <w:szCs w:val="24"/>
        </w:rPr>
        <w:t>c</w:t>
      </w:r>
      <w:r w:rsidRPr="00477D51">
        <w:rPr>
          <w:b/>
          <w:bCs/>
          <w:sz w:val="24"/>
          <w:szCs w:val="24"/>
        </w:rPr>
        <w:t xml:space="preserve">ontact </w:t>
      </w:r>
      <w:r w:rsidR="001B693A" w:rsidRPr="00477D51">
        <w:rPr>
          <w:b/>
          <w:bCs/>
          <w:sz w:val="24"/>
          <w:szCs w:val="24"/>
        </w:rPr>
        <w:t>a</w:t>
      </w:r>
      <w:r w:rsidRPr="00477D51">
        <w:rPr>
          <w:b/>
          <w:bCs/>
          <w:sz w:val="24"/>
          <w:szCs w:val="24"/>
        </w:rPr>
        <w:t xml:space="preserve">ngle </w:t>
      </w:r>
      <w:r w:rsidR="001B693A" w:rsidRPr="00477D51">
        <w:rPr>
          <w:b/>
          <w:bCs/>
          <w:sz w:val="24"/>
          <w:szCs w:val="24"/>
        </w:rPr>
        <w:t>c</w:t>
      </w:r>
      <w:r w:rsidRPr="00477D51">
        <w:rPr>
          <w:b/>
          <w:bCs/>
          <w:sz w:val="24"/>
          <w:szCs w:val="24"/>
        </w:rPr>
        <w:t xml:space="preserve">hange) </w:t>
      </w:r>
      <w:proofErr w:type="gramStart"/>
      <w:r w:rsidRPr="00477D51">
        <w:rPr>
          <w:b/>
          <w:bCs/>
          <w:sz w:val="24"/>
          <w:szCs w:val="24"/>
        </w:rPr>
        <w:t>In</w:t>
      </w:r>
      <w:proofErr w:type="gramEnd"/>
      <w:r w:rsidRPr="00477D51">
        <w:rPr>
          <w:b/>
          <w:bCs/>
          <w:sz w:val="24"/>
          <w:szCs w:val="24"/>
        </w:rPr>
        <w:t xml:space="preserve"> water rock Interface</w:t>
      </w:r>
      <w:r w:rsidRPr="00477D51">
        <w:rPr>
          <w:rFonts w:cstheme="minorHAnsi"/>
          <w:b/>
          <w:bCs/>
        </w:rPr>
        <w:t xml:space="preserve"> </w:t>
      </w:r>
    </w:p>
    <w:p w14:paraId="78733C56" w14:textId="26612A99" w:rsidR="00FF6E2D" w:rsidRPr="00477D51" w:rsidRDefault="001505C0" w:rsidP="001B693A">
      <w:pPr>
        <w:bidi w:val="0"/>
        <w:spacing w:after="120" w:line="240" w:lineRule="auto"/>
        <w:jc w:val="both"/>
        <w:rPr>
          <w:rFonts w:cstheme="minorHAnsi"/>
        </w:rPr>
      </w:pPr>
      <w:r w:rsidRPr="00477D51">
        <w:rPr>
          <w:rFonts w:cstheme="minorHAnsi"/>
        </w:rPr>
        <w:t>The contact angle measurements for oil/rock (calcite and dolomite) in various brines and at different asphaltene concentrations, aligning with the interfacial tension of oil/brine, are presented in Figure 4a and 4b. As expected, the contact angle decreases with a reduction in asphaltene content, while higher asphaltene concentrations correspond to an increase in the contact angle, indicative of increased oil wetting. Notably, the contact angle in G and low-salinity brines experiences a more pronounced decrease compared to other brines. The dynamic contact angle measurements in different brines for calcite and dolomite rocks show that the contact angle continues to decrease over time (Figure 4c, 4d, 4e, 4f).</w:t>
      </w:r>
    </w:p>
    <w:p w14:paraId="5ED797AD" w14:textId="3EDBA313" w:rsidR="00FF6E2D" w:rsidRPr="00477D51" w:rsidRDefault="001505C0" w:rsidP="001B693A">
      <w:pPr>
        <w:bidi w:val="0"/>
        <w:spacing w:after="120" w:line="240" w:lineRule="auto"/>
        <w:jc w:val="both"/>
        <w:rPr>
          <w:rFonts w:cstheme="minorHAnsi"/>
        </w:rPr>
      </w:pPr>
      <w:r w:rsidRPr="00477D51">
        <w:rPr>
          <w:rFonts w:cstheme="minorHAnsi"/>
        </w:rPr>
        <w:lastRenderedPageBreak/>
        <w:t>Statistical modeling was applied to analyze the trends in the contact angle data, using both linear regression and LOESS smoothing techniques. For calcite (Figure 4c), the linear model showed an R</w:t>
      </w:r>
      <w:r w:rsidRPr="00477D51">
        <w:rPr>
          <w:rFonts w:cstheme="minorHAnsi"/>
          <w:vertAlign w:val="superscript"/>
        </w:rPr>
        <w:t>2</w:t>
      </w:r>
      <w:r w:rsidRPr="00477D51">
        <w:rPr>
          <w:rFonts w:cstheme="minorHAnsi"/>
        </w:rPr>
        <w:t xml:space="preserve"> value of 0.895, while the LOESS model had a slightly better fit with an R</w:t>
      </w:r>
      <w:r w:rsidRPr="00477D51">
        <w:rPr>
          <w:rFonts w:cstheme="minorHAnsi"/>
          <w:vertAlign w:val="superscript"/>
        </w:rPr>
        <w:t>2</w:t>
      </w:r>
      <w:r w:rsidRPr="00477D51">
        <w:rPr>
          <w:rFonts w:cstheme="minorHAnsi"/>
        </w:rPr>
        <w:t xml:space="preserve"> value of 0.957. Similarly, for dolomite (Figure 4d), the linear model yielded an R</w:t>
      </w:r>
      <w:r w:rsidRPr="00477D51">
        <w:rPr>
          <w:rFonts w:cstheme="minorHAnsi"/>
          <w:vertAlign w:val="superscript"/>
        </w:rPr>
        <w:t>2</w:t>
      </w:r>
      <w:r w:rsidRPr="00477D51">
        <w:rPr>
          <w:rFonts w:cstheme="minorHAnsi"/>
        </w:rPr>
        <w:t xml:space="preserve"> value of 0.604, whereas the LOESS model provided a higher R</w:t>
      </w:r>
      <w:r w:rsidRPr="00477D51">
        <w:rPr>
          <w:rFonts w:cstheme="minorHAnsi"/>
          <w:vertAlign w:val="superscript"/>
        </w:rPr>
        <w:t>2</w:t>
      </w:r>
      <w:r w:rsidRPr="00477D51">
        <w:rPr>
          <w:rFonts w:cstheme="minorHAnsi"/>
        </w:rPr>
        <w:t xml:space="preserve"> value of 0.947, indicating that the LOESS approach better captures the non-linear behavior of contact angle reduction over time. </w:t>
      </w:r>
    </w:p>
    <w:p w14:paraId="5DE70ED9" w14:textId="655D95FC" w:rsidR="001505C0" w:rsidRPr="00477D51" w:rsidRDefault="001505C0" w:rsidP="00A641AC">
      <w:pPr>
        <w:bidi w:val="0"/>
        <w:spacing w:after="120" w:line="240" w:lineRule="auto"/>
        <w:jc w:val="both"/>
        <w:rPr>
          <w:rFonts w:cstheme="minorHAnsi"/>
        </w:rPr>
      </w:pPr>
      <w:r w:rsidRPr="00477D51">
        <w:rPr>
          <w:rFonts w:cstheme="minorHAnsi"/>
        </w:rPr>
        <w:t xml:space="preserve">Figures 4e and 4f present boxplots summarizing the contact angle measurements for both rock types based on brine type and time, respectively. The boxplots reveal a wider spread in contact angles for calcite compared to dolomite, particularly at higher asphaltene concentrations, suggesting greater sensitivity of calcite to brine composition. Statistical tests confirmed significant differences (p &lt; 0.05) in contact angles between brines, as well as between calcite and dolomite. For calcite particles, the contact angle is highest in A and decreases progressively in the other brines, with the lowest values observed in </w:t>
      </w:r>
      <w:r w:rsidR="00FF6E2D" w:rsidRPr="00477D51">
        <w:rPr>
          <w:rFonts w:cstheme="minorHAnsi"/>
        </w:rPr>
        <w:t>E</w:t>
      </w:r>
      <w:r w:rsidRPr="00477D51">
        <w:rPr>
          <w:rFonts w:cstheme="minorHAnsi"/>
        </w:rPr>
        <w:t xml:space="preserve"> and G. Specifically, in A at an asphaltene content of 0.2%, the contact angle for calcite is 155°, while for dolomite it is 159°, indicating that calcite surfaces are more hydrophilic in this brine. At asphaltene concentrations of 4% and 9%, the contact angles for calcite in A are 162° and 173°, respectively, compared to 161° and 169° for dolomite, showing a slight increase in oil-wettability for calcite at higher concentrations. The experimental observations and statistical analyses highlight that brine composition and asphaltene content significantly influence rock wettability. Low-salinity brines, particularly those enriched with sulfate ions, demonstrate a greater reduction in contact angle, enhancing water wetting. These results emphasize the potential of brine modification as a strategy for improving wettability and enhancing oil recovery efficiency.</w:t>
      </w:r>
    </w:p>
    <w:p w14:paraId="65363D9C" w14:textId="77777777" w:rsidR="00C94A6F" w:rsidRPr="00477D51" w:rsidRDefault="00C94A6F" w:rsidP="001505C0">
      <w:pPr>
        <w:spacing w:after="120" w:line="240" w:lineRule="auto"/>
        <w:jc w:val="right"/>
        <w:rPr>
          <w:rFonts w:cstheme="minorHAnsi"/>
        </w:rPr>
      </w:pPr>
    </w:p>
    <w:p w14:paraId="0985732C" w14:textId="77777777" w:rsidR="00775391" w:rsidRPr="00477D51" w:rsidRDefault="00775391" w:rsidP="00711AA3">
      <w:pPr>
        <w:tabs>
          <w:tab w:val="num" w:pos="450"/>
          <w:tab w:val="left" w:pos="5438"/>
        </w:tabs>
        <w:spacing w:after="120" w:line="240" w:lineRule="auto"/>
        <w:ind w:left="360" w:hanging="360"/>
        <w:rPr>
          <w:rFonts w:cstheme="minorHAnsi"/>
          <w:rtl/>
        </w:rPr>
      </w:pPr>
    </w:p>
    <w:p w14:paraId="1C49FB06" w14:textId="7C7A34CD" w:rsidR="00775391" w:rsidRPr="00477D51" w:rsidRDefault="00936D68" w:rsidP="00936D68">
      <w:pPr>
        <w:tabs>
          <w:tab w:val="left" w:pos="5438"/>
        </w:tabs>
        <w:bidi w:val="0"/>
        <w:spacing w:after="120" w:line="240" w:lineRule="auto"/>
        <w:rPr>
          <w:b/>
          <w:bCs/>
          <w:sz w:val="24"/>
          <w:szCs w:val="24"/>
          <w:rtl/>
        </w:rPr>
      </w:pPr>
      <w:r w:rsidRPr="00477D51">
        <w:rPr>
          <w:b/>
          <w:bCs/>
          <w:sz w:val="24"/>
          <w:szCs w:val="24"/>
        </w:rPr>
        <w:t>S10. Result of asphaltene size distribution</w:t>
      </w:r>
    </w:p>
    <w:p w14:paraId="0DC1603D" w14:textId="77777777" w:rsidR="00775391" w:rsidRPr="00477D51" w:rsidRDefault="00775391" w:rsidP="003264FB">
      <w:pPr>
        <w:tabs>
          <w:tab w:val="left" w:pos="5438"/>
        </w:tabs>
        <w:spacing w:after="120" w:line="240" w:lineRule="auto"/>
        <w:rPr>
          <w:rFonts w:cstheme="minorHAnsi"/>
        </w:rPr>
      </w:pPr>
    </w:p>
    <w:p w14:paraId="04F9E680" w14:textId="4CA9E400" w:rsidR="00936D68" w:rsidRPr="00477D51" w:rsidRDefault="003D08BA" w:rsidP="003264FB">
      <w:pPr>
        <w:tabs>
          <w:tab w:val="left" w:pos="5438"/>
        </w:tabs>
        <w:spacing w:after="120" w:line="240" w:lineRule="auto"/>
        <w:rPr>
          <w:rFonts w:cstheme="minorHAnsi"/>
        </w:rPr>
      </w:pPr>
      <w:r w:rsidRPr="00477D51">
        <w:rPr>
          <w:rFonts w:cstheme="minorHAnsi"/>
          <w:noProof/>
          <w:lang w:val="en-IN" w:eastAsia="en-IN" w:bidi="ar-SA"/>
        </w:rPr>
        <w:drawing>
          <wp:inline distT="0" distB="0" distL="0" distR="0" wp14:anchorId="6E0640B3" wp14:editId="1D0E679E">
            <wp:extent cx="5602605" cy="3420110"/>
            <wp:effectExtent l="0" t="0" r="0" b="8890"/>
            <wp:docPr id="8164375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2605" cy="3420110"/>
                    </a:xfrm>
                    <a:prstGeom prst="rect">
                      <a:avLst/>
                    </a:prstGeom>
                    <a:noFill/>
                  </pic:spPr>
                </pic:pic>
              </a:graphicData>
            </a:graphic>
          </wp:inline>
        </w:drawing>
      </w:r>
    </w:p>
    <w:p w14:paraId="431EFDAE" w14:textId="79A62112" w:rsidR="00936D68" w:rsidRPr="00477D51" w:rsidRDefault="003D08BA" w:rsidP="003D08BA">
      <w:pPr>
        <w:tabs>
          <w:tab w:val="left" w:pos="5438"/>
        </w:tabs>
        <w:bidi w:val="0"/>
        <w:spacing w:after="120" w:line="240" w:lineRule="auto"/>
        <w:rPr>
          <w:rFonts w:cstheme="majorBidi"/>
          <w:rtl/>
        </w:rPr>
      </w:pPr>
      <w:r w:rsidRPr="00477D51">
        <w:rPr>
          <w:rFonts w:cstheme="majorBidi"/>
          <w:b/>
          <w:bCs/>
        </w:rPr>
        <w:t>Fig S6.</w:t>
      </w:r>
      <w:r w:rsidRPr="00477D51">
        <w:rPr>
          <w:rFonts w:cstheme="majorBidi"/>
        </w:rPr>
        <w:t xml:space="preserve"> Effect of n-heptane/toluene (</w:t>
      </w:r>
      <w:proofErr w:type="spellStart"/>
      <w:r w:rsidRPr="00477D51">
        <w:rPr>
          <w:rFonts w:cstheme="majorBidi"/>
        </w:rPr>
        <w:t>heptol</w:t>
      </w:r>
      <w:proofErr w:type="spellEnd"/>
      <w:r w:rsidRPr="00477D51">
        <w:rPr>
          <w:rFonts w:cstheme="majorBidi"/>
        </w:rPr>
        <w:t>) (</w:t>
      </w:r>
      <w:proofErr w:type="spellStart"/>
      <w:proofErr w:type="gramStart"/>
      <w:r w:rsidRPr="00477D51">
        <w:rPr>
          <w:rFonts w:cstheme="majorBidi"/>
        </w:rPr>
        <w:t>vol</w:t>
      </w:r>
      <w:proofErr w:type="spellEnd"/>
      <w:r w:rsidRPr="00477D51">
        <w:rPr>
          <w:rFonts w:cstheme="majorBidi"/>
        </w:rPr>
        <w:t>%</w:t>
      </w:r>
      <w:proofErr w:type="gramEnd"/>
      <w:r w:rsidRPr="00477D51">
        <w:rPr>
          <w:rFonts w:cstheme="majorBidi"/>
        </w:rPr>
        <w:t>) ratio on Asphaltene Particle Size Distribution.</w:t>
      </w:r>
    </w:p>
    <w:p w14:paraId="3F839745" w14:textId="77777777" w:rsidR="003D08BA" w:rsidRPr="00477D51" w:rsidRDefault="003D08BA" w:rsidP="003264FB">
      <w:pPr>
        <w:tabs>
          <w:tab w:val="left" w:pos="5438"/>
        </w:tabs>
        <w:spacing w:after="120" w:line="240" w:lineRule="auto"/>
        <w:rPr>
          <w:rFonts w:cstheme="majorBidi"/>
          <w:rtl/>
        </w:rPr>
      </w:pPr>
    </w:p>
    <w:p w14:paraId="0ECB3483" w14:textId="77777777" w:rsidR="003D08BA" w:rsidRPr="00477D51" w:rsidRDefault="003D08BA" w:rsidP="003264FB">
      <w:pPr>
        <w:tabs>
          <w:tab w:val="left" w:pos="5438"/>
        </w:tabs>
        <w:spacing w:after="120" w:line="240" w:lineRule="auto"/>
        <w:rPr>
          <w:rFonts w:cstheme="majorBidi"/>
          <w:rtl/>
        </w:rPr>
      </w:pPr>
    </w:p>
    <w:p w14:paraId="328145A8" w14:textId="7DC33E64" w:rsidR="003D08BA" w:rsidRPr="00477D51" w:rsidRDefault="003D08BA" w:rsidP="003D08BA">
      <w:pPr>
        <w:tabs>
          <w:tab w:val="left" w:pos="5438"/>
        </w:tabs>
        <w:bidi w:val="0"/>
        <w:spacing w:after="120" w:line="240" w:lineRule="auto"/>
        <w:jc w:val="both"/>
        <w:rPr>
          <w:rFonts w:cstheme="majorBidi"/>
          <w:rtl/>
        </w:rPr>
      </w:pPr>
      <w:r w:rsidRPr="00477D51">
        <w:rPr>
          <w:rFonts w:cstheme="majorBidi"/>
        </w:rPr>
        <w:t xml:space="preserve">This graph illustrates the volume-based particle size distribution of asphaltenes at two different </w:t>
      </w:r>
      <w:proofErr w:type="spellStart"/>
      <w:r w:rsidRPr="00477D51">
        <w:rPr>
          <w:rFonts w:cstheme="majorBidi"/>
        </w:rPr>
        <w:t>heptol</w:t>
      </w:r>
      <w:proofErr w:type="spellEnd"/>
      <w:r w:rsidRPr="00477D51">
        <w:rPr>
          <w:rFonts w:cstheme="majorBidi"/>
        </w:rPr>
        <w:t xml:space="preserve"> dilution ratios: 1:40 (blue curve) and 1:5 (red curve). The x-axis represents the asphaltene particle size in micrometers (log scale), while the y-axis shows the corresponding volume percentage. At the higher dilution ratio (1:40), the asphaltenes exhibit a narrower distribution with a peak around 0.</w:t>
      </w:r>
      <w:r w:rsidRPr="00477D51">
        <w:rPr>
          <w:rFonts w:cstheme="majorBidi" w:hint="cs"/>
          <w:rtl/>
        </w:rPr>
        <w:t>5</w:t>
      </w:r>
      <w:r w:rsidRPr="00477D51">
        <w:rPr>
          <w:rFonts w:cstheme="majorBidi"/>
        </w:rPr>
        <w:t xml:space="preserve"> µm, indicating smaller and more stable colloidal particles. In contrast, at the lower dilution ratio (1:5), the peak shifts toward larger sizes (around </w:t>
      </w:r>
      <w:r w:rsidRPr="00477D51">
        <w:rPr>
          <w:rFonts w:cstheme="majorBidi" w:hint="cs"/>
          <w:rtl/>
        </w:rPr>
        <w:t>2.7</w:t>
      </w:r>
      <w:r w:rsidRPr="00477D51">
        <w:rPr>
          <w:rFonts w:cstheme="majorBidi"/>
        </w:rPr>
        <w:t xml:space="preserve"> µm), and the distribution becomes broader, suggesting increased aggregation. This shift reflects the influence of </w:t>
      </w:r>
      <w:proofErr w:type="spellStart"/>
      <w:r w:rsidRPr="00477D51">
        <w:rPr>
          <w:rFonts w:cstheme="majorBidi"/>
        </w:rPr>
        <w:t>heptol</w:t>
      </w:r>
      <w:proofErr w:type="spellEnd"/>
      <w:r w:rsidRPr="00477D51">
        <w:rPr>
          <w:rFonts w:cstheme="majorBidi"/>
        </w:rPr>
        <w:t xml:space="preserve"> ratio on </w:t>
      </w:r>
      <w:proofErr w:type="spellStart"/>
      <w:r w:rsidRPr="00477D51">
        <w:rPr>
          <w:rFonts w:cstheme="majorBidi"/>
        </w:rPr>
        <w:t>asphaltene</w:t>
      </w:r>
      <w:proofErr w:type="spellEnd"/>
      <w:r w:rsidRPr="00477D51">
        <w:rPr>
          <w:rFonts w:cstheme="majorBidi"/>
        </w:rPr>
        <w:t xml:space="preserve"> behavior—higher ratio leads to enhanced particle coalescence and growth</w:t>
      </w:r>
      <w:r w:rsidRPr="00477D51">
        <w:rPr>
          <w:rFonts w:cs="Times New Roman"/>
          <w:rtl/>
        </w:rPr>
        <w:t>.</w:t>
      </w:r>
    </w:p>
    <w:p w14:paraId="2F80959E" w14:textId="77777777" w:rsidR="003D08BA" w:rsidRPr="00477D51" w:rsidRDefault="003D08BA" w:rsidP="003D08BA">
      <w:pPr>
        <w:tabs>
          <w:tab w:val="left" w:pos="5438"/>
        </w:tabs>
        <w:bidi w:val="0"/>
        <w:spacing w:after="120" w:line="240" w:lineRule="auto"/>
        <w:rPr>
          <w:rFonts w:cstheme="minorHAnsi"/>
        </w:rPr>
      </w:pPr>
    </w:p>
    <w:p w14:paraId="1924E3E0" w14:textId="77777777" w:rsidR="00936D68" w:rsidRPr="00477D51" w:rsidRDefault="00936D68" w:rsidP="003264FB">
      <w:pPr>
        <w:tabs>
          <w:tab w:val="left" w:pos="5438"/>
        </w:tabs>
        <w:spacing w:after="120" w:line="240" w:lineRule="auto"/>
        <w:rPr>
          <w:rFonts w:cstheme="minorHAnsi"/>
          <w:rtl/>
        </w:rPr>
      </w:pPr>
    </w:p>
    <w:sdt>
      <w:sdtPr>
        <w:rPr>
          <w:rFonts w:asciiTheme="minorHAnsi" w:eastAsiaTheme="minorEastAsia" w:hAnsiTheme="minorHAnsi" w:cstheme="minorBidi"/>
          <w:b w:val="0"/>
          <w:bCs w:val="0"/>
          <w:color w:val="auto"/>
          <w:sz w:val="22"/>
          <w:szCs w:val="22"/>
          <w:lang w:bidi="fa-IR"/>
        </w:rPr>
        <w:id w:val="440884351"/>
        <w:docPartObj>
          <w:docPartGallery w:val="Bibliographies"/>
          <w:docPartUnique/>
        </w:docPartObj>
      </w:sdtPr>
      <w:sdtEndPr>
        <w:rPr>
          <w:rtl/>
        </w:rPr>
      </w:sdtEndPr>
      <w:sdtContent>
        <w:p w14:paraId="34044E17" w14:textId="13024F82" w:rsidR="00D47A28" w:rsidRPr="00477D51" w:rsidRDefault="00D47A28">
          <w:pPr>
            <w:pStyle w:val="Heading1"/>
            <w:rPr>
              <w:rFonts w:asciiTheme="minorHAnsi" w:hAnsiTheme="minorHAnsi" w:cstheme="minorHAnsi"/>
              <w:color w:val="auto"/>
              <w:sz w:val="24"/>
              <w:szCs w:val="24"/>
            </w:rPr>
          </w:pPr>
          <w:r w:rsidRPr="00477D51">
            <w:rPr>
              <w:rFonts w:asciiTheme="minorHAnsi" w:hAnsiTheme="minorHAnsi" w:cstheme="minorHAnsi"/>
              <w:color w:val="auto"/>
              <w:sz w:val="24"/>
              <w:szCs w:val="24"/>
            </w:rPr>
            <w:t>References</w:t>
          </w:r>
        </w:p>
        <w:sdt>
          <w:sdtPr>
            <w:rPr>
              <w:rFonts w:asciiTheme="majorBidi" w:hAnsiTheme="majorBidi" w:cstheme="majorBidi"/>
              <w:rtl/>
            </w:rPr>
            <w:id w:val="-573587230"/>
            <w:bibliography/>
          </w:sdtPr>
          <w:sdtEndPr>
            <w:rPr>
              <w:rFonts w:asciiTheme="minorHAnsi" w:hAnsiTheme="minorHAnsi" w:cstheme="minorBidi"/>
            </w:rPr>
          </w:sdtEndPr>
          <w:sdtContent>
            <w:p w14:paraId="1B51E18C" w14:textId="77777777" w:rsidR="00DC7572" w:rsidRPr="00477D51" w:rsidRDefault="00D47A28">
              <w:pPr>
                <w:rPr>
                  <w:noProof/>
                </w:rPr>
              </w:pPr>
              <w:r w:rsidRPr="00477D51">
                <w:rPr>
                  <w:rFonts w:asciiTheme="majorBidi" w:hAnsiTheme="majorBidi" w:cstheme="majorBidi"/>
                </w:rPr>
                <w:fldChar w:fldCharType="begin"/>
              </w:r>
              <w:r w:rsidRPr="00477D51">
                <w:rPr>
                  <w:rFonts w:asciiTheme="majorBidi" w:hAnsiTheme="majorBidi" w:cstheme="majorBidi"/>
                </w:rPr>
                <w:instrText xml:space="preserve"> BIBLIOGRAPHY </w:instrText>
              </w:r>
              <w:r w:rsidRPr="00477D51">
                <w:rPr>
                  <w:rFonts w:asciiTheme="majorBidi" w:hAnsiTheme="majorBidi" w:cstheme="majorBidi"/>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33"/>
                <w:gridCol w:w="8593"/>
              </w:tblGrid>
              <w:tr w:rsidR="00DC7572" w:rsidRPr="00477D51" w14:paraId="7F092922" w14:textId="77777777" w:rsidTr="00DC7572">
                <w:trPr>
                  <w:divId w:val="161087673"/>
                  <w:tblCellSpacing w:w="15" w:type="dxa"/>
                </w:trPr>
                <w:tc>
                  <w:tcPr>
                    <w:tcW w:w="215" w:type="pct"/>
                    <w:hideMark/>
                  </w:tcPr>
                  <w:p w14:paraId="40449833" w14:textId="1422EFB0" w:rsidR="00DC7572" w:rsidRPr="00477D51" w:rsidRDefault="00DC7572">
                    <w:pPr>
                      <w:pStyle w:val="Bibliography"/>
                      <w:bidi w:val="0"/>
                      <w:rPr>
                        <w:noProof/>
                        <w:sz w:val="24"/>
                        <w:szCs w:val="24"/>
                      </w:rPr>
                    </w:pPr>
                    <w:r w:rsidRPr="00477D51">
                      <w:rPr>
                        <w:noProof/>
                      </w:rPr>
                      <w:t xml:space="preserve">[1] </w:t>
                    </w:r>
                  </w:p>
                </w:tc>
                <w:tc>
                  <w:tcPr>
                    <w:tcW w:w="0" w:type="auto"/>
                    <w:hideMark/>
                  </w:tcPr>
                  <w:p w14:paraId="228FBB17" w14:textId="77777777" w:rsidR="00DC7572" w:rsidRPr="00477D51" w:rsidRDefault="00DC7572">
                    <w:pPr>
                      <w:pStyle w:val="Bibliography"/>
                      <w:bidi w:val="0"/>
                      <w:rPr>
                        <w:noProof/>
                      </w:rPr>
                    </w:pPr>
                    <w:r w:rsidRPr="00477D51">
                      <w:rPr>
                        <w:noProof/>
                      </w:rPr>
                      <w:t xml:space="preserve">N. M. a. W. Y. B. a. o. Razali, "Power comparisons of shapiro-wilk, kolmogorov-smirnov, lilliefors and anderson-darling tests," </w:t>
                    </w:r>
                    <w:r w:rsidRPr="00477D51">
                      <w:rPr>
                        <w:i/>
                        <w:iCs/>
                        <w:noProof/>
                      </w:rPr>
                      <w:t xml:space="preserve">Journal of statistical modeling and analytics, </w:t>
                    </w:r>
                    <w:r w:rsidRPr="00477D51">
                      <w:rPr>
                        <w:noProof/>
                      </w:rPr>
                      <w:t xml:space="preserve">pp. 21--33, 2011. </w:t>
                    </w:r>
                  </w:p>
                </w:tc>
              </w:tr>
              <w:tr w:rsidR="00DC7572" w:rsidRPr="00477D51" w14:paraId="0EFBD296" w14:textId="77777777" w:rsidTr="00DC7572">
                <w:trPr>
                  <w:divId w:val="161087673"/>
                  <w:tblCellSpacing w:w="15" w:type="dxa"/>
                </w:trPr>
                <w:tc>
                  <w:tcPr>
                    <w:tcW w:w="215" w:type="pct"/>
                    <w:hideMark/>
                  </w:tcPr>
                  <w:p w14:paraId="1D7BFE02" w14:textId="77777777" w:rsidR="00DC7572" w:rsidRPr="00477D51" w:rsidRDefault="00DC7572">
                    <w:pPr>
                      <w:pStyle w:val="Bibliography"/>
                      <w:bidi w:val="0"/>
                      <w:rPr>
                        <w:noProof/>
                      </w:rPr>
                    </w:pPr>
                    <w:r w:rsidRPr="00477D51">
                      <w:rPr>
                        <w:noProof/>
                      </w:rPr>
                      <w:t xml:space="preserve">[2] </w:t>
                    </w:r>
                  </w:p>
                </w:tc>
                <w:tc>
                  <w:tcPr>
                    <w:tcW w:w="0" w:type="auto"/>
                    <w:hideMark/>
                  </w:tcPr>
                  <w:p w14:paraId="38CC418F" w14:textId="77777777" w:rsidR="00DC7572" w:rsidRPr="00477D51" w:rsidRDefault="00DC7572">
                    <w:pPr>
                      <w:pStyle w:val="Bibliography"/>
                      <w:bidi w:val="0"/>
                      <w:rPr>
                        <w:noProof/>
                      </w:rPr>
                    </w:pPr>
                    <w:r w:rsidRPr="00477D51">
                      <w:rPr>
                        <w:noProof/>
                      </w:rPr>
                      <w:t xml:space="preserve">H. Levene, "Robust tests for equality of variances. In Contributions to Probability and Statistics: Essays in Honor of Harold Hotelling," pp. 278-292, 1960. </w:t>
                    </w:r>
                  </w:p>
                </w:tc>
              </w:tr>
              <w:tr w:rsidR="00DC7572" w:rsidRPr="00477D51" w14:paraId="54E4626C" w14:textId="77777777" w:rsidTr="00DC7572">
                <w:trPr>
                  <w:divId w:val="161087673"/>
                  <w:tblCellSpacing w:w="15" w:type="dxa"/>
                </w:trPr>
                <w:tc>
                  <w:tcPr>
                    <w:tcW w:w="215" w:type="pct"/>
                    <w:hideMark/>
                  </w:tcPr>
                  <w:p w14:paraId="6DCA6A7A" w14:textId="77777777" w:rsidR="00DC7572" w:rsidRPr="00477D51" w:rsidRDefault="00DC7572">
                    <w:pPr>
                      <w:pStyle w:val="Bibliography"/>
                      <w:bidi w:val="0"/>
                      <w:rPr>
                        <w:noProof/>
                      </w:rPr>
                    </w:pPr>
                    <w:r w:rsidRPr="00477D51">
                      <w:rPr>
                        <w:noProof/>
                      </w:rPr>
                      <w:t xml:space="preserve">[3] </w:t>
                    </w:r>
                  </w:p>
                </w:tc>
                <w:tc>
                  <w:tcPr>
                    <w:tcW w:w="0" w:type="auto"/>
                    <w:hideMark/>
                  </w:tcPr>
                  <w:p w14:paraId="0963CE0C" w14:textId="77777777" w:rsidR="00DC7572" w:rsidRPr="00477D51" w:rsidRDefault="00DC7572">
                    <w:pPr>
                      <w:pStyle w:val="Bibliography"/>
                      <w:bidi w:val="0"/>
                      <w:rPr>
                        <w:noProof/>
                      </w:rPr>
                    </w:pPr>
                    <w:r w:rsidRPr="00477D51">
                      <w:rPr>
                        <w:noProof/>
                      </w:rPr>
                      <w:t xml:space="preserve">P. E. a. N. J. McKnight, "Mann-Whitney U Test," </w:t>
                    </w:r>
                    <w:r w:rsidRPr="00477D51">
                      <w:rPr>
                        <w:i/>
                        <w:iCs/>
                        <w:noProof/>
                      </w:rPr>
                      <w:t xml:space="preserve">Wiley Online Library, </w:t>
                    </w:r>
                    <w:r w:rsidRPr="00477D51">
                      <w:rPr>
                        <w:noProof/>
                      </w:rPr>
                      <w:t xml:space="preserve">pp. 1--1, 2010. </w:t>
                    </w:r>
                  </w:p>
                </w:tc>
              </w:tr>
              <w:tr w:rsidR="00DC7572" w:rsidRPr="00477D51" w14:paraId="5328BAD8" w14:textId="77777777" w:rsidTr="00DC7572">
                <w:trPr>
                  <w:divId w:val="161087673"/>
                  <w:tblCellSpacing w:w="15" w:type="dxa"/>
                </w:trPr>
                <w:tc>
                  <w:tcPr>
                    <w:tcW w:w="215" w:type="pct"/>
                    <w:hideMark/>
                  </w:tcPr>
                  <w:p w14:paraId="58A0AEB0" w14:textId="77777777" w:rsidR="00DC7572" w:rsidRPr="00477D51" w:rsidRDefault="00DC7572">
                    <w:pPr>
                      <w:pStyle w:val="Bibliography"/>
                      <w:bidi w:val="0"/>
                      <w:rPr>
                        <w:noProof/>
                      </w:rPr>
                    </w:pPr>
                    <w:r w:rsidRPr="00477D51">
                      <w:rPr>
                        <w:noProof/>
                      </w:rPr>
                      <w:t xml:space="preserve">[4] </w:t>
                    </w:r>
                  </w:p>
                </w:tc>
                <w:tc>
                  <w:tcPr>
                    <w:tcW w:w="0" w:type="auto"/>
                    <w:hideMark/>
                  </w:tcPr>
                  <w:p w14:paraId="275A6D88" w14:textId="77777777" w:rsidR="00DC7572" w:rsidRPr="00477D51" w:rsidRDefault="00DC7572">
                    <w:pPr>
                      <w:pStyle w:val="Bibliography"/>
                      <w:bidi w:val="0"/>
                      <w:rPr>
                        <w:noProof/>
                      </w:rPr>
                    </w:pPr>
                    <w:r w:rsidRPr="00477D51">
                      <w:rPr>
                        <w:noProof/>
                      </w:rPr>
                      <w:t xml:space="preserve">W. H. a. W. W. A. Kruskal, "Use of ranks in one-criterion variance analysis," </w:t>
                    </w:r>
                    <w:r w:rsidRPr="00477D51">
                      <w:rPr>
                        <w:i/>
                        <w:iCs/>
                        <w:noProof/>
                      </w:rPr>
                      <w:t xml:space="preserve">Journal of the American statistical Association, </w:t>
                    </w:r>
                    <w:r w:rsidRPr="00477D51">
                      <w:rPr>
                        <w:noProof/>
                      </w:rPr>
                      <w:t xml:space="preserve">pp. 583--621, 1952. </w:t>
                    </w:r>
                  </w:p>
                </w:tc>
              </w:tr>
              <w:tr w:rsidR="00DC7572" w:rsidRPr="00477D51" w14:paraId="61A96417" w14:textId="77777777" w:rsidTr="00DC7572">
                <w:trPr>
                  <w:divId w:val="161087673"/>
                  <w:tblCellSpacing w:w="15" w:type="dxa"/>
                </w:trPr>
                <w:tc>
                  <w:tcPr>
                    <w:tcW w:w="215" w:type="pct"/>
                    <w:hideMark/>
                  </w:tcPr>
                  <w:p w14:paraId="5C94D266" w14:textId="77777777" w:rsidR="00DC7572" w:rsidRPr="00477D51" w:rsidRDefault="00DC7572">
                    <w:pPr>
                      <w:pStyle w:val="Bibliography"/>
                      <w:bidi w:val="0"/>
                      <w:rPr>
                        <w:noProof/>
                      </w:rPr>
                    </w:pPr>
                    <w:r w:rsidRPr="00477D51">
                      <w:rPr>
                        <w:noProof/>
                      </w:rPr>
                      <w:t xml:space="preserve">[5] </w:t>
                    </w:r>
                  </w:p>
                </w:tc>
                <w:tc>
                  <w:tcPr>
                    <w:tcW w:w="0" w:type="auto"/>
                    <w:hideMark/>
                  </w:tcPr>
                  <w:p w14:paraId="54587C67" w14:textId="77777777" w:rsidR="00DC7572" w:rsidRPr="00477D51" w:rsidRDefault="00DC7572">
                    <w:pPr>
                      <w:pStyle w:val="Bibliography"/>
                      <w:bidi w:val="0"/>
                      <w:rPr>
                        <w:noProof/>
                      </w:rPr>
                    </w:pPr>
                    <w:r w:rsidRPr="00477D51">
                      <w:rPr>
                        <w:noProof/>
                      </w:rPr>
                      <w:t xml:space="preserve">W. S. Cleveland, "Robust locally weighted regression and smoothing scatterplots," </w:t>
                    </w:r>
                    <w:r w:rsidRPr="00477D51">
                      <w:rPr>
                        <w:i/>
                        <w:iCs/>
                        <w:noProof/>
                      </w:rPr>
                      <w:t xml:space="preserve">Journal of the American statistical association, </w:t>
                    </w:r>
                    <w:r w:rsidRPr="00477D51">
                      <w:rPr>
                        <w:noProof/>
                      </w:rPr>
                      <w:t xml:space="preserve">pp. 829--836, 1979. </w:t>
                    </w:r>
                  </w:p>
                </w:tc>
              </w:tr>
              <w:tr w:rsidR="00DC7572" w:rsidRPr="00477D51" w14:paraId="5FFB7A24" w14:textId="77777777" w:rsidTr="00DC7572">
                <w:trPr>
                  <w:divId w:val="161087673"/>
                  <w:tblCellSpacing w:w="15" w:type="dxa"/>
                </w:trPr>
                <w:tc>
                  <w:tcPr>
                    <w:tcW w:w="215" w:type="pct"/>
                    <w:hideMark/>
                  </w:tcPr>
                  <w:p w14:paraId="16870AA5" w14:textId="3B73D535" w:rsidR="00DC7572" w:rsidRPr="00477D51" w:rsidRDefault="00DC7572">
                    <w:pPr>
                      <w:pStyle w:val="Bibliography"/>
                      <w:bidi w:val="0"/>
                      <w:rPr>
                        <w:noProof/>
                        <w:sz w:val="24"/>
                        <w:szCs w:val="24"/>
                      </w:rPr>
                    </w:pPr>
                    <w:r w:rsidRPr="00477D51">
                      <w:rPr>
                        <w:noProof/>
                      </w:rPr>
                      <w:t xml:space="preserve">[6] </w:t>
                    </w:r>
                  </w:p>
                </w:tc>
                <w:tc>
                  <w:tcPr>
                    <w:tcW w:w="0" w:type="auto"/>
                    <w:hideMark/>
                  </w:tcPr>
                  <w:p w14:paraId="55B01AA8" w14:textId="77777777" w:rsidR="00DC7572" w:rsidRPr="00477D51" w:rsidRDefault="00DC7572">
                    <w:pPr>
                      <w:pStyle w:val="Bibliography"/>
                      <w:bidi w:val="0"/>
                      <w:rPr>
                        <w:noProof/>
                      </w:rPr>
                    </w:pPr>
                    <w:r w:rsidRPr="00477D51">
                      <w:rPr>
                        <w:noProof/>
                      </w:rPr>
                      <w:t xml:space="preserve">P. a. C. W. a. T. B. Newbold, Statistics for Business and Economics, Pearson Education, 2012. </w:t>
                    </w:r>
                  </w:p>
                </w:tc>
              </w:tr>
              <w:tr w:rsidR="00DC7572" w:rsidRPr="00477D51" w14:paraId="78632366" w14:textId="77777777" w:rsidTr="00DC7572">
                <w:trPr>
                  <w:divId w:val="161087673"/>
                  <w:tblCellSpacing w:w="15" w:type="dxa"/>
                </w:trPr>
                <w:tc>
                  <w:tcPr>
                    <w:tcW w:w="215" w:type="pct"/>
                    <w:hideMark/>
                  </w:tcPr>
                  <w:p w14:paraId="4D89B27C" w14:textId="254F6241" w:rsidR="00DC7572" w:rsidRPr="00477D51" w:rsidRDefault="00DC7572">
                    <w:pPr>
                      <w:pStyle w:val="Bibliography"/>
                      <w:bidi w:val="0"/>
                      <w:rPr>
                        <w:noProof/>
                      </w:rPr>
                    </w:pPr>
                    <w:r w:rsidRPr="00477D51">
                      <w:rPr>
                        <w:noProof/>
                      </w:rPr>
                      <w:t xml:space="preserve">[7] </w:t>
                    </w:r>
                  </w:p>
                </w:tc>
                <w:tc>
                  <w:tcPr>
                    <w:tcW w:w="0" w:type="auto"/>
                    <w:hideMark/>
                  </w:tcPr>
                  <w:p w14:paraId="36911F1B" w14:textId="77777777" w:rsidR="00DC7572" w:rsidRPr="00477D51" w:rsidRDefault="00DC7572">
                    <w:pPr>
                      <w:pStyle w:val="Bibliography"/>
                      <w:bidi w:val="0"/>
                      <w:rPr>
                        <w:noProof/>
                      </w:rPr>
                    </w:pPr>
                    <w:r w:rsidRPr="00477D51">
                      <w:rPr>
                        <w:noProof/>
                      </w:rPr>
                      <w:t xml:space="preserve">M. a. B. F. a. Q. D. a. D. F. a. v. d. B. D. a. M. M. a. L. A. a. W. E.-J. Maier, "Model-averaged Bayesian T-tests," </w:t>
                    </w:r>
                    <w:r w:rsidRPr="00477D51">
                      <w:rPr>
                        <w:i/>
                        <w:iCs/>
                        <w:noProof/>
                      </w:rPr>
                      <w:t xml:space="preserve">PsyArXiv, </w:t>
                    </w:r>
                    <w:r w:rsidRPr="00477D51">
                      <w:rPr>
                        <w:noProof/>
                      </w:rPr>
                      <w:t xml:space="preserve">2022. </w:t>
                    </w:r>
                  </w:p>
                </w:tc>
              </w:tr>
              <w:tr w:rsidR="00DC7572" w:rsidRPr="00477D51" w14:paraId="09D2C8A7" w14:textId="77777777" w:rsidTr="00DC7572">
                <w:trPr>
                  <w:divId w:val="161087673"/>
                  <w:tblCellSpacing w:w="15" w:type="dxa"/>
                </w:trPr>
                <w:tc>
                  <w:tcPr>
                    <w:tcW w:w="215" w:type="pct"/>
                    <w:hideMark/>
                  </w:tcPr>
                  <w:p w14:paraId="0E520308" w14:textId="4ED5DE8F" w:rsidR="00DC7572" w:rsidRPr="00477D51" w:rsidRDefault="00DC7572">
                    <w:pPr>
                      <w:pStyle w:val="Bibliography"/>
                      <w:bidi w:val="0"/>
                      <w:rPr>
                        <w:noProof/>
                      </w:rPr>
                    </w:pPr>
                    <w:r w:rsidRPr="00477D51">
                      <w:rPr>
                        <w:noProof/>
                      </w:rPr>
                      <w:t xml:space="preserve">[8] </w:t>
                    </w:r>
                  </w:p>
                </w:tc>
                <w:tc>
                  <w:tcPr>
                    <w:tcW w:w="0" w:type="auto"/>
                    <w:hideMark/>
                  </w:tcPr>
                  <w:p w14:paraId="7B4B10DC" w14:textId="77777777" w:rsidR="00DC7572" w:rsidRPr="00477D51" w:rsidRDefault="00DC7572">
                    <w:pPr>
                      <w:pStyle w:val="Bibliography"/>
                      <w:bidi w:val="0"/>
                      <w:rPr>
                        <w:noProof/>
                      </w:rPr>
                    </w:pPr>
                    <w:r w:rsidRPr="00477D51">
                      <w:rPr>
                        <w:noProof/>
                      </w:rPr>
                      <w:t xml:space="preserve">M. H. a. N. C. J. a. N. J. a. L. W. Kutner, Applied linear statistical models, McGraw-hill, 2005. </w:t>
                    </w:r>
                  </w:p>
                </w:tc>
              </w:tr>
              <w:tr w:rsidR="00DC7572" w:rsidRPr="00477D51" w14:paraId="19A72994" w14:textId="77777777" w:rsidTr="00DC7572">
                <w:trPr>
                  <w:divId w:val="161087673"/>
                  <w:tblCellSpacing w:w="15" w:type="dxa"/>
                </w:trPr>
                <w:tc>
                  <w:tcPr>
                    <w:tcW w:w="215" w:type="pct"/>
                    <w:hideMark/>
                  </w:tcPr>
                  <w:p w14:paraId="7668648A" w14:textId="7839C43A" w:rsidR="00DC7572" w:rsidRPr="00477D51" w:rsidRDefault="00DC7572">
                    <w:pPr>
                      <w:pStyle w:val="Bibliography"/>
                      <w:bidi w:val="0"/>
                      <w:rPr>
                        <w:noProof/>
                      </w:rPr>
                    </w:pPr>
                    <w:r w:rsidRPr="00477D51">
                      <w:rPr>
                        <w:noProof/>
                      </w:rPr>
                      <w:t xml:space="preserve">[9] </w:t>
                    </w:r>
                  </w:p>
                </w:tc>
                <w:tc>
                  <w:tcPr>
                    <w:tcW w:w="0" w:type="auto"/>
                    <w:hideMark/>
                  </w:tcPr>
                  <w:p w14:paraId="1DE5F2FA" w14:textId="77777777" w:rsidR="00DC7572" w:rsidRPr="00477D51" w:rsidRDefault="00DC7572">
                    <w:pPr>
                      <w:pStyle w:val="Bibliography"/>
                      <w:bidi w:val="0"/>
                      <w:rPr>
                        <w:noProof/>
                      </w:rPr>
                    </w:pPr>
                    <w:r w:rsidRPr="00477D51">
                      <w:rPr>
                        <w:noProof/>
                      </w:rPr>
                      <w:t xml:space="preserve">W. a. Q. Y. Zhang, "ANOVA-nSTAT: ANOVA methodology and computational tools in the paradigm of new statistics," </w:t>
                    </w:r>
                    <w:r w:rsidRPr="00477D51">
                      <w:rPr>
                        <w:i/>
                        <w:iCs/>
                        <w:noProof/>
                      </w:rPr>
                      <w:t xml:space="preserve">Computational Ecology and Software, </w:t>
                    </w:r>
                    <w:r w:rsidRPr="00477D51">
                      <w:rPr>
                        <w:noProof/>
                      </w:rPr>
                      <w:t xml:space="preserve">pp. 48--67, 2024. </w:t>
                    </w:r>
                  </w:p>
                </w:tc>
              </w:tr>
              <w:tr w:rsidR="00DC7572" w:rsidRPr="00477D51" w14:paraId="5198FAAB" w14:textId="77777777" w:rsidTr="00DC7572">
                <w:trPr>
                  <w:divId w:val="161087673"/>
                  <w:tblCellSpacing w:w="15" w:type="dxa"/>
                </w:trPr>
                <w:tc>
                  <w:tcPr>
                    <w:tcW w:w="215" w:type="pct"/>
                    <w:hideMark/>
                  </w:tcPr>
                  <w:p w14:paraId="3CF2D48E" w14:textId="6FDD90BA" w:rsidR="00DC7572" w:rsidRPr="00477D51" w:rsidRDefault="00DC7572">
                    <w:pPr>
                      <w:pStyle w:val="Bibliography"/>
                      <w:bidi w:val="0"/>
                      <w:rPr>
                        <w:noProof/>
                      </w:rPr>
                    </w:pPr>
                    <w:r w:rsidRPr="00477D51">
                      <w:rPr>
                        <w:noProof/>
                      </w:rPr>
                      <w:t xml:space="preserve">[10] </w:t>
                    </w:r>
                  </w:p>
                </w:tc>
                <w:tc>
                  <w:tcPr>
                    <w:tcW w:w="0" w:type="auto"/>
                    <w:hideMark/>
                  </w:tcPr>
                  <w:p w14:paraId="4AD1117E" w14:textId="77777777" w:rsidR="00DC7572" w:rsidRPr="00477D51" w:rsidRDefault="00DC7572">
                    <w:pPr>
                      <w:pStyle w:val="Bibliography"/>
                      <w:bidi w:val="0"/>
                      <w:rPr>
                        <w:noProof/>
                      </w:rPr>
                    </w:pPr>
                    <w:r w:rsidRPr="00477D51">
                      <w:rPr>
                        <w:noProof/>
                      </w:rPr>
                      <w:t xml:space="preserve">M. E. a. M. K. L. O'Neill, "A comparison of five bootstrap and non-bootstrap levene-type tests of homogeneity of variances," </w:t>
                    </w:r>
                    <w:r w:rsidRPr="00477D51">
                      <w:rPr>
                        <w:i/>
                        <w:iCs/>
                        <w:noProof/>
                      </w:rPr>
                      <w:t xml:space="preserve">Iranian Journal of Science and Technology, Transactions A: Science, </w:t>
                    </w:r>
                    <w:r w:rsidRPr="00477D51">
                      <w:rPr>
                        <w:noProof/>
                      </w:rPr>
                      <w:t xml:space="preserve">pp. 979--989, 2019. </w:t>
                    </w:r>
                  </w:p>
                </w:tc>
              </w:tr>
            </w:tbl>
            <w:p w14:paraId="74D56189" w14:textId="77777777" w:rsidR="00DC7572" w:rsidRPr="00477D51" w:rsidRDefault="00DC7572">
              <w:pPr>
                <w:bidi w:val="0"/>
                <w:divId w:val="161087673"/>
                <w:rPr>
                  <w:rFonts w:eastAsia="Times New Roman"/>
                  <w:noProof/>
                </w:rPr>
              </w:pPr>
            </w:p>
            <w:p w14:paraId="24349C34" w14:textId="13024F82" w:rsidR="00D47A28" w:rsidRDefault="00D47A28">
              <w:r w:rsidRPr="00477D51">
                <w:rPr>
                  <w:rFonts w:asciiTheme="majorBidi" w:hAnsiTheme="majorBidi" w:cstheme="majorBidi"/>
                  <w:b/>
                  <w:bCs/>
                  <w:noProof/>
                </w:rPr>
                <w:lastRenderedPageBreak/>
                <w:fldChar w:fldCharType="end"/>
              </w:r>
            </w:p>
          </w:sdtContent>
        </w:sdt>
      </w:sdtContent>
    </w:sdt>
    <w:p w14:paraId="060AD87D" w14:textId="6C2DCC52" w:rsidR="00CE156F" w:rsidRDefault="00CE156F" w:rsidP="00D47A28">
      <w:pPr>
        <w:pStyle w:val="Heading1"/>
      </w:pPr>
    </w:p>
    <w:p w14:paraId="7E5BB200" w14:textId="77777777" w:rsidR="00C71835" w:rsidRDefault="00C71835" w:rsidP="00C71835">
      <w:pPr>
        <w:bidi w:val="0"/>
        <w:rPr>
          <w:rFonts w:asciiTheme="majorBidi" w:hAnsiTheme="majorBidi" w:cstheme="majorBidi"/>
          <w:b/>
          <w:bCs/>
          <w:sz w:val="24"/>
          <w:szCs w:val="24"/>
        </w:rPr>
      </w:pPr>
    </w:p>
    <w:p w14:paraId="1EC894C6" w14:textId="77777777" w:rsidR="00C71835" w:rsidRPr="001F77D5" w:rsidRDefault="00C71835" w:rsidP="00C71835">
      <w:pPr>
        <w:bidi w:val="0"/>
        <w:rPr>
          <w:rFonts w:asciiTheme="majorBidi" w:hAnsiTheme="majorBidi" w:cstheme="majorBidi"/>
          <w:b/>
          <w:bCs/>
          <w:sz w:val="24"/>
          <w:szCs w:val="24"/>
        </w:rPr>
      </w:pPr>
      <w:bookmarkStart w:id="2" w:name="_GoBack"/>
      <w:bookmarkEnd w:id="2"/>
    </w:p>
    <w:sectPr w:rsidR="00C71835" w:rsidRPr="001F77D5" w:rsidSect="00CD5275">
      <w:footerReference w:type="default" r:id="rId16"/>
      <w:pgSz w:w="11906" w:h="16838"/>
      <w:pgMar w:top="162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6FA624" w14:textId="77777777" w:rsidR="00E8257C" w:rsidRDefault="00E8257C" w:rsidP="00EF6105">
      <w:pPr>
        <w:spacing w:after="0" w:line="240" w:lineRule="auto"/>
      </w:pPr>
      <w:r>
        <w:separator/>
      </w:r>
    </w:p>
  </w:endnote>
  <w:endnote w:type="continuationSeparator" w:id="0">
    <w:p w14:paraId="164EFF15" w14:textId="77777777" w:rsidR="00E8257C" w:rsidRDefault="00E8257C" w:rsidP="00EF6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B Nazanin">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39424048"/>
      <w:docPartObj>
        <w:docPartGallery w:val="Page Numbers (Bottom of Page)"/>
        <w:docPartUnique/>
      </w:docPartObj>
    </w:sdtPr>
    <w:sdtEndPr/>
    <w:sdtContent>
      <w:p w14:paraId="4BDA60AE" w14:textId="6EDBF017" w:rsidR="00B0359F" w:rsidRDefault="00B0359F">
        <w:pPr>
          <w:pStyle w:val="Footer"/>
          <w:jc w:val="center"/>
          <w:rPr>
            <w:rtl/>
          </w:rPr>
        </w:pPr>
        <w:r w:rsidRPr="00B0359F">
          <w:rPr>
            <w:rFonts w:asciiTheme="majorBidi" w:hAnsiTheme="majorBidi" w:cstheme="majorBidi"/>
          </w:rPr>
          <w:fldChar w:fldCharType="begin"/>
        </w:r>
        <w:r w:rsidRPr="00B0359F">
          <w:rPr>
            <w:rFonts w:asciiTheme="majorBidi" w:hAnsiTheme="majorBidi" w:cstheme="majorBidi"/>
          </w:rPr>
          <w:instrText xml:space="preserve"> PAGE   \* MERGEFORMAT </w:instrText>
        </w:r>
        <w:r w:rsidRPr="00B0359F">
          <w:rPr>
            <w:rFonts w:asciiTheme="majorBidi" w:hAnsiTheme="majorBidi" w:cstheme="majorBidi"/>
          </w:rPr>
          <w:fldChar w:fldCharType="separate"/>
        </w:r>
        <w:r w:rsidR="00477D51">
          <w:rPr>
            <w:rFonts w:asciiTheme="majorBidi" w:hAnsiTheme="majorBidi" w:cstheme="majorBidi"/>
            <w:noProof/>
          </w:rPr>
          <w:t>13</w:t>
        </w:r>
        <w:r w:rsidRPr="00B0359F">
          <w:rPr>
            <w:rFonts w:asciiTheme="majorBidi" w:hAnsiTheme="majorBidi" w:cstheme="majorBidi"/>
            <w:noProof/>
          </w:rPr>
          <w:fldChar w:fldCharType="end"/>
        </w:r>
      </w:p>
    </w:sdtContent>
  </w:sdt>
  <w:p w14:paraId="13BBD8E4" w14:textId="77777777" w:rsidR="007B4C68" w:rsidRDefault="007B4C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931C1" w14:textId="77777777" w:rsidR="00E8257C" w:rsidRDefault="00E8257C" w:rsidP="00EF6105">
      <w:pPr>
        <w:spacing w:after="0" w:line="240" w:lineRule="auto"/>
      </w:pPr>
      <w:r>
        <w:separator/>
      </w:r>
    </w:p>
  </w:footnote>
  <w:footnote w:type="continuationSeparator" w:id="0">
    <w:p w14:paraId="352A3A99" w14:textId="77777777" w:rsidR="00E8257C" w:rsidRDefault="00E8257C" w:rsidP="00EF61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60806"/>
    <w:multiLevelType w:val="multilevel"/>
    <w:tmpl w:val="F6720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60779"/>
    <w:multiLevelType w:val="hybridMultilevel"/>
    <w:tmpl w:val="B218BD08"/>
    <w:lvl w:ilvl="0" w:tplc="4C3C00D6">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CE0114"/>
    <w:multiLevelType w:val="multilevel"/>
    <w:tmpl w:val="287C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24D4D"/>
    <w:multiLevelType w:val="multilevel"/>
    <w:tmpl w:val="A8FC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9B73C5"/>
    <w:multiLevelType w:val="hybridMultilevel"/>
    <w:tmpl w:val="46F0B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D2024"/>
    <w:multiLevelType w:val="hybridMultilevel"/>
    <w:tmpl w:val="7954E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E26309B"/>
    <w:multiLevelType w:val="multilevel"/>
    <w:tmpl w:val="5C34C766"/>
    <w:lvl w:ilvl="0">
      <w:start w:val="1"/>
      <w:numFmt w:val="decimal"/>
      <w:lvlText w:val="%1."/>
      <w:lvlJc w:val="left"/>
      <w:pPr>
        <w:tabs>
          <w:tab w:val="num" w:pos="720"/>
        </w:tabs>
        <w:ind w:left="720" w:hanging="360"/>
      </w:pPr>
      <w:rPr>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F0450B"/>
    <w:multiLevelType w:val="hybridMultilevel"/>
    <w:tmpl w:val="CF0ECB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967DF"/>
    <w:multiLevelType w:val="hybridMultilevel"/>
    <w:tmpl w:val="2346B33C"/>
    <w:lvl w:ilvl="0" w:tplc="0A666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7A245E"/>
    <w:multiLevelType w:val="hybridMultilevel"/>
    <w:tmpl w:val="AC0E439A"/>
    <w:lvl w:ilvl="0" w:tplc="31F610B0">
      <w:start w:val="1"/>
      <w:numFmt w:val="bullet"/>
      <w:lvlText w:val="-"/>
      <w:lvlJc w:val="left"/>
      <w:pPr>
        <w:ind w:left="720" w:hanging="360"/>
      </w:pPr>
      <w:rPr>
        <w:rFonts w:ascii="Arial" w:eastAsiaTheme="maj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AA7578"/>
    <w:multiLevelType w:val="hybridMultilevel"/>
    <w:tmpl w:val="A9D83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AD7FD2"/>
    <w:multiLevelType w:val="multilevel"/>
    <w:tmpl w:val="CB32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D23B21"/>
    <w:multiLevelType w:val="multilevel"/>
    <w:tmpl w:val="3728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CE6576"/>
    <w:multiLevelType w:val="hybridMultilevel"/>
    <w:tmpl w:val="B14E897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DD90C69"/>
    <w:multiLevelType w:val="hybridMultilevel"/>
    <w:tmpl w:val="7B2A97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A924A3"/>
    <w:multiLevelType w:val="multilevel"/>
    <w:tmpl w:val="9B34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4949C6"/>
    <w:multiLevelType w:val="hybridMultilevel"/>
    <w:tmpl w:val="D0980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381494"/>
    <w:multiLevelType w:val="multilevel"/>
    <w:tmpl w:val="59C68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7"/>
  </w:num>
  <w:num w:numId="4">
    <w:abstractNumId w:val="10"/>
  </w:num>
  <w:num w:numId="5">
    <w:abstractNumId w:val="14"/>
  </w:num>
  <w:num w:numId="6">
    <w:abstractNumId w:val="4"/>
  </w:num>
  <w:num w:numId="7">
    <w:abstractNumId w:val="6"/>
  </w:num>
  <w:num w:numId="8">
    <w:abstractNumId w:val="13"/>
  </w:num>
  <w:num w:numId="9">
    <w:abstractNumId w:val="1"/>
  </w:num>
  <w:num w:numId="10">
    <w:abstractNumId w:val="0"/>
  </w:num>
  <w:num w:numId="11">
    <w:abstractNumId w:val="11"/>
  </w:num>
  <w:num w:numId="12">
    <w:abstractNumId w:val="3"/>
  </w:num>
  <w:num w:numId="13">
    <w:abstractNumId w:val="15"/>
  </w:num>
  <w:num w:numId="14">
    <w:abstractNumId w:val="17"/>
  </w:num>
  <w:num w:numId="15">
    <w:abstractNumId w:val="12"/>
  </w:num>
  <w:num w:numId="16">
    <w:abstractNumId w:val="5"/>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CDD"/>
    <w:rsid w:val="000236C6"/>
    <w:rsid w:val="00023D1D"/>
    <w:rsid w:val="00024356"/>
    <w:rsid w:val="000259A1"/>
    <w:rsid w:val="00031EB5"/>
    <w:rsid w:val="00036959"/>
    <w:rsid w:val="00045F9F"/>
    <w:rsid w:val="00056A9C"/>
    <w:rsid w:val="00057124"/>
    <w:rsid w:val="00057BD3"/>
    <w:rsid w:val="000668E2"/>
    <w:rsid w:val="000820BE"/>
    <w:rsid w:val="000A6165"/>
    <w:rsid w:val="000B65D7"/>
    <w:rsid w:val="000D1283"/>
    <w:rsid w:val="000F0A09"/>
    <w:rsid w:val="000F0E69"/>
    <w:rsid w:val="000F18E6"/>
    <w:rsid w:val="000F3215"/>
    <w:rsid w:val="001127F3"/>
    <w:rsid w:val="00115166"/>
    <w:rsid w:val="00127BD8"/>
    <w:rsid w:val="001357BC"/>
    <w:rsid w:val="00136A95"/>
    <w:rsid w:val="001505C0"/>
    <w:rsid w:val="001770BA"/>
    <w:rsid w:val="0019090E"/>
    <w:rsid w:val="00191285"/>
    <w:rsid w:val="001A0098"/>
    <w:rsid w:val="001B693A"/>
    <w:rsid w:val="001D1D03"/>
    <w:rsid w:val="001F703A"/>
    <w:rsid w:val="001F77D5"/>
    <w:rsid w:val="00200DCB"/>
    <w:rsid w:val="00207955"/>
    <w:rsid w:val="00226FB2"/>
    <w:rsid w:val="00254597"/>
    <w:rsid w:val="00266834"/>
    <w:rsid w:val="00290739"/>
    <w:rsid w:val="00295B32"/>
    <w:rsid w:val="002A522B"/>
    <w:rsid w:val="002B0C76"/>
    <w:rsid w:val="002D3074"/>
    <w:rsid w:val="002E1DB3"/>
    <w:rsid w:val="002E2557"/>
    <w:rsid w:val="00311CDD"/>
    <w:rsid w:val="0032239B"/>
    <w:rsid w:val="003264FB"/>
    <w:rsid w:val="00326B49"/>
    <w:rsid w:val="00330498"/>
    <w:rsid w:val="00331A99"/>
    <w:rsid w:val="00374894"/>
    <w:rsid w:val="003901FA"/>
    <w:rsid w:val="003906AB"/>
    <w:rsid w:val="00394084"/>
    <w:rsid w:val="003A39D9"/>
    <w:rsid w:val="003D08BA"/>
    <w:rsid w:val="00413F8A"/>
    <w:rsid w:val="00417A72"/>
    <w:rsid w:val="00423838"/>
    <w:rsid w:val="00426984"/>
    <w:rsid w:val="00437896"/>
    <w:rsid w:val="00446708"/>
    <w:rsid w:val="004777FC"/>
    <w:rsid w:val="00477D51"/>
    <w:rsid w:val="00487803"/>
    <w:rsid w:val="004A410E"/>
    <w:rsid w:val="004B0C62"/>
    <w:rsid w:val="004B2CE8"/>
    <w:rsid w:val="004C0070"/>
    <w:rsid w:val="004C25CD"/>
    <w:rsid w:val="004E3F39"/>
    <w:rsid w:val="004E4010"/>
    <w:rsid w:val="004E6F28"/>
    <w:rsid w:val="00520317"/>
    <w:rsid w:val="00523BA0"/>
    <w:rsid w:val="0053661E"/>
    <w:rsid w:val="00544055"/>
    <w:rsid w:val="0056006D"/>
    <w:rsid w:val="00566F5C"/>
    <w:rsid w:val="005737F2"/>
    <w:rsid w:val="00583353"/>
    <w:rsid w:val="00590A8B"/>
    <w:rsid w:val="005A6D42"/>
    <w:rsid w:val="005A6D5E"/>
    <w:rsid w:val="005B1F40"/>
    <w:rsid w:val="005C02DF"/>
    <w:rsid w:val="005C2563"/>
    <w:rsid w:val="005C7E1D"/>
    <w:rsid w:val="005F2427"/>
    <w:rsid w:val="005F457B"/>
    <w:rsid w:val="00624517"/>
    <w:rsid w:val="00652A1B"/>
    <w:rsid w:val="006534D9"/>
    <w:rsid w:val="0066179B"/>
    <w:rsid w:val="00670B44"/>
    <w:rsid w:val="006844C5"/>
    <w:rsid w:val="0068771D"/>
    <w:rsid w:val="00695AD0"/>
    <w:rsid w:val="006B2138"/>
    <w:rsid w:val="006B53A2"/>
    <w:rsid w:val="006B667F"/>
    <w:rsid w:val="006D3AFB"/>
    <w:rsid w:val="006E016E"/>
    <w:rsid w:val="006F7DEF"/>
    <w:rsid w:val="00701C68"/>
    <w:rsid w:val="00703832"/>
    <w:rsid w:val="00705776"/>
    <w:rsid w:val="00711AA3"/>
    <w:rsid w:val="00712B9F"/>
    <w:rsid w:val="007149AD"/>
    <w:rsid w:val="00725ADA"/>
    <w:rsid w:val="0073327F"/>
    <w:rsid w:val="007565AB"/>
    <w:rsid w:val="007629C9"/>
    <w:rsid w:val="007643FC"/>
    <w:rsid w:val="00772467"/>
    <w:rsid w:val="00775391"/>
    <w:rsid w:val="00776416"/>
    <w:rsid w:val="00791121"/>
    <w:rsid w:val="00791939"/>
    <w:rsid w:val="00795092"/>
    <w:rsid w:val="00795DCE"/>
    <w:rsid w:val="007B4C68"/>
    <w:rsid w:val="007B4D19"/>
    <w:rsid w:val="007B6A6A"/>
    <w:rsid w:val="007C6306"/>
    <w:rsid w:val="007D2734"/>
    <w:rsid w:val="007E0B22"/>
    <w:rsid w:val="007E48FD"/>
    <w:rsid w:val="007F16BF"/>
    <w:rsid w:val="00844E57"/>
    <w:rsid w:val="0085274B"/>
    <w:rsid w:val="008562FE"/>
    <w:rsid w:val="00882349"/>
    <w:rsid w:val="00883352"/>
    <w:rsid w:val="0088616A"/>
    <w:rsid w:val="008947A6"/>
    <w:rsid w:val="00894805"/>
    <w:rsid w:val="008B5D8C"/>
    <w:rsid w:val="008C62CB"/>
    <w:rsid w:val="008E64DC"/>
    <w:rsid w:val="00907D06"/>
    <w:rsid w:val="009235DA"/>
    <w:rsid w:val="00923AFF"/>
    <w:rsid w:val="009349F8"/>
    <w:rsid w:val="00936D68"/>
    <w:rsid w:val="0094325E"/>
    <w:rsid w:val="00946443"/>
    <w:rsid w:val="0096577A"/>
    <w:rsid w:val="009852FA"/>
    <w:rsid w:val="00996C12"/>
    <w:rsid w:val="009A552A"/>
    <w:rsid w:val="009A5973"/>
    <w:rsid w:val="009C6F17"/>
    <w:rsid w:val="009E5F64"/>
    <w:rsid w:val="00A00649"/>
    <w:rsid w:val="00A14A49"/>
    <w:rsid w:val="00A17272"/>
    <w:rsid w:val="00A347AF"/>
    <w:rsid w:val="00A46FBD"/>
    <w:rsid w:val="00A60ECF"/>
    <w:rsid w:val="00A641AC"/>
    <w:rsid w:val="00A65A38"/>
    <w:rsid w:val="00AB1522"/>
    <w:rsid w:val="00AB4835"/>
    <w:rsid w:val="00AB592C"/>
    <w:rsid w:val="00AD3A39"/>
    <w:rsid w:val="00AD7E67"/>
    <w:rsid w:val="00AF0A4D"/>
    <w:rsid w:val="00AF7DE4"/>
    <w:rsid w:val="00B0359F"/>
    <w:rsid w:val="00B05825"/>
    <w:rsid w:val="00B1115E"/>
    <w:rsid w:val="00B13CE5"/>
    <w:rsid w:val="00B5093E"/>
    <w:rsid w:val="00B554F5"/>
    <w:rsid w:val="00B56620"/>
    <w:rsid w:val="00B57C3B"/>
    <w:rsid w:val="00B838BD"/>
    <w:rsid w:val="00BC45A6"/>
    <w:rsid w:val="00BC5A22"/>
    <w:rsid w:val="00BC6C69"/>
    <w:rsid w:val="00BF42D5"/>
    <w:rsid w:val="00BF66B1"/>
    <w:rsid w:val="00C37067"/>
    <w:rsid w:val="00C453F4"/>
    <w:rsid w:val="00C473F1"/>
    <w:rsid w:val="00C65E00"/>
    <w:rsid w:val="00C71835"/>
    <w:rsid w:val="00C72D4A"/>
    <w:rsid w:val="00C83DB7"/>
    <w:rsid w:val="00C94A6F"/>
    <w:rsid w:val="00C96EB5"/>
    <w:rsid w:val="00C97D3B"/>
    <w:rsid w:val="00CA25DE"/>
    <w:rsid w:val="00CC08F3"/>
    <w:rsid w:val="00CC21DA"/>
    <w:rsid w:val="00CD5275"/>
    <w:rsid w:val="00CD7BB5"/>
    <w:rsid w:val="00CE156F"/>
    <w:rsid w:val="00D13272"/>
    <w:rsid w:val="00D26A6B"/>
    <w:rsid w:val="00D46164"/>
    <w:rsid w:val="00D47A28"/>
    <w:rsid w:val="00D56764"/>
    <w:rsid w:val="00D6026B"/>
    <w:rsid w:val="00DB4FAA"/>
    <w:rsid w:val="00DC7572"/>
    <w:rsid w:val="00DD53FF"/>
    <w:rsid w:val="00DF088C"/>
    <w:rsid w:val="00DF4133"/>
    <w:rsid w:val="00E06736"/>
    <w:rsid w:val="00E32EA0"/>
    <w:rsid w:val="00E551D8"/>
    <w:rsid w:val="00E802BD"/>
    <w:rsid w:val="00E8257C"/>
    <w:rsid w:val="00E853CA"/>
    <w:rsid w:val="00E868F7"/>
    <w:rsid w:val="00EB16EC"/>
    <w:rsid w:val="00ED435C"/>
    <w:rsid w:val="00EE391C"/>
    <w:rsid w:val="00EF6105"/>
    <w:rsid w:val="00F12FCC"/>
    <w:rsid w:val="00F4556D"/>
    <w:rsid w:val="00F54E30"/>
    <w:rsid w:val="00F56320"/>
    <w:rsid w:val="00F61D11"/>
    <w:rsid w:val="00F7095E"/>
    <w:rsid w:val="00F72FB3"/>
    <w:rsid w:val="00F876EC"/>
    <w:rsid w:val="00F9707A"/>
    <w:rsid w:val="00FB4214"/>
    <w:rsid w:val="00FD03A4"/>
    <w:rsid w:val="00FE0801"/>
    <w:rsid w:val="00FF5389"/>
    <w:rsid w:val="00FF6E2D"/>
    <w:rsid w:val="00FF7C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BDD9D"/>
  <w15:docId w15:val="{7259B4F6-3724-428D-BD46-8B2E440C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C68"/>
    <w:pPr>
      <w:bidi/>
    </w:pPr>
  </w:style>
  <w:style w:type="paragraph" w:styleId="Heading1">
    <w:name w:val="heading 1"/>
    <w:basedOn w:val="Normal"/>
    <w:next w:val="Normal"/>
    <w:link w:val="Heading1Char"/>
    <w:uiPriority w:val="9"/>
    <w:qFormat/>
    <w:rsid w:val="00894805"/>
    <w:pPr>
      <w:keepNext/>
      <w:keepLines/>
      <w:bidi w:val="0"/>
      <w:spacing w:before="480" w:after="0"/>
      <w:outlineLvl w:val="0"/>
    </w:pPr>
    <w:rPr>
      <w:rFonts w:asciiTheme="majorHAnsi" w:eastAsiaTheme="majorEastAsia" w:hAnsiTheme="majorHAnsi" w:cstheme="majorBidi"/>
      <w:b/>
      <w:bCs/>
      <w:color w:val="365F91" w:themeColor="accent1" w:themeShade="BF"/>
      <w:sz w:val="28"/>
      <w:szCs w:val="28"/>
      <w:lang w:bidi="ar-SA"/>
    </w:rPr>
  </w:style>
  <w:style w:type="paragraph" w:styleId="Heading3">
    <w:name w:val="heading 3"/>
    <w:basedOn w:val="Normal"/>
    <w:next w:val="Normal"/>
    <w:link w:val="Heading3Char"/>
    <w:uiPriority w:val="9"/>
    <w:semiHidden/>
    <w:unhideWhenUsed/>
    <w:qFormat/>
    <w:rsid w:val="007D27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AuthorAddress">
    <w:name w:val="BC_Author_Address"/>
    <w:basedOn w:val="Normal"/>
    <w:qFormat/>
    <w:rsid w:val="00311CDD"/>
    <w:pPr>
      <w:bidi w:val="0"/>
      <w:spacing w:after="240" w:line="480" w:lineRule="auto"/>
    </w:pPr>
    <w:rPr>
      <w:rFonts w:ascii="Times" w:eastAsia="Times New Roman" w:hAnsi="Times" w:cs="Times New Roman"/>
      <w:sz w:val="24"/>
      <w:szCs w:val="20"/>
      <w:lang w:bidi="ar-SA"/>
    </w:rPr>
  </w:style>
  <w:style w:type="paragraph" w:customStyle="1" w:styleId="BBAuthorName">
    <w:name w:val="BB_Author_Name"/>
    <w:basedOn w:val="Normal"/>
    <w:next w:val="Normal"/>
    <w:rsid w:val="00311CDD"/>
    <w:pPr>
      <w:bidi w:val="0"/>
      <w:spacing w:after="240" w:line="480" w:lineRule="auto"/>
    </w:pPr>
    <w:rPr>
      <w:rFonts w:ascii="Times" w:eastAsia="Times New Roman" w:hAnsi="Times" w:cs="Times New Roman"/>
      <w:i/>
      <w:sz w:val="24"/>
      <w:szCs w:val="20"/>
      <w:lang w:bidi="ar-SA"/>
    </w:rPr>
  </w:style>
  <w:style w:type="table" w:styleId="TableGrid">
    <w:name w:val="Table Grid"/>
    <w:basedOn w:val="TableNormal"/>
    <w:uiPriority w:val="59"/>
    <w:rsid w:val="00311CDD"/>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SupportingInformation">
    <w:name w:val="TE_Supporting_Information"/>
    <w:basedOn w:val="Normal"/>
    <w:next w:val="Normal"/>
    <w:rsid w:val="00311CDD"/>
    <w:pPr>
      <w:bidi w:val="0"/>
      <w:spacing w:line="480" w:lineRule="auto"/>
      <w:ind w:firstLine="187"/>
      <w:jc w:val="both"/>
    </w:pPr>
    <w:rPr>
      <w:rFonts w:ascii="Times" w:eastAsia="Times New Roman" w:hAnsi="Times" w:cs="Times New Roman"/>
      <w:sz w:val="24"/>
      <w:szCs w:val="20"/>
      <w:lang w:bidi="ar-SA"/>
    </w:rPr>
  </w:style>
  <w:style w:type="table" w:customStyle="1" w:styleId="LightShading1">
    <w:name w:val="Light Shading1"/>
    <w:basedOn w:val="TableNormal"/>
    <w:uiPriority w:val="60"/>
    <w:rsid w:val="00311CDD"/>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311CDD"/>
    <w:pPr>
      <w:spacing w:after="0" w:line="240" w:lineRule="auto"/>
    </w:pPr>
    <w:rPr>
      <w:rFonts w:ascii="Calibri" w:eastAsia="Calibri" w:hAnsi="Calibri" w:cs="Arial"/>
      <w:color w:val="000000" w:themeColor="text1" w:themeShade="BF"/>
      <w:sz w:val="20"/>
      <w:szCs w:val="20"/>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2B0C76"/>
    <w:rPr>
      <w:sz w:val="16"/>
      <w:szCs w:val="16"/>
    </w:rPr>
  </w:style>
  <w:style w:type="paragraph" w:styleId="CommentText">
    <w:name w:val="annotation text"/>
    <w:basedOn w:val="Normal"/>
    <w:link w:val="CommentTextChar"/>
    <w:uiPriority w:val="99"/>
    <w:unhideWhenUsed/>
    <w:rsid w:val="002B0C76"/>
    <w:pPr>
      <w:spacing w:line="240" w:lineRule="auto"/>
    </w:pPr>
    <w:rPr>
      <w:rFonts w:ascii="Calibri" w:eastAsia="Calibri" w:hAnsi="Calibri" w:cs="B Nazanin"/>
      <w:sz w:val="20"/>
      <w:szCs w:val="20"/>
      <w:lang w:bidi="ar-SA"/>
    </w:rPr>
  </w:style>
  <w:style w:type="character" w:customStyle="1" w:styleId="CommentTextChar">
    <w:name w:val="Comment Text Char"/>
    <w:basedOn w:val="DefaultParagraphFont"/>
    <w:link w:val="CommentText"/>
    <w:uiPriority w:val="99"/>
    <w:rsid w:val="002B0C76"/>
    <w:rPr>
      <w:rFonts w:ascii="Calibri" w:eastAsia="Calibri" w:hAnsi="Calibri" w:cs="B Nazanin"/>
      <w:sz w:val="20"/>
      <w:szCs w:val="20"/>
      <w:lang w:bidi="ar-SA"/>
    </w:rPr>
  </w:style>
  <w:style w:type="paragraph" w:styleId="BalloonText">
    <w:name w:val="Balloon Text"/>
    <w:basedOn w:val="Normal"/>
    <w:link w:val="BalloonTextChar"/>
    <w:uiPriority w:val="99"/>
    <w:semiHidden/>
    <w:unhideWhenUsed/>
    <w:rsid w:val="002B0C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C76"/>
    <w:rPr>
      <w:rFonts w:ascii="Tahoma" w:hAnsi="Tahoma" w:cs="Tahoma"/>
      <w:sz w:val="16"/>
      <w:szCs w:val="16"/>
    </w:rPr>
  </w:style>
  <w:style w:type="paragraph" w:styleId="ListParagraph">
    <w:name w:val="List Paragraph"/>
    <w:basedOn w:val="Normal"/>
    <w:uiPriority w:val="34"/>
    <w:qFormat/>
    <w:rsid w:val="00B57C3B"/>
    <w:pPr>
      <w:ind w:left="720"/>
      <w:contextualSpacing/>
    </w:pPr>
  </w:style>
  <w:style w:type="character" w:customStyle="1" w:styleId="Heading1Char">
    <w:name w:val="Heading 1 Char"/>
    <w:basedOn w:val="DefaultParagraphFont"/>
    <w:link w:val="Heading1"/>
    <w:uiPriority w:val="9"/>
    <w:rsid w:val="00894805"/>
    <w:rPr>
      <w:rFonts w:asciiTheme="majorHAnsi" w:eastAsiaTheme="majorEastAsia" w:hAnsiTheme="majorHAnsi" w:cstheme="majorBidi"/>
      <w:b/>
      <w:bCs/>
      <w:color w:val="365F91" w:themeColor="accent1" w:themeShade="BF"/>
      <w:sz w:val="28"/>
      <w:szCs w:val="28"/>
      <w:lang w:bidi="ar-SA"/>
    </w:rPr>
  </w:style>
  <w:style w:type="paragraph" w:styleId="Header">
    <w:name w:val="header"/>
    <w:basedOn w:val="Normal"/>
    <w:link w:val="HeaderChar"/>
    <w:uiPriority w:val="99"/>
    <w:unhideWhenUsed/>
    <w:rsid w:val="00EF6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105"/>
  </w:style>
  <w:style w:type="paragraph" w:styleId="Footer">
    <w:name w:val="footer"/>
    <w:basedOn w:val="Normal"/>
    <w:link w:val="FooterChar"/>
    <w:uiPriority w:val="99"/>
    <w:unhideWhenUsed/>
    <w:rsid w:val="00EF6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105"/>
  </w:style>
  <w:style w:type="character" w:customStyle="1" w:styleId="fontstyle01">
    <w:name w:val="fontstyle01"/>
    <w:basedOn w:val="DefaultParagraphFont"/>
    <w:rsid w:val="00705776"/>
    <w:rPr>
      <w:rFonts w:ascii="Times-Bold" w:hAnsi="Times-Bold" w:hint="default"/>
      <w:b/>
      <w:bCs/>
      <w:i w:val="0"/>
      <w:iCs w:val="0"/>
      <w:color w:val="000000"/>
      <w:sz w:val="20"/>
      <w:szCs w:val="20"/>
    </w:rPr>
  </w:style>
  <w:style w:type="character" w:customStyle="1" w:styleId="fontstyle21">
    <w:name w:val="fontstyle21"/>
    <w:basedOn w:val="DefaultParagraphFont"/>
    <w:rsid w:val="00705776"/>
    <w:rPr>
      <w:rFonts w:ascii="Times-Roman" w:hAnsi="Times-Roman" w:hint="default"/>
      <w:b w:val="0"/>
      <w:bCs w:val="0"/>
      <w:i w:val="0"/>
      <w:iCs w:val="0"/>
      <w:color w:val="000000"/>
      <w:sz w:val="20"/>
      <w:szCs w:val="20"/>
    </w:rPr>
  </w:style>
  <w:style w:type="character" w:customStyle="1" w:styleId="fontstyle31">
    <w:name w:val="fontstyle31"/>
    <w:basedOn w:val="DefaultParagraphFont"/>
    <w:rsid w:val="00705776"/>
    <w:rPr>
      <w:rFonts w:ascii="TimesNewRoman" w:hAnsi="TimesNewRoman" w:hint="default"/>
      <w:b w:val="0"/>
      <w:bCs w:val="0"/>
      <w:i w:val="0"/>
      <w:iCs w:val="0"/>
      <w:color w:val="000000"/>
      <w:sz w:val="20"/>
      <w:szCs w:val="20"/>
    </w:rPr>
  </w:style>
  <w:style w:type="paragraph" w:styleId="FootnoteText">
    <w:name w:val="footnote text"/>
    <w:basedOn w:val="Normal"/>
    <w:link w:val="FootnoteTextChar"/>
    <w:uiPriority w:val="99"/>
    <w:semiHidden/>
    <w:unhideWhenUsed/>
    <w:rsid w:val="00DF41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4133"/>
    <w:rPr>
      <w:sz w:val="20"/>
      <w:szCs w:val="20"/>
    </w:rPr>
  </w:style>
  <w:style w:type="character" w:styleId="FootnoteReference">
    <w:name w:val="footnote reference"/>
    <w:basedOn w:val="DefaultParagraphFont"/>
    <w:uiPriority w:val="99"/>
    <w:semiHidden/>
    <w:unhideWhenUsed/>
    <w:rsid w:val="00DF4133"/>
    <w:rPr>
      <w:vertAlign w:val="superscript"/>
    </w:rPr>
  </w:style>
  <w:style w:type="paragraph" w:styleId="Bibliography">
    <w:name w:val="Bibliography"/>
    <w:basedOn w:val="Normal"/>
    <w:next w:val="Normal"/>
    <w:uiPriority w:val="37"/>
    <w:unhideWhenUsed/>
    <w:rsid w:val="00DF4133"/>
  </w:style>
  <w:style w:type="table" w:customStyle="1" w:styleId="PlainTable21">
    <w:name w:val="Plain Table 21"/>
    <w:basedOn w:val="TableNormal"/>
    <w:next w:val="PlainTable2"/>
    <w:uiPriority w:val="42"/>
    <w:rsid w:val="006B53A2"/>
    <w:pPr>
      <w:spacing w:after="0" w:line="240" w:lineRule="auto"/>
    </w:pPr>
    <w:rPr>
      <w:rFonts w:eastAsia="Aptos"/>
      <w:kern w:val="2"/>
      <w:lang w:val="en-CA" w:bidi="ar-SA"/>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6B53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2">
    <w:name w:val="Plain Table 22"/>
    <w:basedOn w:val="TableNormal"/>
    <w:next w:val="PlainTable2"/>
    <w:uiPriority w:val="42"/>
    <w:rsid w:val="006B53A2"/>
    <w:pPr>
      <w:spacing w:after="0" w:line="240" w:lineRule="auto"/>
    </w:pPr>
    <w:rPr>
      <w:rFonts w:eastAsia="Aptos"/>
      <w:kern w:val="2"/>
      <w:lang w:val="en-CA" w:bidi="ar-SA"/>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Light">
    <w:name w:val="Grid Table Light"/>
    <w:basedOn w:val="TableNormal"/>
    <w:uiPriority w:val="40"/>
    <w:rsid w:val="00F970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1">
    <w:name w:val="Grid Table 1 Light1"/>
    <w:basedOn w:val="TableNormal"/>
    <w:uiPriority w:val="46"/>
    <w:rsid w:val="00BC5A22"/>
    <w:pPr>
      <w:spacing w:after="0" w:line="240" w:lineRule="auto"/>
    </w:pPr>
    <w:rPr>
      <w:rFonts w:ascii="Calibri" w:eastAsia="Calibri" w:hAnsi="Calibri" w:cs="Calibri"/>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1">
    <w:name w:val="Grid Table 1 Light11"/>
    <w:basedOn w:val="TableNormal"/>
    <w:uiPriority w:val="46"/>
    <w:rsid w:val="00B56620"/>
    <w:pPr>
      <w:spacing w:after="0" w:line="240" w:lineRule="auto"/>
    </w:pPr>
    <w:rPr>
      <w:rFonts w:eastAsiaTheme="minorHAnsi"/>
      <w:lang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6534D9"/>
    <w:rPr>
      <w:rFonts w:asciiTheme="minorHAnsi" w:eastAsiaTheme="minorEastAsia" w:hAnsiTheme="minorHAnsi" w:cstheme="minorBidi"/>
      <w:b/>
      <w:bCs/>
      <w:lang w:bidi="fa-IR"/>
    </w:rPr>
  </w:style>
  <w:style w:type="character" w:customStyle="1" w:styleId="CommentSubjectChar">
    <w:name w:val="Comment Subject Char"/>
    <w:basedOn w:val="CommentTextChar"/>
    <w:link w:val="CommentSubject"/>
    <w:uiPriority w:val="99"/>
    <w:semiHidden/>
    <w:rsid w:val="006534D9"/>
    <w:rPr>
      <w:rFonts w:ascii="Calibri" w:eastAsia="Calibri" w:hAnsi="Calibri" w:cs="B Nazanin"/>
      <w:b/>
      <w:bCs/>
      <w:sz w:val="20"/>
      <w:szCs w:val="20"/>
      <w:lang w:bidi="ar-SA"/>
    </w:rPr>
  </w:style>
  <w:style w:type="paragraph" w:styleId="Title">
    <w:name w:val="Title"/>
    <w:basedOn w:val="Normal"/>
    <w:next w:val="Normal"/>
    <w:link w:val="TitleChar"/>
    <w:rsid w:val="004C25CD"/>
    <w:pPr>
      <w:keepNext/>
      <w:keepLines/>
      <w:bidi w:val="0"/>
      <w:spacing w:before="480" w:after="120" w:line="259" w:lineRule="auto"/>
    </w:pPr>
    <w:rPr>
      <w:rFonts w:ascii="Calibri" w:eastAsia="Calibri" w:hAnsi="Calibri" w:cs="Calibri"/>
      <w:b/>
      <w:sz w:val="72"/>
      <w:szCs w:val="72"/>
      <w:lang w:bidi="ar-SA"/>
    </w:rPr>
  </w:style>
  <w:style w:type="character" w:customStyle="1" w:styleId="TitleChar">
    <w:name w:val="Title Char"/>
    <w:basedOn w:val="DefaultParagraphFont"/>
    <w:link w:val="Title"/>
    <w:rsid w:val="004C25CD"/>
    <w:rPr>
      <w:rFonts w:ascii="Calibri" w:eastAsia="Calibri" w:hAnsi="Calibri" w:cs="Calibri"/>
      <w:b/>
      <w:sz w:val="72"/>
      <w:szCs w:val="72"/>
      <w:lang w:bidi="ar-SA"/>
    </w:rPr>
  </w:style>
  <w:style w:type="paragraph" w:styleId="NormalWeb">
    <w:name w:val="Normal (Web)"/>
    <w:basedOn w:val="Normal"/>
    <w:uiPriority w:val="99"/>
    <w:unhideWhenUsed/>
    <w:rsid w:val="000D1283"/>
    <w:pPr>
      <w:bidi w:val="0"/>
      <w:spacing w:before="100" w:beforeAutospacing="1" w:after="100" w:afterAutospacing="1" w:line="240" w:lineRule="auto"/>
    </w:pPr>
    <w:rPr>
      <w:rFonts w:ascii="Times New Roman" w:eastAsia="Times New Roman" w:hAnsi="Times New Roman" w:cs="Times New Roman"/>
      <w:sz w:val="24"/>
      <w:szCs w:val="24"/>
      <w:lang w:val="en-CA" w:eastAsia="en-CA" w:bidi="ar-SA"/>
    </w:rPr>
  </w:style>
  <w:style w:type="character" w:styleId="Strong">
    <w:name w:val="Strong"/>
    <w:basedOn w:val="DefaultParagraphFont"/>
    <w:uiPriority w:val="22"/>
    <w:qFormat/>
    <w:rsid w:val="00031EB5"/>
    <w:rPr>
      <w:b/>
      <w:bCs/>
    </w:rPr>
  </w:style>
  <w:style w:type="character" w:customStyle="1" w:styleId="katex">
    <w:name w:val="katex"/>
    <w:basedOn w:val="DefaultParagraphFont"/>
    <w:rsid w:val="00031EB5"/>
  </w:style>
  <w:style w:type="character" w:customStyle="1" w:styleId="Heading3Char">
    <w:name w:val="Heading 3 Char"/>
    <w:basedOn w:val="DefaultParagraphFont"/>
    <w:link w:val="Heading3"/>
    <w:uiPriority w:val="9"/>
    <w:semiHidden/>
    <w:rsid w:val="007D2734"/>
    <w:rPr>
      <w:rFonts w:asciiTheme="majorHAnsi" w:eastAsiaTheme="majorEastAsia" w:hAnsiTheme="majorHAnsi" w:cstheme="majorBidi"/>
      <w:color w:val="243F60" w:themeColor="accent1" w:themeShade="7F"/>
      <w:sz w:val="24"/>
      <w:szCs w:val="24"/>
    </w:rPr>
  </w:style>
  <w:style w:type="character" w:customStyle="1" w:styleId="katex-mathml">
    <w:name w:val="katex-mathml"/>
    <w:basedOn w:val="DefaultParagraphFont"/>
    <w:rsid w:val="00D13272"/>
  </w:style>
  <w:style w:type="character" w:customStyle="1" w:styleId="mord">
    <w:name w:val="mord"/>
    <w:basedOn w:val="DefaultParagraphFont"/>
    <w:rsid w:val="00D13272"/>
  </w:style>
  <w:style w:type="character" w:customStyle="1" w:styleId="mrel">
    <w:name w:val="mrel"/>
    <w:basedOn w:val="DefaultParagraphFont"/>
    <w:rsid w:val="00D13272"/>
  </w:style>
  <w:style w:type="character" w:styleId="PlaceholderText">
    <w:name w:val="Placeholder Text"/>
    <w:basedOn w:val="DefaultParagraphFont"/>
    <w:uiPriority w:val="99"/>
    <w:semiHidden/>
    <w:rsid w:val="0019090E"/>
    <w:rPr>
      <w:color w:val="666666"/>
    </w:rPr>
  </w:style>
  <w:style w:type="character" w:styleId="Hyperlink">
    <w:name w:val="Hyperlink"/>
    <w:basedOn w:val="DefaultParagraphFont"/>
    <w:uiPriority w:val="99"/>
    <w:unhideWhenUsed/>
    <w:rsid w:val="00BF42D5"/>
    <w:rPr>
      <w:color w:val="0000FF" w:themeColor="hyperlink"/>
      <w:u w:val="single"/>
    </w:rPr>
  </w:style>
  <w:style w:type="character" w:customStyle="1" w:styleId="UnresolvedMention">
    <w:name w:val="Unresolved Mention"/>
    <w:basedOn w:val="DefaultParagraphFont"/>
    <w:uiPriority w:val="99"/>
    <w:semiHidden/>
    <w:unhideWhenUsed/>
    <w:rsid w:val="00BF42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8497">
      <w:bodyDiv w:val="1"/>
      <w:marLeft w:val="0"/>
      <w:marRight w:val="0"/>
      <w:marTop w:val="0"/>
      <w:marBottom w:val="0"/>
      <w:divBdr>
        <w:top w:val="none" w:sz="0" w:space="0" w:color="auto"/>
        <w:left w:val="none" w:sz="0" w:space="0" w:color="auto"/>
        <w:bottom w:val="none" w:sz="0" w:space="0" w:color="auto"/>
        <w:right w:val="none" w:sz="0" w:space="0" w:color="auto"/>
      </w:divBdr>
    </w:div>
    <w:div w:id="87122173">
      <w:bodyDiv w:val="1"/>
      <w:marLeft w:val="0"/>
      <w:marRight w:val="0"/>
      <w:marTop w:val="0"/>
      <w:marBottom w:val="0"/>
      <w:divBdr>
        <w:top w:val="none" w:sz="0" w:space="0" w:color="auto"/>
        <w:left w:val="none" w:sz="0" w:space="0" w:color="auto"/>
        <w:bottom w:val="none" w:sz="0" w:space="0" w:color="auto"/>
        <w:right w:val="none" w:sz="0" w:space="0" w:color="auto"/>
      </w:divBdr>
    </w:div>
    <w:div w:id="121964023">
      <w:bodyDiv w:val="1"/>
      <w:marLeft w:val="0"/>
      <w:marRight w:val="0"/>
      <w:marTop w:val="0"/>
      <w:marBottom w:val="0"/>
      <w:divBdr>
        <w:top w:val="none" w:sz="0" w:space="0" w:color="auto"/>
        <w:left w:val="none" w:sz="0" w:space="0" w:color="auto"/>
        <w:bottom w:val="none" w:sz="0" w:space="0" w:color="auto"/>
        <w:right w:val="none" w:sz="0" w:space="0" w:color="auto"/>
      </w:divBdr>
    </w:div>
    <w:div w:id="127096091">
      <w:bodyDiv w:val="1"/>
      <w:marLeft w:val="0"/>
      <w:marRight w:val="0"/>
      <w:marTop w:val="0"/>
      <w:marBottom w:val="0"/>
      <w:divBdr>
        <w:top w:val="none" w:sz="0" w:space="0" w:color="auto"/>
        <w:left w:val="none" w:sz="0" w:space="0" w:color="auto"/>
        <w:bottom w:val="none" w:sz="0" w:space="0" w:color="auto"/>
        <w:right w:val="none" w:sz="0" w:space="0" w:color="auto"/>
      </w:divBdr>
    </w:div>
    <w:div w:id="142702853">
      <w:bodyDiv w:val="1"/>
      <w:marLeft w:val="0"/>
      <w:marRight w:val="0"/>
      <w:marTop w:val="0"/>
      <w:marBottom w:val="0"/>
      <w:divBdr>
        <w:top w:val="none" w:sz="0" w:space="0" w:color="auto"/>
        <w:left w:val="none" w:sz="0" w:space="0" w:color="auto"/>
        <w:bottom w:val="none" w:sz="0" w:space="0" w:color="auto"/>
        <w:right w:val="none" w:sz="0" w:space="0" w:color="auto"/>
      </w:divBdr>
    </w:div>
    <w:div w:id="161087673">
      <w:bodyDiv w:val="1"/>
      <w:marLeft w:val="0"/>
      <w:marRight w:val="0"/>
      <w:marTop w:val="0"/>
      <w:marBottom w:val="0"/>
      <w:divBdr>
        <w:top w:val="none" w:sz="0" w:space="0" w:color="auto"/>
        <w:left w:val="none" w:sz="0" w:space="0" w:color="auto"/>
        <w:bottom w:val="none" w:sz="0" w:space="0" w:color="auto"/>
        <w:right w:val="none" w:sz="0" w:space="0" w:color="auto"/>
      </w:divBdr>
    </w:div>
    <w:div w:id="183251582">
      <w:bodyDiv w:val="1"/>
      <w:marLeft w:val="0"/>
      <w:marRight w:val="0"/>
      <w:marTop w:val="0"/>
      <w:marBottom w:val="0"/>
      <w:divBdr>
        <w:top w:val="none" w:sz="0" w:space="0" w:color="auto"/>
        <w:left w:val="none" w:sz="0" w:space="0" w:color="auto"/>
        <w:bottom w:val="none" w:sz="0" w:space="0" w:color="auto"/>
        <w:right w:val="none" w:sz="0" w:space="0" w:color="auto"/>
      </w:divBdr>
    </w:div>
    <w:div w:id="187840069">
      <w:bodyDiv w:val="1"/>
      <w:marLeft w:val="0"/>
      <w:marRight w:val="0"/>
      <w:marTop w:val="0"/>
      <w:marBottom w:val="0"/>
      <w:divBdr>
        <w:top w:val="none" w:sz="0" w:space="0" w:color="auto"/>
        <w:left w:val="none" w:sz="0" w:space="0" w:color="auto"/>
        <w:bottom w:val="none" w:sz="0" w:space="0" w:color="auto"/>
        <w:right w:val="none" w:sz="0" w:space="0" w:color="auto"/>
      </w:divBdr>
    </w:div>
    <w:div w:id="263418211">
      <w:bodyDiv w:val="1"/>
      <w:marLeft w:val="0"/>
      <w:marRight w:val="0"/>
      <w:marTop w:val="0"/>
      <w:marBottom w:val="0"/>
      <w:divBdr>
        <w:top w:val="none" w:sz="0" w:space="0" w:color="auto"/>
        <w:left w:val="none" w:sz="0" w:space="0" w:color="auto"/>
        <w:bottom w:val="none" w:sz="0" w:space="0" w:color="auto"/>
        <w:right w:val="none" w:sz="0" w:space="0" w:color="auto"/>
      </w:divBdr>
    </w:div>
    <w:div w:id="293490524">
      <w:bodyDiv w:val="1"/>
      <w:marLeft w:val="0"/>
      <w:marRight w:val="0"/>
      <w:marTop w:val="0"/>
      <w:marBottom w:val="0"/>
      <w:divBdr>
        <w:top w:val="none" w:sz="0" w:space="0" w:color="auto"/>
        <w:left w:val="none" w:sz="0" w:space="0" w:color="auto"/>
        <w:bottom w:val="none" w:sz="0" w:space="0" w:color="auto"/>
        <w:right w:val="none" w:sz="0" w:space="0" w:color="auto"/>
      </w:divBdr>
    </w:div>
    <w:div w:id="342320728">
      <w:bodyDiv w:val="1"/>
      <w:marLeft w:val="0"/>
      <w:marRight w:val="0"/>
      <w:marTop w:val="0"/>
      <w:marBottom w:val="0"/>
      <w:divBdr>
        <w:top w:val="none" w:sz="0" w:space="0" w:color="auto"/>
        <w:left w:val="none" w:sz="0" w:space="0" w:color="auto"/>
        <w:bottom w:val="none" w:sz="0" w:space="0" w:color="auto"/>
        <w:right w:val="none" w:sz="0" w:space="0" w:color="auto"/>
      </w:divBdr>
    </w:div>
    <w:div w:id="364986983">
      <w:bodyDiv w:val="1"/>
      <w:marLeft w:val="0"/>
      <w:marRight w:val="0"/>
      <w:marTop w:val="0"/>
      <w:marBottom w:val="0"/>
      <w:divBdr>
        <w:top w:val="none" w:sz="0" w:space="0" w:color="auto"/>
        <w:left w:val="none" w:sz="0" w:space="0" w:color="auto"/>
        <w:bottom w:val="none" w:sz="0" w:space="0" w:color="auto"/>
        <w:right w:val="none" w:sz="0" w:space="0" w:color="auto"/>
      </w:divBdr>
    </w:div>
    <w:div w:id="393427233">
      <w:bodyDiv w:val="1"/>
      <w:marLeft w:val="0"/>
      <w:marRight w:val="0"/>
      <w:marTop w:val="0"/>
      <w:marBottom w:val="0"/>
      <w:divBdr>
        <w:top w:val="none" w:sz="0" w:space="0" w:color="auto"/>
        <w:left w:val="none" w:sz="0" w:space="0" w:color="auto"/>
        <w:bottom w:val="none" w:sz="0" w:space="0" w:color="auto"/>
        <w:right w:val="none" w:sz="0" w:space="0" w:color="auto"/>
      </w:divBdr>
    </w:div>
    <w:div w:id="413237239">
      <w:bodyDiv w:val="1"/>
      <w:marLeft w:val="0"/>
      <w:marRight w:val="0"/>
      <w:marTop w:val="0"/>
      <w:marBottom w:val="0"/>
      <w:divBdr>
        <w:top w:val="none" w:sz="0" w:space="0" w:color="auto"/>
        <w:left w:val="none" w:sz="0" w:space="0" w:color="auto"/>
        <w:bottom w:val="none" w:sz="0" w:space="0" w:color="auto"/>
        <w:right w:val="none" w:sz="0" w:space="0" w:color="auto"/>
      </w:divBdr>
    </w:div>
    <w:div w:id="463542416">
      <w:bodyDiv w:val="1"/>
      <w:marLeft w:val="0"/>
      <w:marRight w:val="0"/>
      <w:marTop w:val="0"/>
      <w:marBottom w:val="0"/>
      <w:divBdr>
        <w:top w:val="none" w:sz="0" w:space="0" w:color="auto"/>
        <w:left w:val="none" w:sz="0" w:space="0" w:color="auto"/>
        <w:bottom w:val="none" w:sz="0" w:space="0" w:color="auto"/>
        <w:right w:val="none" w:sz="0" w:space="0" w:color="auto"/>
      </w:divBdr>
    </w:div>
    <w:div w:id="519199812">
      <w:bodyDiv w:val="1"/>
      <w:marLeft w:val="0"/>
      <w:marRight w:val="0"/>
      <w:marTop w:val="0"/>
      <w:marBottom w:val="0"/>
      <w:divBdr>
        <w:top w:val="none" w:sz="0" w:space="0" w:color="auto"/>
        <w:left w:val="none" w:sz="0" w:space="0" w:color="auto"/>
        <w:bottom w:val="none" w:sz="0" w:space="0" w:color="auto"/>
        <w:right w:val="none" w:sz="0" w:space="0" w:color="auto"/>
      </w:divBdr>
    </w:div>
    <w:div w:id="559484852">
      <w:bodyDiv w:val="1"/>
      <w:marLeft w:val="0"/>
      <w:marRight w:val="0"/>
      <w:marTop w:val="0"/>
      <w:marBottom w:val="0"/>
      <w:divBdr>
        <w:top w:val="none" w:sz="0" w:space="0" w:color="auto"/>
        <w:left w:val="none" w:sz="0" w:space="0" w:color="auto"/>
        <w:bottom w:val="none" w:sz="0" w:space="0" w:color="auto"/>
        <w:right w:val="none" w:sz="0" w:space="0" w:color="auto"/>
      </w:divBdr>
    </w:div>
    <w:div w:id="586308752">
      <w:bodyDiv w:val="1"/>
      <w:marLeft w:val="0"/>
      <w:marRight w:val="0"/>
      <w:marTop w:val="0"/>
      <w:marBottom w:val="0"/>
      <w:divBdr>
        <w:top w:val="none" w:sz="0" w:space="0" w:color="auto"/>
        <w:left w:val="none" w:sz="0" w:space="0" w:color="auto"/>
        <w:bottom w:val="none" w:sz="0" w:space="0" w:color="auto"/>
        <w:right w:val="none" w:sz="0" w:space="0" w:color="auto"/>
      </w:divBdr>
    </w:div>
    <w:div w:id="648677659">
      <w:bodyDiv w:val="1"/>
      <w:marLeft w:val="0"/>
      <w:marRight w:val="0"/>
      <w:marTop w:val="0"/>
      <w:marBottom w:val="0"/>
      <w:divBdr>
        <w:top w:val="none" w:sz="0" w:space="0" w:color="auto"/>
        <w:left w:val="none" w:sz="0" w:space="0" w:color="auto"/>
        <w:bottom w:val="none" w:sz="0" w:space="0" w:color="auto"/>
        <w:right w:val="none" w:sz="0" w:space="0" w:color="auto"/>
      </w:divBdr>
    </w:div>
    <w:div w:id="657344734">
      <w:bodyDiv w:val="1"/>
      <w:marLeft w:val="0"/>
      <w:marRight w:val="0"/>
      <w:marTop w:val="0"/>
      <w:marBottom w:val="0"/>
      <w:divBdr>
        <w:top w:val="none" w:sz="0" w:space="0" w:color="auto"/>
        <w:left w:val="none" w:sz="0" w:space="0" w:color="auto"/>
        <w:bottom w:val="none" w:sz="0" w:space="0" w:color="auto"/>
        <w:right w:val="none" w:sz="0" w:space="0" w:color="auto"/>
      </w:divBdr>
    </w:div>
    <w:div w:id="674500500">
      <w:bodyDiv w:val="1"/>
      <w:marLeft w:val="0"/>
      <w:marRight w:val="0"/>
      <w:marTop w:val="0"/>
      <w:marBottom w:val="0"/>
      <w:divBdr>
        <w:top w:val="none" w:sz="0" w:space="0" w:color="auto"/>
        <w:left w:val="none" w:sz="0" w:space="0" w:color="auto"/>
        <w:bottom w:val="none" w:sz="0" w:space="0" w:color="auto"/>
        <w:right w:val="none" w:sz="0" w:space="0" w:color="auto"/>
      </w:divBdr>
    </w:div>
    <w:div w:id="703168096">
      <w:bodyDiv w:val="1"/>
      <w:marLeft w:val="0"/>
      <w:marRight w:val="0"/>
      <w:marTop w:val="0"/>
      <w:marBottom w:val="0"/>
      <w:divBdr>
        <w:top w:val="none" w:sz="0" w:space="0" w:color="auto"/>
        <w:left w:val="none" w:sz="0" w:space="0" w:color="auto"/>
        <w:bottom w:val="none" w:sz="0" w:space="0" w:color="auto"/>
        <w:right w:val="none" w:sz="0" w:space="0" w:color="auto"/>
      </w:divBdr>
    </w:div>
    <w:div w:id="712123660">
      <w:bodyDiv w:val="1"/>
      <w:marLeft w:val="0"/>
      <w:marRight w:val="0"/>
      <w:marTop w:val="0"/>
      <w:marBottom w:val="0"/>
      <w:divBdr>
        <w:top w:val="none" w:sz="0" w:space="0" w:color="auto"/>
        <w:left w:val="none" w:sz="0" w:space="0" w:color="auto"/>
        <w:bottom w:val="none" w:sz="0" w:space="0" w:color="auto"/>
        <w:right w:val="none" w:sz="0" w:space="0" w:color="auto"/>
      </w:divBdr>
    </w:div>
    <w:div w:id="786659132">
      <w:bodyDiv w:val="1"/>
      <w:marLeft w:val="0"/>
      <w:marRight w:val="0"/>
      <w:marTop w:val="0"/>
      <w:marBottom w:val="0"/>
      <w:divBdr>
        <w:top w:val="none" w:sz="0" w:space="0" w:color="auto"/>
        <w:left w:val="none" w:sz="0" w:space="0" w:color="auto"/>
        <w:bottom w:val="none" w:sz="0" w:space="0" w:color="auto"/>
        <w:right w:val="none" w:sz="0" w:space="0" w:color="auto"/>
      </w:divBdr>
    </w:div>
    <w:div w:id="820275213">
      <w:bodyDiv w:val="1"/>
      <w:marLeft w:val="0"/>
      <w:marRight w:val="0"/>
      <w:marTop w:val="0"/>
      <w:marBottom w:val="0"/>
      <w:divBdr>
        <w:top w:val="none" w:sz="0" w:space="0" w:color="auto"/>
        <w:left w:val="none" w:sz="0" w:space="0" w:color="auto"/>
        <w:bottom w:val="none" w:sz="0" w:space="0" w:color="auto"/>
        <w:right w:val="none" w:sz="0" w:space="0" w:color="auto"/>
      </w:divBdr>
    </w:div>
    <w:div w:id="823397904">
      <w:bodyDiv w:val="1"/>
      <w:marLeft w:val="0"/>
      <w:marRight w:val="0"/>
      <w:marTop w:val="0"/>
      <w:marBottom w:val="0"/>
      <w:divBdr>
        <w:top w:val="none" w:sz="0" w:space="0" w:color="auto"/>
        <w:left w:val="none" w:sz="0" w:space="0" w:color="auto"/>
        <w:bottom w:val="none" w:sz="0" w:space="0" w:color="auto"/>
        <w:right w:val="none" w:sz="0" w:space="0" w:color="auto"/>
      </w:divBdr>
    </w:div>
    <w:div w:id="932320162">
      <w:bodyDiv w:val="1"/>
      <w:marLeft w:val="0"/>
      <w:marRight w:val="0"/>
      <w:marTop w:val="0"/>
      <w:marBottom w:val="0"/>
      <w:divBdr>
        <w:top w:val="none" w:sz="0" w:space="0" w:color="auto"/>
        <w:left w:val="none" w:sz="0" w:space="0" w:color="auto"/>
        <w:bottom w:val="none" w:sz="0" w:space="0" w:color="auto"/>
        <w:right w:val="none" w:sz="0" w:space="0" w:color="auto"/>
      </w:divBdr>
    </w:div>
    <w:div w:id="947927602">
      <w:bodyDiv w:val="1"/>
      <w:marLeft w:val="0"/>
      <w:marRight w:val="0"/>
      <w:marTop w:val="0"/>
      <w:marBottom w:val="0"/>
      <w:divBdr>
        <w:top w:val="none" w:sz="0" w:space="0" w:color="auto"/>
        <w:left w:val="none" w:sz="0" w:space="0" w:color="auto"/>
        <w:bottom w:val="none" w:sz="0" w:space="0" w:color="auto"/>
        <w:right w:val="none" w:sz="0" w:space="0" w:color="auto"/>
      </w:divBdr>
    </w:div>
    <w:div w:id="953025036">
      <w:bodyDiv w:val="1"/>
      <w:marLeft w:val="0"/>
      <w:marRight w:val="0"/>
      <w:marTop w:val="0"/>
      <w:marBottom w:val="0"/>
      <w:divBdr>
        <w:top w:val="none" w:sz="0" w:space="0" w:color="auto"/>
        <w:left w:val="none" w:sz="0" w:space="0" w:color="auto"/>
        <w:bottom w:val="none" w:sz="0" w:space="0" w:color="auto"/>
        <w:right w:val="none" w:sz="0" w:space="0" w:color="auto"/>
      </w:divBdr>
    </w:div>
    <w:div w:id="963654170">
      <w:bodyDiv w:val="1"/>
      <w:marLeft w:val="0"/>
      <w:marRight w:val="0"/>
      <w:marTop w:val="0"/>
      <w:marBottom w:val="0"/>
      <w:divBdr>
        <w:top w:val="none" w:sz="0" w:space="0" w:color="auto"/>
        <w:left w:val="none" w:sz="0" w:space="0" w:color="auto"/>
        <w:bottom w:val="none" w:sz="0" w:space="0" w:color="auto"/>
        <w:right w:val="none" w:sz="0" w:space="0" w:color="auto"/>
      </w:divBdr>
    </w:div>
    <w:div w:id="1028070917">
      <w:bodyDiv w:val="1"/>
      <w:marLeft w:val="0"/>
      <w:marRight w:val="0"/>
      <w:marTop w:val="0"/>
      <w:marBottom w:val="0"/>
      <w:divBdr>
        <w:top w:val="none" w:sz="0" w:space="0" w:color="auto"/>
        <w:left w:val="none" w:sz="0" w:space="0" w:color="auto"/>
        <w:bottom w:val="none" w:sz="0" w:space="0" w:color="auto"/>
        <w:right w:val="none" w:sz="0" w:space="0" w:color="auto"/>
      </w:divBdr>
    </w:div>
    <w:div w:id="1039359033">
      <w:bodyDiv w:val="1"/>
      <w:marLeft w:val="0"/>
      <w:marRight w:val="0"/>
      <w:marTop w:val="0"/>
      <w:marBottom w:val="0"/>
      <w:divBdr>
        <w:top w:val="none" w:sz="0" w:space="0" w:color="auto"/>
        <w:left w:val="none" w:sz="0" w:space="0" w:color="auto"/>
        <w:bottom w:val="none" w:sz="0" w:space="0" w:color="auto"/>
        <w:right w:val="none" w:sz="0" w:space="0" w:color="auto"/>
      </w:divBdr>
    </w:div>
    <w:div w:id="1120227531">
      <w:bodyDiv w:val="1"/>
      <w:marLeft w:val="0"/>
      <w:marRight w:val="0"/>
      <w:marTop w:val="0"/>
      <w:marBottom w:val="0"/>
      <w:divBdr>
        <w:top w:val="none" w:sz="0" w:space="0" w:color="auto"/>
        <w:left w:val="none" w:sz="0" w:space="0" w:color="auto"/>
        <w:bottom w:val="none" w:sz="0" w:space="0" w:color="auto"/>
        <w:right w:val="none" w:sz="0" w:space="0" w:color="auto"/>
      </w:divBdr>
    </w:div>
    <w:div w:id="1122383367">
      <w:bodyDiv w:val="1"/>
      <w:marLeft w:val="0"/>
      <w:marRight w:val="0"/>
      <w:marTop w:val="0"/>
      <w:marBottom w:val="0"/>
      <w:divBdr>
        <w:top w:val="none" w:sz="0" w:space="0" w:color="auto"/>
        <w:left w:val="none" w:sz="0" w:space="0" w:color="auto"/>
        <w:bottom w:val="none" w:sz="0" w:space="0" w:color="auto"/>
        <w:right w:val="none" w:sz="0" w:space="0" w:color="auto"/>
      </w:divBdr>
    </w:div>
    <w:div w:id="1142887798">
      <w:bodyDiv w:val="1"/>
      <w:marLeft w:val="0"/>
      <w:marRight w:val="0"/>
      <w:marTop w:val="0"/>
      <w:marBottom w:val="0"/>
      <w:divBdr>
        <w:top w:val="none" w:sz="0" w:space="0" w:color="auto"/>
        <w:left w:val="none" w:sz="0" w:space="0" w:color="auto"/>
        <w:bottom w:val="none" w:sz="0" w:space="0" w:color="auto"/>
        <w:right w:val="none" w:sz="0" w:space="0" w:color="auto"/>
      </w:divBdr>
    </w:div>
    <w:div w:id="1164659382">
      <w:bodyDiv w:val="1"/>
      <w:marLeft w:val="0"/>
      <w:marRight w:val="0"/>
      <w:marTop w:val="0"/>
      <w:marBottom w:val="0"/>
      <w:divBdr>
        <w:top w:val="none" w:sz="0" w:space="0" w:color="auto"/>
        <w:left w:val="none" w:sz="0" w:space="0" w:color="auto"/>
        <w:bottom w:val="none" w:sz="0" w:space="0" w:color="auto"/>
        <w:right w:val="none" w:sz="0" w:space="0" w:color="auto"/>
      </w:divBdr>
    </w:div>
    <w:div w:id="1168786445">
      <w:bodyDiv w:val="1"/>
      <w:marLeft w:val="0"/>
      <w:marRight w:val="0"/>
      <w:marTop w:val="0"/>
      <w:marBottom w:val="0"/>
      <w:divBdr>
        <w:top w:val="none" w:sz="0" w:space="0" w:color="auto"/>
        <w:left w:val="none" w:sz="0" w:space="0" w:color="auto"/>
        <w:bottom w:val="none" w:sz="0" w:space="0" w:color="auto"/>
        <w:right w:val="none" w:sz="0" w:space="0" w:color="auto"/>
      </w:divBdr>
    </w:div>
    <w:div w:id="1245990020">
      <w:bodyDiv w:val="1"/>
      <w:marLeft w:val="0"/>
      <w:marRight w:val="0"/>
      <w:marTop w:val="0"/>
      <w:marBottom w:val="0"/>
      <w:divBdr>
        <w:top w:val="none" w:sz="0" w:space="0" w:color="auto"/>
        <w:left w:val="none" w:sz="0" w:space="0" w:color="auto"/>
        <w:bottom w:val="none" w:sz="0" w:space="0" w:color="auto"/>
        <w:right w:val="none" w:sz="0" w:space="0" w:color="auto"/>
      </w:divBdr>
    </w:div>
    <w:div w:id="1297179821">
      <w:bodyDiv w:val="1"/>
      <w:marLeft w:val="0"/>
      <w:marRight w:val="0"/>
      <w:marTop w:val="0"/>
      <w:marBottom w:val="0"/>
      <w:divBdr>
        <w:top w:val="none" w:sz="0" w:space="0" w:color="auto"/>
        <w:left w:val="none" w:sz="0" w:space="0" w:color="auto"/>
        <w:bottom w:val="none" w:sz="0" w:space="0" w:color="auto"/>
        <w:right w:val="none" w:sz="0" w:space="0" w:color="auto"/>
      </w:divBdr>
    </w:div>
    <w:div w:id="1396200339">
      <w:bodyDiv w:val="1"/>
      <w:marLeft w:val="0"/>
      <w:marRight w:val="0"/>
      <w:marTop w:val="0"/>
      <w:marBottom w:val="0"/>
      <w:divBdr>
        <w:top w:val="none" w:sz="0" w:space="0" w:color="auto"/>
        <w:left w:val="none" w:sz="0" w:space="0" w:color="auto"/>
        <w:bottom w:val="none" w:sz="0" w:space="0" w:color="auto"/>
        <w:right w:val="none" w:sz="0" w:space="0" w:color="auto"/>
      </w:divBdr>
    </w:div>
    <w:div w:id="1404569221">
      <w:bodyDiv w:val="1"/>
      <w:marLeft w:val="0"/>
      <w:marRight w:val="0"/>
      <w:marTop w:val="0"/>
      <w:marBottom w:val="0"/>
      <w:divBdr>
        <w:top w:val="none" w:sz="0" w:space="0" w:color="auto"/>
        <w:left w:val="none" w:sz="0" w:space="0" w:color="auto"/>
        <w:bottom w:val="none" w:sz="0" w:space="0" w:color="auto"/>
        <w:right w:val="none" w:sz="0" w:space="0" w:color="auto"/>
      </w:divBdr>
    </w:div>
    <w:div w:id="1460369719">
      <w:bodyDiv w:val="1"/>
      <w:marLeft w:val="0"/>
      <w:marRight w:val="0"/>
      <w:marTop w:val="0"/>
      <w:marBottom w:val="0"/>
      <w:divBdr>
        <w:top w:val="none" w:sz="0" w:space="0" w:color="auto"/>
        <w:left w:val="none" w:sz="0" w:space="0" w:color="auto"/>
        <w:bottom w:val="none" w:sz="0" w:space="0" w:color="auto"/>
        <w:right w:val="none" w:sz="0" w:space="0" w:color="auto"/>
      </w:divBdr>
    </w:div>
    <w:div w:id="1493525440">
      <w:bodyDiv w:val="1"/>
      <w:marLeft w:val="0"/>
      <w:marRight w:val="0"/>
      <w:marTop w:val="0"/>
      <w:marBottom w:val="0"/>
      <w:divBdr>
        <w:top w:val="none" w:sz="0" w:space="0" w:color="auto"/>
        <w:left w:val="none" w:sz="0" w:space="0" w:color="auto"/>
        <w:bottom w:val="none" w:sz="0" w:space="0" w:color="auto"/>
        <w:right w:val="none" w:sz="0" w:space="0" w:color="auto"/>
      </w:divBdr>
    </w:div>
    <w:div w:id="1537355623">
      <w:bodyDiv w:val="1"/>
      <w:marLeft w:val="0"/>
      <w:marRight w:val="0"/>
      <w:marTop w:val="0"/>
      <w:marBottom w:val="0"/>
      <w:divBdr>
        <w:top w:val="none" w:sz="0" w:space="0" w:color="auto"/>
        <w:left w:val="none" w:sz="0" w:space="0" w:color="auto"/>
        <w:bottom w:val="none" w:sz="0" w:space="0" w:color="auto"/>
        <w:right w:val="none" w:sz="0" w:space="0" w:color="auto"/>
      </w:divBdr>
      <w:divsChild>
        <w:div w:id="2080512404">
          <w:marLeft w:val="0"/>
          <w:marRight w:val="0"/>
          <w:marTop w:val="0"/>
          <w:marBottom w:val="0"/>
          <w:divBdr>
            <w:top w:val="none" w:sz="0" w:space="0" w:color="auto"/>
            <w:left w:val="none" w:sz="0" w:space="0" w:color="auto"/>
            <w:bottom w:val="none" w:sz="0" w:space="0" w:color="auto"/>
            <w:right w:val="none" w:sz="0" w:space="0" w:color="auto"/>
          </w:divBdr>
          <w:divsChild>
            <w:div w:id="1247690499">
              <w:marLeft w:val="0"/>
              <w:marRight w:val="0"/>
              <w:marTop w:val="0"/>
              <w:marBottom w:val="0"/>
              <w:divBdr>
                <w:top w:val="none" w:sz="0" w:space="0" w:color="auto"/>
                <w:left w:val="none" w:sz="0" w:space="0" w:color="auto"/>
                <w:bottom w:val="none" w:sz="0" w:space="0" w:color="auto"/>
                <w:right w:val="none" w:sz="0" w:space="0" w:color="auto"/>
              </w:divBdr>
              <w:divsChild>
                <w:div w:id="2061779331">
                  <w:marLeft w:val="0"/>
                  <w:marRight w:val="0"/>
                  <w:marTop w:val="0"/>
                  <w:marBottom w:val="0"/>
                  <w:divBdr>
                    <w:top w:val="none" w:sz="0" w:space="0" w:color="auto"/>
                    <w:left w:val="none" w:sz="0" w:space="0" w:color="auto"/>
                    <w:bottom w:val="none" w:sz="0" w:space="0" w:color="auto"/>
                    <w:right w:val="none" w:sz="0" w:space="0" w:color="auto"/>
                  </w:divBdr>
                  <w:divsChild>
                    <w:div w:id="1609386126">
                      <w:marLeft w:val="0"/>
                      <w:marRight w:val="0"/>
                      <w:marTop w:val="0"/>
                      <w:marBottom w:val="0"/>
                      <w:divBdr>
                        <w:top w:val="none" w:sz="0" w:space="0" w:color="auto"/>
                        <w:left w:val="none" w:sz="0" w:space="0" w:color="auto"/>
                        <w:bottom w:val="none" w:sz="0" w:space="0" w:color="auto"/>
                        <w:right w:val="none" w:sz="0" w:space="0" w:color="auto"/>
                      </w:divBdr>
                      <w:divsChild>
                        <w:div w:id="1380665428">
                          <w:marLeft w:val="0"/>
                          <w:marRight w:val="0"/>
                          <w:marTop w:val="0"/>
                          <w:marBottom w:val="0"/>
                          <w:divBdr>
                            <w:top w:val="none" w:sz="0" w:space="0" w:color="auto"/>
                            <w:left w:val="none" w:sz="0" w:space="0" w:color="auto"/>
                            <w:bottom w:val="none" w:sz="0" w:space="0" w:color="auto"/>
                            <w:right w:val="none" w:sz="0" w:space="0" w:color="auto"/>
                          </w:divBdr>
                          <w:divsChild>
                            <w:div w:id="203233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288715">
      <w:bodyDiv w:val="1"/>
      <w:marLeft w:val="0"/>
      <w:marRight w:val="0"/>
      <w:marTop w:val="0"/>
      <w:marBottom w:val="0"/>
      <w:divBdr>
        <w:top w:val="none" w:sz="0" w:space="0" w:color="auto"/>
        <w:left w:val="none" w:sz="0" w:space="0" w:color="auto"/>
        <w:bottom w:val="none" w:sz="0" w:space="0" w:color="auto"/>
        <w:right w:val="none" w:sz="0" w:space="0" w:color="auto"/>
      </w:divBdr>
    </w:div>
    <w:div w:id="1594968241">
      <w:bodyDiv w:val="1"/>
      <w:marLeft w:val="0"/>
      <w:marRight w:val="0"/>
      <w:marTop w:val="0"/>
      <w:marBottom w:val="0"/>
      <w:divBdr>
        <w:top w:val="none" w:sz="0" w:space="0" w:color="auto"/>
        <w:left w:val="none" w:sz="0" w:space="0" w:color="auto"/>
        <w:bottom w:val="none" w:sz="0" w:space="0" w:color="auto"/>
        <w:right w:val="none" w:sz="0" w:space="0" w:color="auto"/>
      </w:divBdr>
    </w:div>
    <w:div w:id="1634209926">
      <w:bodyDiv w:val="1"/>
      <w:marLeft w:val="0"/>
      <w:marRight w:val="0"/>
      <w:marTop w:val="0"/>
      <w:marBottom w:val="0"/>
      <w:divBdr>
        <w:top w:val="none" w:sz="0" w:space="0" w:color="auto"/>
        <w:left w:val="none" w:sz="0" w:space="0" w:color="auto"/>
        <w:bottom w:val="none" w:sz="0" w:space="0" w:color="auto"/>
        <w:right w:val="none" w:sz="0" w:space="0" w:color="auto"/>
      </w:divBdr>
    </w:div>
    <w:div w:id="1658730901">
      <w:bodyDiv w:val="1"/>
      <w:marLeft w:val="0"/>
      <w:marRight w:val="0"/>
      <w:marTop w:val="0"/>
      <w:marBottom w:val="0"/>
      <w:divBdr>
        <w:top w:val="none" w:sz="0" w:space="0" w:color="auto"/>
        <w:left w:val="none" w:sz="0" w:space="0" w:color="auto"/>
        <w:bottom w:val="none" w:sz="0" w:space="0" w:color="auto"/>
        <w:right w:val="none" w:sz="0" w:space="0" w:color="auto"/>
      </w:divBdr>
    </w:div>
    <w:div w:id="1663120332">
      <w:bodyDiv w:val="1"/>
      <w:marLeft w:val="0"/>
      <w:marRight w:val="0"/>
      <w:marTop w:val="0"/>
      <w:marBottom w:val="0"/>
      <w:divBdr>
        <w:top w:val="none" w:sz="0" w:space="0" w:color="auto"/>
        <w:left w:val="none" w:sz="0" w:space="0" w:color="auto"/>
        <w:bottom w:val="none" w:sz="0" w:space="0" w:color="auto"/>
        <w:right w:val="none" w:sz="0" w:space="0" w:color="auto"/>
      </w:divBdr>
    </w:div>
    <w:div w:id="1667589955">
      <w:bodyDiv w:val="1"/>
      <w:marLeft w:val="0"/>
      <w:marRight w:val="0"/>
      <w:marTop w:val="0"/>
      <w:marBottom w:val="0"/>
      <w:divBdr>
        <w:top w:val="none" w:sz="0" w:space="0" w:color="auto"/>
        <w:left w:val="none" w:sz="0" w:space="0" w:color="auto"/>
        <w:bottom w:val="none" w:sz="0" w:space="0" w:color="auto"/>
        <w:right w:val="none" w:sz="0" w:space="0" w:color="auto"/>
      </w:divBdr>
    </w:div>
    <w:div w:id="1745377411">
      <w:bodyDiv w:val="1"/>
      <w:marLeft w:val="0"/>
      <w:marRight w:val="0"/>
      <w:marTop w:val="0"/>
      <w:marBottom w:val="0"/>
      <w:divBdr>
        <w:top w:val="none" w:sz="0" w:space="0" w:color="auto"/>
        <w:left w:val="none" w:sz="0" w:space="0" w:color="auto"/>
        <w:bottom w:val="none" w:sz="0" w:space="0" w:color="auto"/>
        <w:right w:val="none" w:sz="0" w:space="0" w:color="auto"/>
      </w:divBdr>
    </w:div>
    <w:div w:id="1791897690">
      <w:bodyDiv w:val="1"/>
      <w:marLeft w:val="0"/>
      <w:marRight w:val="0"/>
      <w:marTop w:val="0"/>
      <w:marBottom w:val="0"/>
      <w:divBdr>
        <w:top w:val="none" w:sz="0" w:space="0" w:color="auto"/>
        <w:left w:val="none" w:sz="0" w:space="0" w:color="auto"/>
        <w:bottom w:val="none" w:sz="0" w:space="0" w:color="auto"/>
        <w:right w:val="none" w:sz="0" w:space="0" w:color="auto"/>
      </w:divBdr>
    </w:div>
    <w:div w:id="1819689158">
      <w:bodyDiv w:val="1"/>
      <w:marLeft w:val="0"/>
      <w:marRight w:val="0"/>
      <w:marTop w:val="0"/>
      <w:marBottom w:val="0"/>
      <w:divBdr>
        <w:top w:val="none" w:sz="0" w:space="0" w:color="auto"/>
        <w:left w:val="none" w:sz="0" w:space="0" w:color="auto"/>
        <w:bottom w:val="none" w:sz="0" w:space="0" w:color="auto"/>
        <w:right w:val="none" w:sz="0" w:space="0" w:color="auto"/>
      </w:divBdr>
    </w:div>
    <w:div w:id="1862667571">
      <w:bodyDiv w:val="1"/>
      <w:marLeft w:val="0"/>
      <w:marRight w:val="0"/>
      <w:marTop w:val="0"/>
      <w:marBottom w:val="0"/>
      <w:divBdr>
        <w:top w:val="none" w:sz="0" w:space="0" w:color="auto"/>
        <w:left w:val="none" w:sz="0" w:space="0" w:color="auto"/>
        <w:bottom w:val="none" w:sz="0" w:space="0" w:color="auto"/>
        <w:right w:val="none" w:sz="0" w:space="0" w:color="auto"/>
      </w:divBdr>
    </w:div>
    <w:div w:id="1866091852">
      <w:bodyDiv w:val="1"/>
      <w:marLeft w:val="0"/>
      <w:marRight w:val="0"/>
      <w:marTop w:val="0"/>
      <w:marBottom w:val="0"/>
      <w:divBdr>
        <w:top w:val="none" w:sz="0" w:space="0" w:color="auto"/>
        <w:left w:val="none" w:sz="0" w:space="0" w:color="auto"/>
        <w:bottom w:val="none" w:sz="0" w:space="0" w:color="auto"/>
        <w:right w:val="none" w:sz="0" w:space="0" w:color="auto"/>
      </w:divBdr>
    </w:div>
    <w:div w:id="1876846939">
      <w:bodyDiv w:val="1"/>
      <w:marLeft w:val="0"/>
      <w:marRight w:val="0"/>
      <w:marTop w:val="0"/>
      <w:marBottom w:val="0"/>
      <w:divBdr>
        <w:top w:val="none" w:sz="0" w:space="0" w:color="auto"/>
        <w:left w:val="none" w:sz="0" w:space="0" w:color="auto"/>
        <w:bottom w:val="none" w:sz="0" w:space="0" w:color="auto"/>
        <w:right w:val="none" w:sz="0" w:space="0" w:color="auto"/>
      </w:divBdr>
    </w:div>
    <w:div w:id="1906136928">
      <w:bodyDiv w:val="1"/>
      <w:marLeft w:val="0"/>
      <w:marRight w:val="0"/>
      <w:marTop w:val="0"/>
      <w:marBottom w:val="0"/>
      <w:divBdr>
        <w:top w:val="none" w:sz="0" w:space="0" w:color="auto"/>
        <w:left w:val="none" w:sz="0" w:space="0" w:color="auto"/>
        <w:bottom w:val="none" w:sz="0" w:space="0" w:color="auto"/>
        <w:right w:val="none" w:sz="0" w:space="0" w:color="auto"/>
      </w:divBdr>
    </w:div>
    <w:div w:id="1981378776">
      <w:bodyDiv w:val="1"/>
      <w:marLeft w:val="0"/>
      <w:marRight w:val="0"/>
      <w:marTop w:val="0"/>
      <w:marBottom w:val="0"/>
      <w:divBdr>
        <w:top w:val="none" w:sz="0" w:space="0" w:color="auto"/>
        <w:left w:val="none" w:sz="0" w:space="0" w:color="auto"/>
        <w:bottom w:val="none" w:sz="0" w:space="0" w:color="auto"/>
        <w:right w:val="none" w:sz="0" w:space="0" w:color="auto"/>
      </w:divBdr>
    </w:div>
    <w:div w:id="1999380771">
      <w:bodyDiv w:val="1"/>
      <w:marLeft w:val="0"/>
      <w:marRight w:val="0"/>
      <w:marTop w:val="0"/>
      <w:marBottom w:val="0"/>
      <w:divBdr>
        <w:top w:val="none" w:sz="0" w:space="0" w:color="auto"/>
        <w:left w:val="none" w:sz="0" w:space="0" w:color="auto"/>
        <w:bottom w:val="none" w:sz="0" w:space="0" w:color="auto"/>
        <w:right w:val="none" w:sz="0" w:space="0" w:color="auto"/>
      </w:divBdr>
    </w:div>
    <w:div w:id="2021351579">
      <w:bodyDiv w:val="1"/>
      <w:marLeft w:val="0"/>
      <w:marRight w:val="0"/>
      <w:marTop w:val="0"/>
      <w:marBottom w:val="0"/>
      <w:divBdr>
        <w:top w:val="none" w:sz="0" w:space="0" w:color="auto"/>
        <w:left w:val="none" w:sz="0" w:space="0" w:color="auto"/>
        <w:bottom w:val="none" w:sz="0" w:space="0" w:color="auto"/>
        <w:right w:val="none" w:sz="0" w:space="0" w:color="auto"/>
      </w:divBdr>
    </w:div>
    <w:div w:id="2050957593">
      <w:bodyDiv w:val="1"/>
      <w:marLeft w:val="0"/>
      <w:marRight w:val="0"/>
      <w:marTop w:val="0"/>
      <w:marBottom w:val="0"/>
      <w:divBdr>
        <w:top w:val="none" w:sz="0" w:space="0" w:color="auto"/>
        <w:left w:val="none" w:sz="0" w:space="0" w:color="auto"/>
        <w:bottom w:val="none" w:sz="0" w:space="0" w:color="auto"/>
        <w:right w:val="none" w:sz="0" w:space="0" w:color="auto"/>
      </w:divBdr>
    </w:div>
    <w:div w:id="2078167387">
      <w:bodyDiv w:val="1"/>
      <w:marLeft w:val="0"/>
      <w:marRight w:val="0"/>
      <w:marTop w:val="0"/>
      <w:marBottom w:val="0"/>
      <w:divBdr>
        <w:top w:val="none" w:sz="0" w:space="0" w:color="auto"/>
        <w:left w:val="none" w:sz="0" w:space="0" w:color="auto"/>
        <w:bottom w:val="none" w:sz="0" w:space="0" w:color="auto"/>
        <w:right w:val="none" w:sz="0" w:space="0" w:color="auto"/>
      </w:divBdr>
    </w:div>
    <w:div w:id="209177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b@yorku.ca"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Placeholder1</b:Tag>
    <b:SourceType>Book</b:SourceType>
    <b:Guid>{9EB1653E-9FD2-44DF-B7B9-02632AFED6BE}</b:Guid>
    <b:RefOrder>6</b:RefOrder>
  </b:Source>
  <b:Source>
    <b:Tag>New12</b:Tag>
    <b:SourceType>Book</b:SourceType>
    <b:Guid>{9EC46768-567A-44E1-ABCA-8BBB560ECF64}</b:Guid>
    <b:Author>
      <b:Author>
        <b:NameList>
          <b:Person>
            <b:Last>Newbold</b:Last>
            <b:First>P.</b:First>
            <b:Middle>and Carlson, W. and Thorne, B.</b:Middle>
          </b:Person>
        </b:NameList>
      </b:Author>
    </b:Author>
    <b:Title>Statistics for Business and Economics</b:Title>
    <b:Year>2012</b:Year>
    <b:Publisher>Pearson Education</b:Publisher>
    <b:RefOrder>7</b:RefOrder>
  </b:Source>
  <b:Source>
    <b:Tag>Mai22</b:Tag>
    <b:SourceType>JournalArticle</b:SourceType>
    <b:Guid>{C4BD7242-4963-414B-8E65-C07F8E0DAB80}</b:Guid>
    <b:Author>
      <b:Author>
        <b:NameList>
          <b:Person>
            <b:Last>Maier</b:Last>
            <b:First>Maximilian</b:First>
            <b:Middle>and Barto{\v{s}}, Franti{\v{s}}ek and Quintana, Daniel and Dablander, Fabian and van den Bergh, Don and Marsman, Maarten and Ly, Alexander and Wagenmakers, Eric-Jan</b:Middle>
          </b:Person>
        </b:NameList>
      </b:Author>
    </b:Author>
    <b:Title>Model-averaged Bayesian T-tests</b:Title>
    <b:JournalName>PsyArXiv</b:JournalName>
    <b:Year>2022</b:Year>
    <b:RefOrder>8</b:RefOrder>
  </b:Source>
  <b:Source>
    <b:Tag>Kut05</b:Tag>
    <b:SourceType>Book</b:SourceType>
    <b:Guid>{75C945A2-17B3-4356-B202-FA94113400C5}</b:Guid>
    <b:Title>Applied linear statistical models</b:Title>
    <b:Year>2005</b:Year>
    <b:Publisher>McGraw-hill</b:Publisher>
    <b:Author>
      <b:Author>
        <b:NameList>
          <b:Person>
            <b:Last>Kutner</b:Last>
            <b:First>Michael</b:First>
            <b:Middle>H and Nachtsheim, Christopher J and Neter, John and Li, William</b:Middle>
          </b:Person>
        </b:NameList>
      </b:Author>
    </b:Author>
    <b:RefOrder>9</b:RefOrder>
  </b:Source>
  <b:Source>
    <b:Tag>Zha24</b:Tag>
    <b:SourceType>JournalArticle</b:SourceType>
    <b:Guid>{925EB392-858B-4D34-A337-6185EB89E938}</b:Guid>
    <b:Author>
      <b:Author>
        <b:NameList>
          <b:Person>
            <b:Last>Zhang</b:Last>
            <b:First>WenJun</b:First>
            <b:Middle>and Qi, YanHong</b:Middle>
          </b:Person>
        </b:NameList>
      </b:Author>
    </b:Author>
    <b:Title>ANOVA-nSTAT: ANOVA methodology and computational tools in the paradigm of new statistics</b:Title>
    <b:JournalName>Computational Ecology and Software</b:JournalName>
    <b:Year>2024</b:Year>
    <b:Pages>48--67</b:Pages>
    <b:RefOrder>10</b:RefOrder>
  </b:Source>
  <b:Source>
    <b:Tag>Lev60</b:Tag>
    <b:SourceType>ArticleInAPeriodical</b:SourceType>
    <b:Guid>{1BFF0CA9-2959-455D-9E84-BC9AE1EDBC42}</b:Guid>
    <b:Author>
      <b:Author>
        <b:NameList>
          <b:Person>
            <b:Last>Levene</b:Last>
            <b:First>Howard</b:First>
          </b:Person>
        </b:NameList>
      </b:Author>
    </b:Author>
    <b:Title>Robust tests for equality of variances. In Contributions to Probability and Statistics: Essays in Honor of Harold Hotelling</b:Title>
    <b:Year>1960</b:Year>
    <b:Pages>278-292</b:Pages>
    <b:RefOrder>2</b:RefOrder>
  </b:Source>
  <b:Source>
    <b:Tag>ONe19</b:Tag>
    <b:SourceType>JournalArticle</b:SourceType>
    <b:Guid>{E3C60541-5986-48AE-BFC9-37AD00423739}</b:Guid>
    <b:Author>
      <b:Author>
        <b:NameList>
          <b:Person>
            <b:Last>O'Neill</b:Last>
            <b:First>Michael</b:First>
            <b:Middle>E. and Mathews, Ky L.</b:Middle>
          </b:Person>
        </b:NameList>
      </b:Author>
    </b:Author>
    <b:Title>A comparison of five bootstrap and non-bootstrap levene-type tests of homogeneity of variances</b:Title>
    <b:JournalName>Iranian Journal of Science and Technology, Transactions A: Science</b:JournalName>
    <b:Year>2019</b:Year>
    <b:Pages>979--989</b:Pages>
    <b:RefOrder>11</b:RefOrder>
  </b:Source>
  <b:Source>
    <b:Tag>McK10</b:Tag>
    <b:SourceType>JournalArticle</b:SourceType>
    <b:Guid>{D1BC0A4B-19F3-4ACB-BBFF-2939DC0D2D1C}</b:Guid>
    <b:Author>
      <b:Author>
        <b:NameList>
          <b:Person>
            <b:Last>McKnight</b:Last>
            <b:First>Patrick</b:First>
            <b:Middle>E and Najab, Julius</b:Middle>
          </b:Person>
        </b:NameList>
      </b:Author>
    </b:Author>
    <b:Title>Mann-Whitney U Test</b:Title>
    <b:JournalName>Wiley Online Library</b:JournalName>
    <b:Year>2010</b:Year>
    <b:Pages>1--1</b:Pages>
    <b:RefOrder>3</b:RefOrder>
  </b:Source>
  <b:Source>
    <b:Tag>Kru52</b:Tag>
    <b:SourceType>JournalArticle</b:SourceType>
    <b:Guid>{EAEB1A8E-64D9-4879-AAC9-DF38CE6C7003}</b:Guid>
    <b:Author>
      <b:Author>
        <b:NameList>
          <b:Person>
            <b:Last>Kruskal</b:Last>
            <b:First>William</b:First>
            <b:Middle>H and Wallis, W Allen</b:Middle>
          </b:Person>
        </b:NameList>
      </b:Author>
    </b:Author>
    <b:Title>Use of ranks in one-criterion variance analysis</b:Title>
    <b:JournalName>Journal of the American statistical Association</b:JournalName>
    <b:Year>1952</b:Year>
    <b:Pages>583--621</b:Pages>
    <b:RefOrder>4</b:RefOrder>
  </b:Source>
  <b:Source>
    <b:Tag>Cle792</b:Tag>
    <b:SourceType>JournalArticle</b:SourceType>
    <b:Guid>{DB206316-299C-49F3-BBDE-6AA222C014B8}</b:Guid>
    <b:Author>
      <b:Author>
        <b:NameList>
          <b:Person>
            <b:Last>Cleveland</b:Last>
            <b:First>William</b:First>
            <b:Middle>S</b:Middle>
          </b:Person>
        </b:NameList>
      </b:Author>
    </b:Author>
    <b:Title>Robust locally weighted regression and smoothing scatterplots</b:Title>
    <b:JournalName>Journal of the American statistical association</b:JournalName>
    <b:Year>1979</b:Year>
    <b:Pages>829--836</b:Pages>
    <b:RefOrder>5</b:RefOrder>
  </b:Source>
  <b:Source>
    <b:Tag>Gon22</b:Tag>
    <b:SourceType>JournalArticle</b:SourceType>
    <b:Guid>{76D06892-9AD1-451F-A552-4C95E109CCC6}</b:Guid>
    <b:Author>
      <b:Author>
        <b:NameList>
          <b:Person>
            <b:Last>Razali</b:Last>
            <b:First>Nornadiah</b:First>
            <b:Middle>Mohd and Wah, Yap Bee and others</b:Middle>
          </b:Person>
        </b:NameList>
      </b:Author>
    </b:Author>
    <b:Title>Power comparisons of shapiro-wilk, kolmogorov-smirnov, lilliefors and anderson-darling tests</b:Title>
    <b:JournalName>Journal of statistical modeling and analytics</b:JournalName>
    <b:Year>2011</b:Year>
    <b:Pages>21--33</b:Pages>
    <b:RefOrder>1</b:RefOrder>
  </b:Source>
</b:Sources>
</file>

<file path=customXml/itemProps1.xml><?xml version="1.0" encoding="utf-8"?>
<ds:datastoreItem xmlns:ds="http://schemas.openxmlformats.org/officeDocument/2006/customXml" ds:itemID="{060D23D5-D0E3-4993-8F94-D64B038DC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4151</Words>
  <Characters>23665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Ziaur Bijli G</cp:lastModifiedBy>
  <cp:revision>3</cp:revision>
  <dcterms:created xsi:type="dcterms:W3CDTF">2025-05-29T23:46:00Z</dcterms:created>
  <dcterms:modified xsi:type="dcterms:W3CDTF">2025-07-05T10:34:00Z</dcterms:modified>
</cp:coreProperties>
</file>