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A974A" w14:textId="77777777" w:rsidR="0002326D" w:rsidRPr="00684BD2" w:rsidRDefault="0002326D" w:rsidP="007220FA">
      <w:pPr>
        <w:spacing w:after="0" w:line="360" w:lineRule="auto"/>
        <w:jc w:val="both"/>
        <w:rPr>
          <w:rFonts w:ascii="Times New Roman" w:hAnsi="Times New Roman" w:cs="Times New Roman"/>
          <w:b/>
          <w:bCs/>
          <w:sz w:val="20"/>
          <w:szCs w:val="20"/>
        </w:rPr>
      </w:pPr>
      <w:r w:rsidRPr="00684BD2">
        <w:rPr>
          <w:rFonts w:ascii="Times New Roman" w:hAnsi="Times New Roman" w:cs="Times New Roman"/>
          <w:b/>
          <w:bCs/>
          <w:sz w:val="20"/>
          <w:szCs w:val="20"/>
        </w:rPr>
        <w:t>Supplementary Figure legends</w:t>
      </w:r>
    </w:p>
    <w:p w14:paraId="2E0AC49B" w14:textId="77777777" w:rsidR="0002326D" w:rsidRDefault="0002326D" w:rsidP="007220FA">
      <w:pPr>
        <w:spacing w:after="0" w:line="360" w:lineRule="auto"/>
        <w:jc w:val="both"/>
        <w:rPr>
          <w:rFonts w:ascii="Times New Roman" w:hAnsi="Times New Roman" w:cs="Times New Roman"/>
          <w:bCs/>
          <w:sz w:val="20"/>
          <w:szCs w:val="20"/>
        </w:rPr>
      </w:pPr>
      <w:r w:rsidRPr="00684BD2">
        <w:rPr>
          <w:rFonts w:ascii="Times New Roman" w:hAnsi="Times New Roman" w:cs="Times New Roman"/>
          <w:b/>
          <w:bCs/>
          <w:sz w:val="20"/>
          <w:szCs w:val="20"/>
        </w:rPr>
        <w:t>Supplementary Fig. 1</w:t>
      </w:r>
      <w:r w:rsidR="0091347A" w:rsidRPr="00684BD2">
        <w:rPr>
          <w:rFonts w:ascii="Times New Roman" w:hAnsi="Times New Roman" w:cs="Times New Roman"/>
          <w:b/>
          <w:bCs/>
          <w:sz w:val="20"/>
          <w:szCs w:val="20"/>
        </w:rPr>
        <w:t>.</w:t>
      </w:r>
      <w:r w:rsidRPr="00684BD2">
        <w:rPr>
          <w:rFonts w:ascii="Times New Roman" w:hAnsi="Times New Roman" w:cs="Times New Roman"/>
          <w:bCs/>
          <w:sz w:val="20"/>
          <w:szCs w:val="20"/>
        </w:rPr>
        <w:t xml:space="preserve"> </w:t>
      </w:r>
      <w:r w:rsidR="0091347A" w:rsidRPr="00684BD2">
        <w:rPr>
          <w:rFonts w:ascii="Times New Roman" w:hAnsi="Times New Roman" w:cs="Times New Roman"/>
          <w:bCs/>
          <w:sz w:val="20"/>
          <w:szCs w:val="20"/>
        </w:rPr>
        <w:t>PIEZO1</w:t>
      </w:r>
      <w:r w:rsidRPr="00684BD2">
        <w:rPr>
          <w:rFonts w:ascii="Times New Roman" w:hAnsi="Times New Roman" w:cs="Times New Roman"/>
          <w:bCs/>
          <w:sz w:val="20"/>
          <w:szCs w:val="20"/>
        </w:rPr>
        <w:t xml:space="preserve"> expression is essential for differentiation capacity of BM-MSCs, but </w:t>
      </w:r>
      <w:r w:rsidR="0091347A" w:rsidRPr="00684BD2">
        <w:rPr>
          <w:rFonts w:ascii="Times New Roman" w:hAnsi="Times New Roman" w:cs="Times New Roman"/>
          <w:bCs/>
          <w:sz w:val="20"/>
          <w:szCs w:val="20"/>
        </w:rPr>
        <w:t>PIEZO1</w:t>
      </w:r>
      <w:r w:rsidRPr="00684BD2">
        <w:rPr>
          <w:rFonts w:ascii="Times New Roman" w:hAnsi="Times New Roman" w:cs="Times New Roman"/>
          <w:bCs/>
          <w:sz w:val="20"/>
          <w:szCs w:val="20"/>
        </w:rPr>
        <w:t xml:space="preserve"> activation by yoda1 reversibly inhibits differentiation. Representative micrographs (A) and alizarin red S (ARS) quantification (B) of ARS-stained osteo-differentiated BM-MSCs left untreated (UNTR) or treated with 5μM yoda1 for initial 48 hours (YODA1-48 </w:t>
      </w:r>
      <w:proofErr w:type="spellStart"/>
      <w:r w:rsidRPr="00684BD2">
        <w:rPr>
          <w:rFonts w:ascii="Times New Roman" w:hAnsi="Times New Roman" w:cs="Times New Roman"/>
          <w:bCs/>
          <w:sz w:val="20"/>
          <w:szCs w:val="20"/>
        </w:rPr>
        <w:t>hr</w:t>
      </w:r>
      <w:proofErr w:type="spellEnd"/>
      <w:r w:rsidRPr="00684BD2">
        <w:rPr>
          <w:rFonts w:ascii="Times New Roman" w:hAnsi="Times New Roman" w:cs="Times New Roman"/>
          <w:bCs/>
          <w:sz w:val="20"/>
          <w:szCs w:val="20"/>
        </w:rPr>
        <w:t xml:space="preserve">) or continuously (YODA1-14D) for 14 days of differentiation. Values are </w:t>
      </w:r>
      <w:proofErr w:type="spellStart"/>
      <w:r w:rsidRPr="00684BD2">
        <w:rPr>
          <w:rFonts w:ascii="Times New Roman" w:hAnsi="Times New Roman" w:cs="Times New Roman"/>
          <w:bCs/>
          <w:sz w:val="20"/>
          <w:szCs w:val="20"/>
        </w:rPr>
        <w:t>Mean+SD</w:t>
      </w:r>
      <w:proofErr w:type="spellEnd"/>
      <w:r w:rsidRPr="00684BD2">
        <w:rPr>
          <w:rFonts w:ascii="Times New Roman" w:hAnsi="Times New Roman" w:cs="Times New Roman"/>
          <w:bCs/>
          <w:sz w:val="20"/>
          <w:szCs w:val="20"/>
        </w:rPr>
        <w:t xml:space="preserve"> for n=4 independent samples. Whole-well images (C), and ARS quantification (D) of ARS-stained 14 days-osteo-differentiated BM-MSCs differentiated directly (Pre-treated) or post passaging (Passaged) after being left untreated (UNTR) or treated with 5μM yoda1 (YODA1) for 48hrs. </w:t>
      </w:r>
      <w:proofErr w:type="spellStart"/>
      <w:r w:rsidRPr="00684BD2">
        <w:rPr>
          <w:rFonts w:ascii="Times New Roman" w:hAnsi="Times New Roman" w:cs="Times New Roman"/>
          <w:bCs/>
          <w:sz w:val="20"/>
          <w:szCs w:val="20"/>
        </w:rPr>
        <w:t>Mean+SD</w:t>
      </w:r>
      <w:proofErr w:type="spellEnd"/>
      <w:r w:rsidRPr="00684BD2">
        <w:rPr>
          <w:rFonts w:ascii="Times New Roman" w:hAnsi="Times New Roman" w:cs="Times New Roman"/>
          <w:bCs/>
          <w:sz w:val="20"/>
          <w:szCs w:val="20"/>
        </w:rPr>
        <w:t xml:space="preserve"> values, n=3 are shown for 2 independent samples (S1-2). Whole well images (E) and ARS quantification (F) of osteo-differentiation in control transduced (CON) and </w:t>
      </w:r>
      <w:r w:rsidR="0091347A" w:rsidRPr="00684BD2">
        <w:rPr>
          <w:rFonts w:ascii="Times New Roman" w:hAnsi="Times New Roman" w:cs="Times New Roman"/>
          <w:bCs/>
          <w:sz w:val="20"/>
          <w:szCs w:val="20"/>
        </w:rPr>
        <w:t>PIEZO1</w:t>
      </w:r>
      <w:r w:rsidRPr="00684BD2">
        <w:rPr>
          <w:rFonts w:ascii="Times New Roman" w:hAnsi="Times New Roman" w:cs="Times New Roman"/>
          <w:bCs/>
          <w:sz w:val="20"/>
          <w:szCs w:val="20"/>
        </w:rPr>
        <w:t xml:space="preserve">-silenced BM-MSCs (shPIEZO1) from 3 different donors. </w:t>
      </w:r>
      <w:proofErr w:type="spellStart"/>
      <w:r w:rsidRPr="00684BD2">
        <w:rPr>
          <w:rFonts w:ascii="Times New Roman" w:hAnsi="Times New Roman" w:cs="Times New Roman"/>
          <w:bCs/>
          <w:sz w:val="20"/>
          <w:szCs w:val="20"/>
        </w:rPr>
        <w:t>Mean+SD</w:t>
      </w:r>
      <w:proofErr w:type="spellEnd"/>
      <w:r w:rsidRPr="00684BD2">
        <w:rPr>
          <w:rFonts w:ascii="Times New Roman" w:hAnsi="Times New Roman" w:cs="Times New Roman"/>
          <w:bCs/>
          <w:sz w:val="20"/>
          <w:szCs w:val="20"/>
        </w:rPr>
        <w:t xml:space="preserve"> values for n=3 is shown. Whole well images (G) and ARS quantification (H) of osteo-differentiation in control (CON) and </w:t>
      </w:r>
      <w:proofErr w:type="spellStart"/>
      <w:r w:rsidRPr="00684BD2">
        <w:rPr>
          <w:rFonts w:ascii="Times New Roman" w:hAnsi="Times New Roman" w:cs="Times New Roman"/>
          <w:bCs/>
          <w:sz w:val="20"/>
          <w:szCs w:val="20"/>
        </w:rPr>
        <w:t>sh</w:t>
      </w:r>
      <w:proofErr w:type="spellEnd"/>
      <w:r w:rsidR="0091347A" w:rsidRPr="00684BD2">
        <w:rPr>
          <w:rFonts w:ascii="Times New Roman" w:hAnsi="Times New Roman" w:cs="Times New Roman"/>
          <w:bCs/>
          <w:sz w:val="20"/>
          <w:szCs w:val="20"/>
        </w:rPr>
        <w:t xml:space="preserve"> PIEZO1</w:t>
      </w:r>
      <w:r w:rsidRPr="00684BD2">
        <w:rPr>
          <w:rFonts w:ascii="Times New Roman" w:hAnsi="Times New Roman" w:cs="Times New Roman"/>
          <w:bCs/>
          <w:sz w:val="20"/>
          <w:szCs w:val="20"/>
        </w:rPr>
        <w:t xml:space="preserve">-BM-MSCs pre-treated with indicated concentration of yoda1 for 48 hours before induction. </w:t>
      </w:r>
      <w:proofErr w:type="spellStart"/>
      <w:r w:rsidRPr="00684BD2">
        <w:rPr>
          <w:rFonts w:ascii="Times New Roman" w:hAnsi="Times New Roman" w:cs="Times New Roman"/>
          <w:bCs/>
          <w:sz w:val="20"/>
          <w:szCs w:val="20"/>
        </w:rPr>
        <w:t>Mean+SD</w:t>
      </w:r>
      <w:proofErr w:type="spellEnd"/>
      <w:r w:rsidRPr="00684BD2">
        <w:rPr>
          <w:rFonts w:ascii="Times New Roman" w:hAnsi="Times New Roman" w:cs="Times New Roman"/>
          <w:bCs/>
          <w:sz w:val="20"/>
          <w:szCs w:val="20"/>
        </w:rPr>
        <w:t xml:space="preserve"> values are shown for n=3. *p &lt; 0.05, **p &lt; 0.005, ***p &lt; 0.0005</w:t>
      </w:r>
    </w:p>
    <w:p w14:paraId="6E25362A" w14:textId="77777777" w:rsidR="00AF7B8A" w:rsidRPr="00684BD2" w:rsidRDefault="00AF7B8A" w:rsidP="007220FA">
      <w:pPr>
        <w:spacing w:after="0" w:line="360" w:lineRule="auto"/>
        <w:jc w:val="both"/>
        <w:rPr>
          <w:rFonts w:ascii="Times New Roman" w:hAnsi="Times New Roman" w:cs="Times New Roman"/>
          <w:bCs/>
          <w:sz w:val="20"/>
          <w:szCs w:val="20"/>
        </w:rPr>
      </w:pPr>
    </w:p>
    <w:p w14:paraId="249BCA84" w14:textId="77777777" w:rsidR="00293A8D" w:rsidRDefault="00AF7B8A" w:rsidP="00AF7B8A">
      <w:pPr>
        <w:spacing w:line="360" w:lineRule="auto"/>
        <w:jc w:val="both"/>
        <w:rPr>
          <w:rFonts w:ascii="Times New Roman" w:hAnsi="Times New Roman" w:cs="Times New Roman"/>
          <w:bCs/>
          <w:sz w:val="20"/>
          <w:szCs w:val="20"/>
        </w:rPr>
      </w:pPr>
      <w:r w:rsidRPr="00AF7B8A">
        <w:rPr>
          <w:rFonts w:ascii="Times New Roman" w:hAnsi="Times New Roman" w:cs="Times New Roman"/>
          <w:b/>
          <w:bCs/>
          <w:sz w:val="20"/>
          <w:szCs w:val="20"/>
        </w:rPr>
        <w:t>Supplementary Fig. 2</w:t>
      </w:r>
      <w:r>
        <w:rPr>
          <w:rFonts w:ascii="Times New Roman" w:hAnsi="Times New Roman" w:cs="Times New Roman"/>
          <w:b/>
          <w:bCs/>
          <w:sz w:val="20"/>
          <w:szCs w:val="20"/>
        </w:rPr>
        <w:t>.</w:t>
      </w:r>
      <w:r w:rsidRPr="00AF7B8A">
        <w:rPr>
          <w:rFonts w:ascii="Times New Roman" w:hAnsi="Times New Roman" w:cs="Times New Roman"/>
          <w:b/>
          <w:bCs/>
          <w:sz w:val="20"/>
          <w:szCs w:val="20"/>
        </w:rPr>
        <w:t xml:space="preserve"> </w:t>
      </w:r>
      <w:r w:rsidRPr="00AF7B8A">
        <w:rPr>
          <w:rFonts w:ascii="Times New Roman" w:hAnsi="Times New Roman" w:cs="Times New Roman"/>
          <w:bCs/>
          <w:sz w:val="20"/>
          <w:szCs w:val="20"/>
        </w:rPr>
        <w:t xml:space="preserve">Yoda-1 induced PIEZO1 activity modulates proliferation and mitochondrial function of BM-MSCs, but the effects are reversible. (A) BM-MSCs were treated with 0-10μM yoda1 for 72 hours and counted by trypan blue exclusion to assess proliferation. </w:t>
      </w:r>
      <w:proofErr w:type="spellStart"/>
      <w:r w:rsidRPr="00AF7B8A">
        <w:rPr>
          <w:rFonts w:ascii="Times New Roman" w:hAnsi="Times New Roman" w:cs="Times New Roman"/>
          <w:bCs/>
          <w:sz w:val="20"/>
          <w:szCs w:val="20"/>
        </w:rPr>
        <w:t>Mean+SD</w:t>
      </w:r>
      <w:proofErr w:type="spellEnd"/>
      <w:r w:rsidRPr="00AF7B8A">
        <w:rPr>
          <w:rFonts w:ascii="Times New Roman" w:hAnsi="Times New Roman" w:cs="Times New Roman"/>
          <w:bCs/>
          <w:sz w:val="20"/>
          <w:szCs w:val="20"/>
        </w:rPr>
        <w:t xml:space="preserve"> values are shown for n=3. (B) Cell viability of BM-MSCs after 48hr treatment with the indicated concentrations of either yoda1 (YODA1), dooku1 (DOOKU1), or equimolar combination of yoda1+dooku1 (Y+D) was assessed by Annexin V/PI assay using flow cytometry. Values are </w:t>
      </w:r>
      <w:proofErr w:type="spellStart"/>
      <w:r w:rsidRPr="00AF7B8A">
        <w:rPr>
          <w:rFonts w:ascii="Times New Roman" w:hAnsi="Times New Roman" w:cs="Times New Roman"/>
          <w:bCs/>
          <w:sz w:val="20"/>
          <w:szCs w:val="20"/>
        </w:rPr>
        <w:t>mean+SD</w:t>
      </w:r>
      <w:proofErr w:type="spellEnd"/>
      <w:r w:rsidRPr="00AF7B8A">
        <w:rPr>
          <w:rFonts w:ascii="Times New Roman" w:hAnsi="Times New Roman" w:cs="Times New Roman"/>
          <w:bCs/>
          <w:sz w:val="20"/>
          <w:szCs w:val="20"/>
        </w:rPr>
        <w:t xml:space="preserve">, n=3. (C) Representative data showing Mitochondrial ROS levels determined by MITOSOX staining in untreated (UNTR) and yoda1-treated (5μM for 48h; YODA1) BM-MSCs (n=3). (D) Representative data showing total mitochondrial mass in BM-MSCs left untreated (UNTR) or treated with 5μM yoda1 (YODA1) for 48 hours determined by </w:t>
      </w:r>
      <w:proofErr w:type="spellStart"/>
      <w:r w:rsidRPr="00AF7B8A">
        <w:rPr>
          <w:rFonts w:ascii="Times New Roman" w:hAnsi="Times New Roman" w:cs="Times New Roman"/>
          <w:bCs/>
          <w:sz w:val="20"/>
          <w:szCs w:val="20"/>
        </w:rPr>
        <w:t>Mitotracker</w:t>
      </w:r>
      <w:proofErr w:type="spellEnd"/>
      <w:r w:rsidRPr="00AF7B8A">
        <w:rPr>
          <w:rFonts w:ascii="Times New Roman" w:hAnsi="Times New Roman" w:cs="Times New Roman"/>
          <w:bCs/>
          <w:sz w:val="20"/>
          <w:szCs w:val="20"/>
        </w:rPr>
        <w:t xml:space="preserve"> staining. </w:t>
      </w:r>
      <w:proofErr w:type="spellStart"/>
      <w:r w:rsidRPr="00AF7B8A">
        <w:rPr>
          <w:rFonts w:ascii="Times New Roman" w:hAnsi="Times New Roman" w:cs="Times New Roman"/>
          <w:bCs/>
          <w:sz w:val="20"/>
          <w:szCs w:val="20"/>
        </w:rPr>
        <w:t>Mean±SD</w:t>
      </w:r>
      <w:proofErr w:type="spellEnd"/>
      <w:r w:rsidRPr="00AF7B8A">
        <w:rPr>
          <w:rFonts w:ascii="Times New Roman" w:hAnsi="Times New Roman" w:cs="Times New Roman"/>
          <w:bCs/>
          <w:sz w:val="20"/>
          <w:szCs w:val="20"/>
        </w:rPr>
        <w:t xml:space="preserve"> value for n=3 is shown in C and D. (E) Representative images showing mitochondrial distribution in TMRE-stained BM-MSCs which were left untreated (UNTR) or treated with 5μM yoda1 (YODA1) for 48 hours. The white line in the images represents the scale bar: 100 </w:t>
      </w:r>
      <w:proofErr w:type="spellStart"/>
      <w:r w:rsidRPr="00AF7B8A">
        <w:rPr>
          <w:rFonts w:ascii="Times New Roman" w:hAnsi="Times New Roman" w:cs="Times New Roman"/>
          <w:bCs/>
          <w:sz w:val="20"/>
          <w:szCs w:val="20"/>
        </w:rPr>
        <w:t>μm</w:t>
      </w:r>
      <w:proofErr w:type="spellEnd"/>
      <w:r w:rsidRPr="00AF7B8A">
        <w:rPr>
          <w:rFonts w:ascii="Times New Roman" w:hAnsi="Times New Roman" w:cs="Times New Roman"/>
          <w:bCs/>
          <w:sz w:val="20"/>
          <w:szCs w:val="20"/>
        </w:rPr>
        <w:t xml:space="preserve"> in upper row; 40 </w:t>
      </w:r>
      <w:proofErr w:type="spellStart"/>
      <w:r w:rsidRPr="00AF7B8A">
        <w:rPr>
          <w:rFonts w:ascii="Times New Roman" w:hAnsi="Times New Roman" w:cs="Times New Roman"/>
          <w:bCs/>
          <w:sz w:val="20"/>
          <w:szCs w:val="20"/>
        </w:rPr>
        <w:t>μm</w:t>
      </w:r>
      <w:proofErr w:type="spellEnd"/>
      <w:r w:rsidRPr="00AF7B8A">
        <w:rPr>
          <w:rFonts w:ascii="Times New Roman" w:hAnsi="Times New Roman" w:cs="Times New Roman"/>
          <w:bCs/>
          <w:sz w:val="20"/>
          <w:szCs w:val="20"/>
        </w:rPr>
        <w:t xml:space="preserve"> in lower row. (F) Cell area and mitochondrial density of TMRE-stained BM-MSCs described in E was calculated using ImageJ. Values are </w:t>
      </w:r>
      <w:proofErr w:type="spellStart"/>
      <w:r w:rsidRPr="00AF7B8A">
        <w:rPr>
          <w:rFonts w:ascii="Times New Roman" w:hAnsi="Times New Roman" w:cs="Times New Roman"/>
          <w:bCs/>
          <w:sz w:val="20"/>
          <w:szCs w:val="20"/>
        </w:rPr>
        <w:t>mean+SD</w:t>
      </w:r>
      <w:proofErr w:type="spellEnd"/>
      <w:r w:rsidRPr="00AF7B8A">
        <w:rPr>
          <w:rFonts w:ascii="Times New Roman" w:hAnsi="Times New Roman" w:cs="Times New Roman"/>
          <w:bCs/>
          <w:sz w:val="20"/>
          <w:szCs w:val="20"/>
        </w:rPr>
        <w:t xml:space="preserve">, n&gt;38 different cells in each condition. (G) The proliferation of BM-MSCs left untreated (UNTR) or treated with 5μM yoda1 for 7 days was assessed for additional two passages after removal of yoda1 (P0). Values are </w:t>
      </w:r>
      <w:proofErr w:type="spellStart"/>
      <w:r w:rsidRPr="00AF7B8A">
        <w:rPr>
          <w:rFonts w:ascii="Times New Roman" w:hAnsi="Times New Roman" w:cs="Times New Roman"/>
          <w:bCs/>
          <w:sz w:val="20"/>
          <w:szCs w:val="20"/>
        </w:rPr>
        <w:t>mean±SD</w:t>
      </w:r>
      <w:proofErr w:type="spellEnd"/>
      <w:r w:rsidRPr="00AF7B8A">
        <w:rPr>
          <w:rFonts w:ascii="Times New Roman" w:hAnsi="Times New Roman" w:cs="Times New Roman"/>
          <w:bCs/>
          <w:sz w:val="20"/>
          <w:szCs w:val="20"/>
        </w:rPr>
        <w:t xml:space="preserve"> for n=3 different wells. (H) Fold change in ITGB1 (CD29) expression between untreated (UNTR) and yoda1-treated (5μM for 48 h; YODA1) BM-MSCs described in G at different passages. (I) Migration rate of BM-MSCs left untreated (UNTR) or treated with 1μM Yoda1 (YODA1) for 5 min, 15 min, or throughout migration assay (continuous). Mean +SD values are shown for n&gt;6 different regions. (J) Representative micrographs taken at 0hr and 26hr for wound healing assay described in I. (K) Cell viability of THP1 and HL60 cells was assessed after 48 h of treatment with the indicated concentrations of cytarabine (CYT), both in monoculture and in co-culture with BM-MSCs. Values are mean ± SD from n = 3 independent wells per condition and * indicates p-values for unpaired </w:t>
      </w:r>
      <w:proofErr w:type="spellStart"/>
      <w:r w:rsidRPr="00AF7B8A">
        <w:rPr>
          <w:rFonts w:ascii="Times New Roman" w:hAnsi="Times New Roman" w:cs="Times New Roman"/>
          <w:bCs/>
          <w:sz w:val="20"/>
          <w:szCs w:val="20"/>
        </w:rPr>
        <w:t>t.test</w:t>
      </w:r>
      <w:proofErr w:type="spellEnd"/>
      <w:r w:rsidRPr="00AF7B8A">
        <w:rPr>
          <w:rFonts w:ascii="Times New Roman" w:hAnsi="Times New Roman" w:cs="Times New Roman"/>
          <w:bCs/>
          <w:sz w:val="20"/>
          <w:szCs w:val="20"/>
        </w:rPr>
        <w:t xml:space="preserve"> comparisons between corresponding monoculture and coculture </w:t>
      </w:r>
      <w:proofErr w:type="gramStart"/>
      <w:r w:rsidRPr="00AF7B8A">
        <w:rPr>
          <w:rFonts w:ascii="Times New Roman" w:hAnsi="Times New Roman" w:cs="Times New Roman"/>
          <w:bCs/>
          <w:sz w:val="20"/>
          <w:szCs w:val="20"/>
        </w:rPr>
        <w:t>conditions.*</w:t>
      </w:r>
      <w:proofErr w:type="gramEnd"/>
      <w:r w:rsidRPr="00AF7B8A">
        <w:rPr>
          <w:rFonts w:ascii="Times New Roman" w:hAnsi="Times New Roman" w:cs="Times New Roman"/>
          <w:bCs/>
          <w:sz w:val="20"/>
          <w:szCs w:val="20"/>
        </w:rPr>
        <w:t>p &lt; 0.05, **p &lt; 0.005, ***p &lt; 0.0005</w:t>
      </w:r>
    </w:p>
    <w:p w14:paraId="07B4FB1B" w14:textId="77777777" w:rsidR="003C1971" w:rsidRDefault="003C1971" w:rsidP="00AF7B8A">
      <w:pPr>
        <w:spacing w:line="360" w:lineRule="auto"/>
        <w:jc w:val="both"/>
        <w:rPr>
          <w:rFonts w:ascii="Times New Roman" w:hAnsi="Times New Roman" w:cs="Times New Roman"/>
          <w:sz w:val="20"/>
          <w:szCs w:val="20"/>
        </w:rPr>
      </w:pPr>
    </w:p>
    <w:p w14:paraId="3F5D3ACB" w14:textId="23FB1B56" w:rsidR="003C1971" w:rsidRPr="003C1971" w:rsidRDefault="003C1971" w:rsidP="00135556">
      <w:pPr>
        <w:spacing w:line="360" w:lineRule="auto"/>
        <w:jc w:val="both"/>
        <w:rPr>
          <w:rFonts w:ascii="Times New Roman" w:hAnsi="Times New Roman" w:cs="Times New Roman"/>
          <w:sz w:val="20"/>
          <w:szCs w:val="20"/>
        </w:rPr>
      </w:pPr>
      <w:r w:rsidRPr="00AF7B8A">
        <w:rPr>
          <w:rFonts w:ascii="Times New Roman" w:hAnsi="Times New Roman" w:cs="Times New Roman"/>
          <w:b/>
          <w:bCs/>
          <w:sz w:val="20"/>
          <w:szCs w:val="20"/>
        </w:rPr>
        <w:t xml:space="preserve">Supplementary Fig. </w:t>
      </w:r>
      <w:r>
        <w:rPr>
          <w:rFonts w:ascii="Times New Roman" w:hAnsi="Times New Roman" w:cs="Times New Roman"/>
          <w:b/>
          <w:bCs/>
          <w:sz w:val="20"/>
          <w:szCs w:val="20"/>
        </w:rPr>
        <w:t xml:space="preserve">3. </w:t>
      </w:r>
      <w:r w:rsidR="00135556" w:rsidRPr="00135556">
        <w:rPr>
          <w:rFonts w:ascii="Times New Roman" w:hAnsi="Times New Roman" w:cs="Times New Roman"/>
          <w:bCs/>
          <w:sz w:val="20"/>
          <w:szCs w:val="20"/>
        </w:rPr>
        <w:t xml:space="preserve">Original blot images for immunoblots </w:t>
      </w:r>
      <w:proofErr w:type="gramStart"/>
      <w:r w:rsidR="00135556" w:rsidRPr="00135556">
        <w:rPr>
          <w:rFonts w:ascii="Times New Roman" w:hAnsi="Times New Roman" w:cs="Times New Roman"/>
          <w:bCs/>
          <w:sz w:val="20"/>
          <w:szCs w:val="20"/>
        </w:rPr>
        <w:t>shown</w:t>
      </w:r>
      <w:proofErr w:type="gramEnd"/>
      <w:r w:rsidR="00135556" w:rsidRPr="00135556">
        <w:rPr>
          <w:rFonts w:ascii="Times New Roman" w:hAnsi="Times New Roman" w:cs="Times New Roman"/>
          <w:bCs/>
          <w:sz w:val="20"/>
          <w:szCs w:val="20"/>
        </w:rPr>
        <w:t xml:space="preserve"> in the main manuscript. (A) Uncropped blot images corresponding to Fig. 2G. BM-MSCs transduced with lentiviral particles containing scramble (CON) or shRNA against PIEZO1 (shPIEZO1) were analyzed for PIEZO1 expression by immunoblotting. Representative blot images obtained for indicated exposure times for PIEZO1 and corresponding GAPDH are shown. The uncropped blot images are overlaid with colorimetric markers indicating molecular weights. (B) Uncropped blot images corresponding to Fig. 5A. BM-MSCs either left untreated (UNTR) or treated with Yoda1 (YODA1) for indicated durations were analyzed by immunoblotting for β-catenin, phospho-SMAD1/5, and phospho-ERK1/2. Representative images at specified exposure times are shown along with full blots overlaid with molecular weight markers for β-catenin, pSMAD1/5, pERK1/2, and GAPDH. (C) Uncropped blot images corresponding to Fig. 5D. BM-MSCs transduced with scramble control (CON) or shPIEZO1 were analyzed for β-catenin, phospho-ERK1/2, and phospho-SMAD1/5 expression by immunoblotting. Representative blots at relevant exposure times and full uncropped blots overlaid with colorimetric molecular weight markers are shown for each target along with corresponding GAPDH controls.</w:t>
      </w:r>
    </w:p>
    <w:sectPr w:rsidR="003C1971" w:rsidRPr="003C197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FA622" w14:textId="77777777" w:rsidR="006517C5" w:rsidRDefault="006517C5">
      <w:pPr>
        <w:spacing w:after="0" w:line="240" w:lineRule="auto"/>
      </w:pPr>
      <w:r>
        <w:separator/>
      </w:r>
    </w:p>
  </w:endnote>
  <w:endnote w:type="continuationSeparator" w:id="0">
    <w:p w14:paraId="7CCB138A" w14:textId="77777777" w:rsidR="006517C5" w:rsidRDefault="00651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940963"/>
      <w:docPartObj>
        <w:docPartGallery w:val="Page Numbers (Bottom of Page)"/>
        <w:docPartUnique/>
      </w:docPartObj>
    </w:sdtPr>
    <w:sdtEndPr>
      <w:rPr>
        <w:rFonts w:ascii="Arial" w:hAnsi="Arial" w:cs="Arial"/>
        <w:noProof/>
      </w:rPr>
    </w:sdtEndPr>
    <w:sdtContent>
      <w:p w14:paraId="2D96ABF8" w14:textId="77777777" w:rsidR="00000000" w:rsidRPr="00524CCD" w:rsidRDefault="0002326D">
        <w:pPr>
          <w:pStyle w:val="Footer"/>
          <w:jc w:val="center"/>
          <w:rPr>
            <w:rFonts w:ascii="Arial" w:hAnsi="Arial" w:cs="Arial"/>
          </w:rPr>
        </w:pPr>
        <w:r w:rsidRPr="00524CCD">
          <w:rPr>
            <w:rFonts w:ascii="Arial" w:hAnsi="Arial" w:cs="Arial"/>
          </w:rPr>
          <w:fldChar w:fldCharType="begin"/>
        </w:r>
        <w:r w:rsidRPr="00524CCD">
          <w:rPr>
            <w:rFonts w:ascii="Arial" w:hAnsi="Arial" w:cs="Arial"/>
          </w:rPr>
          <w:instrText xml:space="preserve"> PAGE   \* MERGEFORMAT </w:instrText>
        </w:r>
        <w:r w:rsidRPr="00524CCD">
          <w:rPr>
            <w:rFonts w:ascii="Arial" w:hAnsi="Arial" w:cs="Arial"/>
          </w:rPr>
          <w:fldChar w:fldCharType="separate"/>
        </w:r>
        <w:r w:rsidR="00DF275A">
          <w:rPr>
            <w:rFonts w:ascii="Arial" w:hAnsi="Arial" w:cs="Arial"/>
            <w:noProof/>
          </w:rPr>
          <w:t>2</w:t>
        </w:r>
        <w:r w:rsidRPr="00524CCD">
          <w:rPr>
            <w:rFonts w:ascii="Arial" w:hAnsi="Arial" w:cs="Arial"/>
            <w:noProof/>
          </w:rPr>
          <w:fldChar w:fldCharType="end"/>
        </w:r>
      </w:p>
    </w:sdtContent>
  </w:sdt>
  <w:p w14:paraId="085011DA"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3C1B6" w14:textId="77777777" w:rsidR="006517C5" w:rsidRDefault="006517C5">
      <w:pPr>
        <w:spacing w:after="0" w:line="240" w:lineRule="auto"/>
      </w:pPr>
      <w:r>
        <w:separator/>
      </w:r>
    </w:p>
  </w:footnote>
  <w:footnote w:type="continuationSeparator" w:id="0">
    <w:p w14:paraId="4C1BDC61" w14:textId="77777777" w:rsidR="006517C5" w:rsidRDefault="006517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xMDcxNbE0szQ3MDVS0lEKTi0uzszPAykwrAUAGbOuQSwAAAA="/>
  </w:docVars>
  <w:rsids>
    <w:rsidRoot w:val="0002326D"/>
    <w:rsid w:val="0002326D"/>
    <w:rsid w:val="000262B4"/>
    <w:rsid w:val="00135556"/>
    <w:rsid w:val="00136985"/>
    <w:rsid w:val="001C32F5"/>
    <w:rsid w:val="00211AFA"/>
    <w:rsid w:val="00293A8D"/>
    <w:rsid w:val="00297485"/>
    <w:rsid w:val="00307A85"/>
    <w:rsid w:val="003C1971"/>
    <w:rsid w:val="003E0100"/>
    <w:rsid w:val="00483337"/>
    <w:rsid w:val="006517C5"/>
    <w:rsid w:val="00654AFF"/>
    <w:rsid w:val="00684BD2"/>
    <w:rsid w:val="007220FA"/>
    <w:rsid w:val="00866266"/>
    <w:rsid w:val="008E4A6C"/>
    <w:rsid w:val="0091347A"/>
    <w:rsid w:val="009370D3"/>
    <w:rsid w:val="00946290"/>
    <w:rsid w:val="00A35DCD"/>
    <w:rsid w:val="00AF7B8A"/>
    <w:rsid w:val="00D1725D"/>
    <w:rsid w:val="00DF275A"/>
    <w:rsid w:val="00E76C2C"/>
    <w:rsid w:val="00EE7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F43AE"/>
  <w15:chartTrackingRefBased/>
  <w15:docId w15:val="{7AE510C1-4F7A-4C72-ACDB-E6E901893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26D"/>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23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26D"/>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BGJ</dc:creator>
  <cp:keywords/>
  <dc:description/>
  <cp:lastModifiedBy>Atul Kumar</cp:lastModifiedBy>
  <cp:revision>2</cp:revision>
  <dcterms:created xsi:type="dcterms:W3CDTF">2025-06-13T12:17:00Z</dcterms:created>
  <dcterms:modified xsi:type="dcterms:W3CDTF">2025-06-13T12:17:00Z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39fe166e-701f-4c8d-b2e0-f7f7bbfe97e1</vt:lpwstr>
  </property>
</Properties>
</file>