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CF97" w14:textId="54A21109" w:rsidR="00FB2DDC" w:rsidRDefault="00FB2DDC" w:rsidP="00FB2DDC">
      <w:pPr>
        <w:pStyle w:val="Default"/>
        <w:spacing w:line="360" w:lineRule="auto"/>
        <w:ind w:firstLineChars="200" w:firstLine="480"/>
        <w:jc w:val="both"/>
        <w:rPr>
          <w:rFonts w:ascii="Times New Roman" w:hAnsi="Times New Roman" w:cs="Times New Roman"/>
          <w:color w:val="auto"/>
        </w:rPr>
      </w:pPr>
      <w:r w:rsidRPr="008863D2">
        <w:rPr>
          <w:rFonts w:ascii="Times New Roman" w:hAnsi="Times New Roman" w:cs="Times New Roman"/>
          <w:color w:val="auto"/>
        </w:rPr>
        <w:t xml:space="preserve">A total of </w:t>
      </w:r>
      <w:r>
        <w:rPr>
          <w:rFonts w:ascii="Times New Roman" w:hAnsi="Times New Roman" w:cs="Times New Roman" w:hint="eastAsia"/>
          <w:color w:val="auto"/>
        </w:rPr>
        <w:t>423</w:t>
      </w:r>
      <w:r w:rsidRPr="008863D2">
        <w:rPr>
          <w:rFonts w:ascii="Times New Roman" w:hAnsi="Times New Roman" w:cs="Times New Roman"/>
          <w:color w:val="auto"/>
        </w:rPr>
        <w:t xml:space="preserve"> euploid embryos were transferred </w:t>
      </w:r>
      <w:r>
        <w:rPr>
          <w:rFonts w:ascii="Times New Roman" w:hAnsi="Times New Roman" w:cs="Times New Roman" w:hint="eastAsia"/>
          <w:color w:val="auto"/>
        </w:rPr>
        <w:t>up to March 2025, with 217</w:t>
      </w:r>
      <w:r w:rsidRPr="008863D2">
        <w:rPr>
          <w:rFonts w:ascii="Times New Roman" w:hAnsi="Times New Roman" w:cs="Times New Roman"/>
          <w:color w:val="auto"/>
        </w:rPr>
        <w:t xml:space="preserve"> </w:t>
      </w:r>
      <w:bookmarkStart w:id="0" w:name="OLE_LINK7"/>
      <w:r w:rsidRPr="008863D2">
        <w:rPr>
          <w:rFonts w:ascii="Times New Roman" w:hAnsi="Times New Roman" w:cs="Times New Roman"/>
          <w:color w:val="auto"/>
        </w:rPr>
        <w:t>cycles</w:t>
      </w:r>
      <w:bookmarkEnd w:id="0"/>
      <w:r w:rsidRPr="008863D2">
        <w:rPr>
          <w:rFonts w:ascii="Times New Roman" w:hAnsi="Times New Roman" w:cs="Times New Roman"/>
          <w:color w:val="auto"/>
        </w:rPr>
        <w:t xml:space="preserve"> in the c-IVF and </w:t>
      </w:r>
      <w:r>
        <w:rPr>
          <w:rFonts w:ascii="Times New Roman" w:hAnsi="Times New Roman" w:cs="Times New Roman" w:hint="eastAsia"/>
          <w:color w:val="auto"/>
        </w:rPr>
        <w:t xml:space="preserve">206 </w:t>
      </w:r>
      <w:r w:rsidRPr="008863D2">
        <w:rPr>
          <w:rFonts w:ascii="Times New Roman" w:hAnsi="Times New Roman" w:cs="Times New Roman"/>
          <w:color w:val="auto"/>
        </w:rPr>
        <w:t xml:space="preserve">cycles </w:t>
      </w:r>
      <w:r>
        <w:rPr>
          <w:rFonts w:ascii="Times New Roman" w:hAnsi="Times New Roman" w:cs="Times New Roman" w:hint="eastAsia"/>
          <w:color w:val="auto"/>
        </w:rPr>
        <w:t xml:space="preserve">in </w:t>
      </w:r>
      <w:r w:rsidRPr="008863D2">
        <w:rPr>
          <w:rFonts w:ascii="Times New Roman" w:hAnsi="Times New Roman" w:cs="Times New Roman"/>
          <w:color w:val="auto"/>
        </w:rPr>
        <w:t>ICSI groups, respectively</w:t>
      </w:r>
      <w:r>
        <w:rPr>
          <w:rFonts w:ascii="Times New Roman" w:hAnsi="Times New Roman" w:cs="Times New Roman" w:hint="eastAsia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A</w:t>
      </w:r>
      <w:r>
        <w:rPr>
          <w:rFonts w:ascii="Times New Roman" w:hAnsi="Times New Roman" w:cs="Times New Roman" w:hint="eastAsia"/>
          <w:color w:val="auto"/>
        </w:rPr>
        <w:t>s showed in</w:t>
      </w:r>
      <w:r w:rsidRPr="00FB2DDC">
        <w:rPr>
          <w:rFonts w:ascii="Segoe UI" w:hAnsi="Segoe UI" w:cs="Segoe UI"/>
          <w:b/>
          <w:bCs/>
          <w:color w:val="404040"/>
          <w:sz w:val="22"/>
          <w:szCs w:val="22"/>
          <w:shd w:val="clear" w:color="auto" w:fill="FFFFFF"/>
        </w:rPr>
        <w:t xml:space="preserve"> </w:t>
      </w:r>
      <w:r w:rsidRPr="00FB2DDC">
        <w:rPr>
          <w:rFonts w:ascii="Times New Roman" w:hAnsi="Times New Roman" w:cs="Times New Roman"/>
          <w:color w:val="auto"/>
        </w:rPr>
        <w:t>Supplementary Table</w:t>
      </w:r>
      <w:r w:rsidRPr="00FB2DDC">
        <w:rPr>
          <w:rFonts w:ascii="Times New Roman" w:hAnsi="Times New Roman" w:cs="Times New Roman" w:hint="eastAsia"/>
          <w:color w:val="auto"/>
        </w:rPr>
        <w:t>1</w:t>
      </w:r>
      <w:r>
        <w:rPr>
          <w:rFonts w:ascii="Times New Roman" w:hAnsi="Times New Roman" w:cs="Times New Roman" w:hint="eastAsia"/>
          <w:color w:val="auto"/>
        </w:rPr>
        <w:t>, the clinical pregnancy outcomes were comparable between the two groups.</w:t>
      </w:r>
    </w:p>
    <w:p w14:paraId="2E62BB2F" w14:textId="2513F60C" w:rsidR="00FB2DDC" w:rsidRDefault="00FB2DDC" w:rsidP="00FB2DDC">
      <w:pPr>
        <w:pStyle w:val="Default"/>
        <w:spacing w:line="360" w:lineRule="auto"/>
        <w:ind w:firstLine="200"/>
        <w:jc w:val="both"/>
        <w:rPr>
          <w:rFonts w:ascii="Times New Roman" w:hAnsi="Times New Roman" w:cs="Times New Roman"/>
          <w:color w:val="auto"/>
        </w:rPr>
      </w:pPr>
      <w:r w:rsidRPr="00FB2DDC">
        <w:rPr>
          <w:rFonts w:ascii="Times New Roman" w:hAnsi="Times New Roman"/>
          <w:b/>
          <w:bCs/>
        </w:rPr>
        <w:t>Supplementary Table</w:t>
      </w:r>
      <w:r>
        <w:rPr>
          <w:rFonts w:ascii="Times New Roman" w:hAnsi="Times New Roman" w:hint="eastAsia"/>
          <w:b/>
          <w:bCs/>
        </w:rPr>
        <w:t xml:space="preserve"> 1 </w:t>
      </w:r>
      <w:r w:rsidRPr="0031740E">
        <w:rPr>
          <w:rFonts w:ascii="Times New Roman" w:hAnsi="Times New Roman" w:cs="Times New Roman"/>
          <w:color w:val="auto"/>
        </w:rPr>
        <w:t>Clinical</w:t>
      </w:r>
      <w:r>
        <w:rPr>
          <w:rFonts w:ascii="Times New Roman" w:hAnsi="Times New Roman" w:cs="Times New Roman" w:hint="eastAsia"/>
          <w:color w:val="auto"/>
        </w:rPr>
        <w:t xml:space="preserve"> </w:t>
      </w:r>
      <w:r w:rsidRPr="0031740E">
        <w:rPr>
          <w:rFonts w:ascii="Times New Roman" w:hAnsi="Times New Roman" w:cs="Times New Roman"/>
          <w:color w:val="auto"/>
        </w:rPr>
        <w:t>outcomes</w:t>
      </w:r>
      <w:r>
        <w:rPr>
          <w:rFonts w:ascii="Times New Roman" w:hAnsi="Times New Roman" w:cs="Times New Roman" w:hint="eastAsia"/>
          <w:color w:val="auto"/>
        </w:rPr>
        <w:t xml:space="preserve"> </w:t>
      </w:r>
      <w:r w:rsidRPr="0031740E">
        <w:rPr>
          <w:rFonts w:ascii="Times New Roman" w:hAnsi="Times New Roman" w:cs="Times New Roman"/>
          <w:color w:val="auto"/>
        </w:rPr>
        <w:t>of</w:t>
      </w:r>
      <w:r>
        <w:rPr>
          <w:rFonts w:ascii="Times New Roman" w:hAnsi="Times New Roman" w:cs="Times New Roman" w:hint="eastAsia"/>
          <w:color w:val="auto"/>
        </w:rPr>
        <w:t xml:space="preserve"> </w:t>
      </w:r>
      <w:r w:rsidRPr="0031740E">
        <w:rPr>
          <w:rFonts w:ascii="Times New Roman" w:hAnsi="Times New Roman" w:cs="Times New Roman"/>
          <w:color w:val="auto"/>
        </w:rPr>
        <w:t>the</w:t>
      </w:r>
      <w:r>
        <w:rPr>
          <w:rFonts w:ascii="Times New Roman" w:hAnsi="Times New Roman" w:cs="Times New Roman" w:hint="eastAsia"/>
          <w:color w:val="auto"/>
        </w:rPr>
        <w:t xml:space="preserve"> </w:t>
      </w:r>
      <w:r w:rsidRPr="0031740E">
        <w:rPr>
          <w:rFonts w:ascii="Times New Roman" w:hAnsi="Times New Roman" w:cs="Times New Roman"/>
          <w:color w:val="auto"/>
        </w:rPr>
        <w:t>two</w:t>
      </w:r>
      <w:r>
        <w:rPr>
          <w:rFonts w:ascii="Times New Roman" w:hAnsi="Times New Roman" w:cs="Times New Roman" w:hint="eastAsia"/>
          <w:color w:val="auto"/>
        </w:rPr>
        <w:t xml:space="preserve"> </w:t>
      </w:r>
      <w:r w:rsidRPr="0031740E">
        <w:rPr>
          <w:rFonts w:ascii="Times New Roman" w:hAnsi="Times New Roman" w:cs="Times New Roman"/>
          <w:color w:val="auto"/>
        </w:rPr>
        <w:t>groups.</w:t>
      </w:r>
    </w:p>
    <w:tbl>
      <w:tblPr>
        <w:tblW w:w="7938" w:type="dxa"/>
        <w:tblLook w:val="04A0" w:firstRow="1" w:lastRow="0" w:firstColumn="1" w:lastColumn="0" w:noHBand="0" w:noVBand="1"/>
      </w:tblPr>
      <w:tblGrid>
        <w:gridCol w:w="2694"/>
        <w:gridCol w:w="1701"/>
        <w:gridCol w:w="1842"/>
        <w:gridCol w:w="1701"/>
      </w:tblGrid>
      <w:tr w:rsidR="00FB2DDC" w:rsidRPr="008863D2" w14:paraId="6F2885F3" w14:textId="77777777" w:rsidTr="006E103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3C00F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BCBF4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/>
                <w:color w:val="000000"/>
                <w:sz w:val="18"/>
                <w:szCs w:val="18"/>
              </w:rPr>
              <w:t>c-IVF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C1494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/>
                <w:color w:val="000000"/>
                <w:sz w:val="18"/>
                <w:szCs w:val="18"/>
              </w:rPr>
              <w:t>ICSI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E2971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/>
                <w:color w:val="000000"/>
                <w:sz w:val="18"/>
                <w:szCs w:val="18"/>
              </w:rPr>
              <w:t>P value</w:t>
            </w:r>
          </w:p>
        </w:tc>
      </w:tr>
      <w:tr w:rsidR="00FB2DDC" w:rsidRPr="008863D2" w14:paraId="02CB305F" w14:textId="77777777" w:rsidTr="006E1033">
        <w:trPr>
          <w:trHeight w:val="253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BA6F" w14:textId="77777777" w:rsidR="00FB2DDC" w:rsidRPr="006E1033" w:rsidRDefault="00FB2DDC" w:rsidP="006E1033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ET </w:t>
            </w:r>
            <w:proofErr w:type="spellStart"/>
            <w:proofErr w:type="gramStart"/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cycles,n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F13E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A4D9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0F84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</w:p>
        </w:tc>
      </w:tr>
      <w:tr w:rsidR="00FB2DDC" w:rsidRPr="008863D2" w14:paraId="1BAF4A50" w14:textId="77777777" w:rsidTr="006E1033">
        <w:trPr>
          <w:trHeight w:val="2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51E7" w14:textId="77777777" w:rsidR="00FB2DDC" w:rsidRPr="006E1033" w:rsidRDefault="00FB2DDC" w:rsidP="006E1033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bookmarkStart w:id="1" w:name="_Hlk198854467"/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Biomedical pregnancy rate</w:t>
            </w:r>
            <w:bookmarkEnd w:id="1"/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, %(n)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D6E5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60.83%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(132/217)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0713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55.83%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(115/206)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55B8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0.297</w:t>
            </w:r>
          </w:p>
        </w:tc>
      </w:tr>
      <w:tr w:rsidR="00FB2DDC" w:rsidRPr="008863D2" w14:paraId="3DAE812C" w14:textId="77777777" w:rsidTr="006E1033">
        <w:trPr>
          <w:trHeight w:val="2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AA11" w14:textId="77777777" w:rsidR="00FB2DDC" w:rsidRPr="006E1033" w:rsidRDefault="00FB2DDC" w:rsidP="006E1033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Clinical pregnancy rate, %(n)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2131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53.46%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(116/217)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5EE4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50.00%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(103/206)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480B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0.532</w:t>
            </w:r>
          </w:p>
        </w:tc>
      </w:tr>
      <w:tr w:rsidR="00FB2DDC" w:rsidRPr="008863D2" w14:paraId="36A3A266" w14:textId="77777777" w:rsidTr="006E1033">
        <w:trPr>
          <w:trHeight w:val="25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E5125" w14:textId="77777777" w:rsidR="00FB2DDC" w:rsidRPr="006E1033" w:rsidRDefault="00FB2DDC" w:rsidP="006E1033">
            <w:pPr>
              <w:spacing w:after="0" w:line="240" w:lineRule="auto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bookmarkStart w:id="2" w:name="_Hlk198854456"/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Miscarriage rate</w:t>
            </w:r>
            <w:bookmarkEnd w:id="2"/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, %(n)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BE250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13.79%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(16/116)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60A27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15.53%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(16/103)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05401" w14:textId="77777777" w:rsidR="00FB2DDC" w:rsidRPr="006E1033" w:rsidRDefault="00FB2DDC" w:rsidP="006E1033">
            <w:pPr>
              <w:spacing w:after="0" w:line="240" w:lineRule="auto"/>
              <w:jc w:val="center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6E1033">
              <w:rPr>
                <w:rFonts w:ascii="Times New Roman" w:hAnsi="Times New Roman" w:hint="eastAsia"/>
                <w:color w:val="000000"/>
                <w:sz w:val="18"/>
                <w:szCs w:val="18"/>
              </w:rPr>
              <w:t>0.716</w:t>
            </w:r>
          </w:p>
        </w:tc>
      </w:tr>
    </w:tbl>
    <w:p w14:paraId="3EC42F1C" w14:textId="77777777" w:rsidR="008237A2" w:rsidRDefault="008237A2">
      <w:pPr>
        <w:rPr>
          <w:rFonts w:hint="eastAsia"/>
        </w:rPr>
      </w:pPr>
    </w:p>
    <w:sectPr w:rsidR="008237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266B1" w14:textId="77777777" w:rsidR="00171DC5" w:rsidRDefault="00171DC5" w:rsidP="00FB2DD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5B7870F" w14:textId="77777777" w:rsidR="00171DC5" w:rsidRDefault="00171DC5" w:rsidP="00FB2DD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C955" w14:textId="77777777" w:rsidR="00171DC5" w:rsidRDefault="00171DC5" w:rsidP="00FB2DD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6F31E8" w14:textId="77777777" w:rsidR="00171DC5" w:rsidRDefault="00171DC5" w:rsidP="00FB2DD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9EF"/>
    <w:rsid w:val="00171DC5"/>
    <w:rsid w:val="005029EF"/>
    <w:rsid w:val="008237A2"/>
    <w:rsid w:val="00E46251"/>
    <w:rsid w:val="00E72EAF"/>
    <w:rsid w:val="00F13A17"/>
    <w:rsid w:val="00F651B1"/>
    <w:rsid w:val="00FB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732DA"/>
  <w15:chartTrackingRefBased/>
  <w15:docId w15:val="{B7102066-6BFC-46EB-8AEC-129A5DE0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DDC"/>
    <w:pPr>
      <w:spacing w:after="200" w:line="276" w:lineRule="auto"/>
    </w:pPr>
    <w:rPr>
      <w:rFonts w:ascii="Calibri" w:eastAsia="宋体" w:hAnsi="Calibri" w:cs="Times New Roman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5029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9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9E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9E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9E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9E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9E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9E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29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2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2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29E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29E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029E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29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29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29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29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9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29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29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29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29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29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2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29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29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2D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2D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2DD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2DDC"/>
    <w:rPr>
      <w:sz w:val="18"/>
      <w:szCs w:val="18"/>
    </w:rPr>
  </w:style>
  <w:style w:type="paragraph" w:customStyle="1" w:styleId="Default">
    <w:name w:val="Default"/>
    <w:rsid w:val="00FB2DDC"/>
    <w:pPr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嘉伟 蔡</dc:creator>
  <cp:keywords/>
  <dc:description/>
  <cp:lastModifiedBy>嘉伟 蔡</cp:lastModifiedBy>
  <cp:revision>2</cp:revision>
  <dcterms:created xsi:type="dcterms:W3CDTF">2025-05-22T16:57:00Z</dcterms:created>
  <dcterms:modified xsi:type="dcterms:W3CDTF">2025-05-22T17:47:00Z</dcterms:modified>
</cp:coreProperties>
</file>