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B6550" w14:textId="699D5CB2" w:rsidR="003C026C" w:rsidRPr="003C026C" w:rsidRDefault="003C026C" w:rsidP="003C026C">
      <w:pPr>
        <w:rPr>
          <w:rFonts w:ascii="Times New Roman" w:hAnsi="Times New Roman" w:cs="Times New Roman"/>
          <w:sz w:val="24"/>
          <w:szCs w:val="24"/>
        </w:rPr>
      </w:pPr>
      <w:r w:rsidRPr="003C026C">
        <w:rPr>
          <w:rFonts w:ascii="Times New Roman" w:hAnsi="Times New Roman" w:cs="Times New Roman" w:hint="eastAsia"/>
          <w:sz w:val="24"/>
          <w:szCs w:val="24"/>
        </w:rPr>
        <w:t xml:space="preserve">Supplemental figure and table captions on </w:t>
      </w:r>
      <w:r w:rsidRPr="003C026C">
        <w:rPr>
          <w:rFonts w:ascii="Times New Roman" w:hAnsi="Times New Roman" w:cs="Times New Roman" w:hint="eastAsia"/>
          <w:sz w:val="24"/>
          <w:szCs w:val="24"/>
        </w:rPr>
        <w:t>T</w:t>
      </w:r>
      <w:r w:rsidRPr="003C026C">
        <w:rPr>
          <w:rFonts w:ascii="Times New Roman" w:hAnsi="Times New Roman" w:cs="Times New Roman"/>
          <w:sz w:val="24"/>
          <w:szCs w:val="24"/>
        </w:rPr>
        <w:t>emperature and CO</w:t>
      </w:r>
      <w:r w:rsidRPr="003C026C">
        <w:rPr>
          <w:rFonts w:ascii="Times New Roman" w:hAnsi="Times New Roman" w:cs="Times New Roman"/>
          <w:sz w:val="24"/>
          <w:szCs w:val="24"/>
          <w:vertAlign w:val="subscript"/>
        </w:rPr>
        <w:t>2</w:t>
      </w:r>
      <w:r w:rsidRPr="003C026C">
        <w:rPr>
          <w:rFonts w:ascii="Times New Roman" w:hAnsi="Times New Roman" w:cs="Times New Roman"/>
          <w:sz w:val="24"/>
          <w:szCs w:val="24"/>
        </w:rPr>
        <w:t xml:space="preserve"> alter trophic </w:t>
      </w:r>
      <w:r w:rsidRPr="003C026C">
        <w:rPr>
          <w:rFonts w:ascii="Times New Roman" w:hAnsi="Times New Roman" w:cs="Times New Roman" w:hint="eastAsia"/>
          <w:sz w:val="24"/>
          <w:szCs w:val="24"/>
        </w:rPr>
        <w:t>s</w:t>
      </w:r>
      <w:r w:rsidRPr="003C026C">
        <w:rPr>
          <w:rFonts w:ascii="Times New Roman" w:hAnsi="Times New Roman" w:cs="Times New Roman"/>
          <w:sz w:val="24"/>
          <w:szCs w:val="24"/>
        </w:rPr>
        <w:t>tructure of Arctic plankton assemblages</w:t>
      </w:r>
    </w:p>
    <w:p w14:paraId="23CA7E8A" w14:textId="77777777" w:rsidR="003C026C" w:rsidRPr="003C026C" w:rsidRDefault="003C026C" w:rsidP="003C026C">
      <w:pPr>
        <w:snapToGrid w:val="0"/>
        <w:spacing w:line="480" w:lineRule="exact"/>
        <w:rPr>
          <w:rFonts w:ascii="Times New Roman" w:hAnsi="Times New Roman" w:cs="Times New Roman"/>
        </w:rPr>
      </w:pPr>
    </w:p>
    <w:p w14:paraId="6EA9580F" w14:textId="66A8029E" w:rsidR="003C026C" w:rsidRPr="003C026C" w:rsidRDefault="003C026C" w:rsidP="003C026C">
      <w:pPr>
        <w:snapToGrid w:val="0"/>
        <w:spacing w:line="480" w:lineRule="exact"/>
        <w:rPr>
          <w:rFonts w:ascii="Times New Roman" w:eastAsia="游明朝" w:hAnsi="Times New Roman" w:cs="Times New Roman"/>
          <w:sz w:val="24"/>
          <w:szCs w:val="24"/>
        </w:rPr>
      </w:pPr>
      <w:r w:rsidRPr="003E0633">
        <w:rPr>
          <w:rFonts w:ascii="Times New Roman" w:hAnsi="Times New Roman" w:cs="Times New Roman"/>
          <w:sz w:val="24"/>
          <w:szCs w:val="28"/>
        </w:rPr>
        <w:t>Koji Sugie</w:t>
      </w:r>
      <w:r>
        <w:rPr>
          <w:rFonts w:ascii="Times New Roman" w:hAnsi="Times New Roman" w:cs="Times New Roman" w:hint="eastAsia"/>
          <w:sz w:val="24"/>
          <w:szCs w:val="28"/>
        </w:rPr>
        <w:t>,</w:t>
      </w:r>
      <w:r>
        <w:rPr>
          <w:rFonts w:ascii="Times New Roman" w:hAnsi="Times New Roman" w:cs="Times New Roman"/>
          <w:sz w:val="24"/>
          <w:szCs w:val="28"/>
        </w:rPr>
        <w:t xml:space="preserve"> Bingzhang</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Chen, Shigeto Nishino, Toru </w:t>
      </w:r>
      <w:proofErr w:type="spellStart"/>
      <w:r>
        <w:rPr>
          <w:rFonts w:ascii="Times New Roman" w:hAnsi="Times New Roman" w:cs="Times New Roman"/>
          <w:sz w:val="24"/>
          <w:szCs w:val="28"/>
        </w:rPr>
        <w:t>Hirawake</w:t>
      </w:r>
      <w:proofErr w:type="spellEnd"/>
    </w:p>
    <w:p w14:paraId="42CCE0DD" w14:textId="77777777" w:rsidR="003C026C" w:rsidRDefault="003C026C" w:rsidP="003C026C">
      <w:pPr>
        <w:ind w:left="480" w:hangingChars="200" w:hanging="480"/>
        <w:rPr>
          <w:rFonts w:ascii="Times New Roman" w:eastAsia="游明朝" w:hAnsi="Times New Roman" w:cs="Times New Roman"/>
          <w:sz w:val="24"/>
          <w:szCs w:val="24"/>
        </w:rPr>
      </w:pPr>
    </w:p>
    <w:p w14:paraId="06218351" w14:textId="0C1717E2" w:rsidR="003C026C" w:rsidRPr="003C026C" w:rsidRDefault="003C026C" w:rsidP="003C026C">
      <w:pPr>
        <w:ind w:left="480" w:hangingChars="200" w:hanging="480"/>
        <w:rPr>
          <w:rFonts w:ascii="Times New Roman" w:eastAsia="游明朝" w:hAnsi="Times New Roman" w:cs="Times New Roman" w:hint="eastAsia"/>
          <w:b/>
          <w:bCs/>
          <w:sz w:val="24"/>
          <w:szCs w:val="24"/>
        </w:rPr>
      </w:pPr>
      <w:r w:rsidRPr="003C026C">
        <w:rPr>
          <w:rFonts w:ascii="Times New Roman" w:eastAsia="游明朝" w:hAnsi="Times New Roman" w:cs="Times New Roman" w:hint="eastAsia"/>
          <w:b/>
          <w:bCs/>
          <w:sz w:val="24"/>
          <w:szCs w:val="24"/>
        </w:rPr>
        <w:t>Captions</w:t>
      </w:r>
    </w:p>
    <w:p w14:paraId="2CDE3DEE" w14:textId="71A42FDB" w:rsidR="003C026C" w:rsidRDefault="003C026C" w:rsidP="003C026C">
      <w:pPr>
        <w:ind w:left="480" w:hangingChars="200" w:hanging="480"/>
        <w:rPr>
          <w:rFonts w:ascii="Times New Roman" w:hAnsi="Times New Roman" w:cs="Times New Roman"/>
          <w:sz w:val="24"/>
          <w:szCs w:val="24"/>
        </w:rPr>
      </w:pPr>
      <w:r>
        <w:rPr>
          <w:rFonts w:ascii="Times New Roman" w:eastAsia="游明朝" w:hAnsi="Times New Roman" w:cs="Times New Roman"/>
          <w:sz w:val="24"/>
          <w:szCs w:val="24"/>
        </w:rPr>
        <w:t>Supplemental f</w:t>
      </w:r>
      <w:r>
        <w:rPr>
          <w:rFonts w:ascii="Times New Roman" w:hAnsi="Times New Roman" w:cs="Times New Roman"/>
          <w:sz w:val="24"/>
          <w:szCs w:val="24"/>
        </w:rPr>
        <w:t>ig. 1. Map of sampling stations in the western Arctic region.</w:t>
      </w:r>
    </w:p>
    <w:p w14:paraId="64FAAD39" w14:textId="77777777" w:rsidR="003C026C" w:rsidRDefault="003C026C" w:rsidP="003C026C">
      <w:pPr>
        <w:ind w:left="480" w:hangingChars="200" w:hanging="480"/>
        <w:rPr>
          <w:rFonts w:ascii="Times New Roman" w:eastAsia="游明朝" w:hAnsi="Times New Roman" w:cs="Times New Roman"/>
          <w:sz w:val="24"/>
          <w:szCs w:val="24"/>
        </w:rPr>
      </w:pPr>
      <w:r>
        <w:rPr>
          <w:rFonts w:ascii="Times New Roman" w:eastAsia="游明朝" w:hAnsi="Times New Roman" w:cs="Times New Roman"/>
          <w:sz w:val="24"/>
          <w:szCs w:val="24"/>
        </w:rPr>
        <w:t>Supplemental f</w:t>
      </w:r>
      <w:r>
        <w:rPr>
          <w:rFonts w:ascii="Times New Roman" w:hAnsi="Times New Roman" w:cs="Times New Roman"/>
          <w:sz w:val="24"/>
          <w:szCs w:val="24"/>
        </w:rPr>
        <w:t>ig. 2. Graphical illustration of the method showing the four series of the two-point dilution technique. Abbreviations: SW: seawater; FSW: filtered seawater; DIC: dissolved inorganic carbon: LT: lower temperature control; LTHC: lower temperature plus high CO</w:t>
      </w:r>
      <w:r w:rsidRPr="00B87D2D">
        <w:rPr>
          <w:rFonts w:ascii="Times New Roman" w:hAnsi="Times New Roman" w:cs="Times New Roman"/>
          <w:sz w:val="24"/>
          <w:szCs w:val="24"/>
          <w:vertAlign w:val="subscript"/>
        </w:rPr>
        <w:t>2</w:t>
      </w:r>
      <w:r>
        <w:rPr>
          <w:rFonts w:ascii="Times New Roman" w:hAnsi="Times New Roman" w:cs="Times New Roman"/>
          <w:sz w:val="24"/>
          <w:szCs w:val="24"/>
        </w:rPr>
        <w:t xml:space="preserve"> treatment; HT: LT plus 4°C treatment; HTHC: LTHC plus 4°C treatment.</w:t>
      </w:r>
    </w:p>
    <w:p w14:paraId="7FD454C5" w14:textId="77777777" w:rsidR="003C026C" w:rsidRDefault="003C026C" w:rsidP="003C026C">
      <w:pPr>
        <w:ind w:left="480" w:hangingChars="200" w:hanging="480"/>
        <w:rPr>
          <w:rFonts w:ascii="Times New Roman" w:eastAsia="游明朝" w:hAnsi="Times New Roman" w:cs="Times New Roman"/>
          <w:sz w:val="24"/>
          <w:szCs w:val="24"/>
        </w:rPr>
      </w:pPr>
      <w:r>
        <w:rPr>
          <w:rFonts w:ascii="Times New Roman" w:eastAsia="游明朝" w:hAnsi="Times New Roman" w:cs="Times New Roman"/>
          <w:sz w:val="24"/>
          <w:szCs w:val="24"/>
        </w:rPr>
        <w:t xml:space="preserve">Supplemental fig. 3. Specific growth rate of &gt;10 </w:t>
      </w:r>
      <w:r>
        <w:rPr>
          <w:rFonts w:ascii="Times New Roman" w:eastAsia="游明朝" w:hAnsi="Times New Roman" w:cs="Times New Roman" w:hint="eastAsia"/>
          <w:sz w:val="24"/>
          <w:szCs w:val="24"/>
        </w:rPr>
        <w:t>µ</w:t>
      </w:r>
      <w:r>
        <w:rPr>
          <w:rFonts w:ascii="Times New Roman" w:eastAsia="游明朝" w:hAnsi="Times New Roman" w:cs="Times New Roman"/>
          <w:sz w:val="24"/>
          <w:szCs w:val="24"/>
        </w:rPr>
        <w:t>m phytoplankton (a–e) and their grazing mortality rate (f–j) at each sampling station in the 2017 experiments. White and gray bars represent lower and higher temperature treatments, respectively. Open and slashed bars represent CO</w:t>
      </w:r>
      <w:r w:rsidRPr="00D7309F">
        <w:rPr>
          <w:rFonts w:ascii="Times New Roman" w:eastAsia="游明朝" w:hAnsi="Times New Roman" w:cs="Times New Roman"/>
          <w:sz w:val="24"/>
          <w:szCs w:val="24"/>
          <w:vertAlign w:val="subscript"/>
        </w:rPr>
        <w:t>2</w:t>
      </w:r>
      <w:r>
        <w:rPr>
          <w:rFonts w:ascii="Times New Roman" w:eastAsia="游明朝" w:hAnsi="Times New Roman" w:cs="Times New Roman"/>
          <w:sz w:val="24"/>
          <w:szCs w:val="24"/>
        </w:rPr>
        <w:t xml:space="preserve"> unamended controls and high CO</w:t>
      </w:r>
      <w:r w:rsidRPr="00D7309F">
        <w:rPr>
          <w:rFonts w:ascii="Times New Roman" w:eastAsia="游明朝" w:hAnsi="Times New Roman" w:cs="Times New Roman"/>
          <w:sz w:val="24"/>
          <w:szCs w:val="24"/>
          <w:vertAlign w:val="subscript"/>
        </w:rPr>
        <w:t>2</w:t>
      </w:r>
      <w:r>
        <w:rPr>
          <w:rFonts w:ascii="Times New Roman" w:eastAsia="游明朝" w:hAnsi="Times New Roman" w:cs="Times New Roman"/>
          <w:sz w:val="24"/>
          <w:szCs w:val="24"/>
        </w:rPr>
        <w:t xml:space="preserve"> treatments, respectively. Error bars represent 1SD of duplicate (2017-experiment) or triplicate (2018-experiment) bottles. The l</w:t>
      </w:r>
      <w:r>
        <w:rPr>
          <w:rFonts w:ascii="Times New Roman" w:hAnsi="Times New Roman" w:cs="Times New Roman"/>
          <w:sz w:val="24"/>
          <w:szCs w:val="24"/>
        </w:rPr>
        <w:t xml:space="preserve">etters above the bars represent the </w:t>
      </w:r>
      <w:r w:rsidRPr="00A33303">
        <w:rPr>
          <w:rFonts w:ascii="Times New Roman" w:hAnsi="Times New Roman" w:cs="Times New Roman"/>
          <w:sz w:val="24"/>
          <w:szCs w:val="24"/>
        </w:rPr>
        <w:t xml:space="preserve">statistical results of </w:t>
      </w:r>
      <w:r>
        <w:rPr>
          <w:rFonts w:ascii="Times New Roman" w:hAnsi="Times New Roman" w:cs="Times New Roman"/>
          <w:sz w:val="24"/>
          <w:szCs w:val="24"/>
        </w:rPr>
        <w:t>two-way ANOVA</w:t>
      </w:r>
      <w:r w:rsidRPr="00A33303">
        <w:rPr>
          <w:rFonts w:ascii="Times New Roman" w:hAnsi="Times New Roman" w:cs="Times New Roman"/>
          <w:sz w:val="24"/>
          <w:szCs w:val="24"/>
        </w:rPr>
        <w:t xml:space="preserve"> </w:t>
      </w:r>
      <w:r>
        <w:rPr>
          <w:rFonts w:ascii="Times New Roman" w:hAnsi="Times New Roman" w:cs="Times New Roman"/>
          <w:sz w:val="24"/>
          <w:szCs w:val="24"/>
        </w:rPr>
        <w:t>and post-hoc multiple comparisons with the Holm-Bonferroni method</w:t>
      </w:r>
      <w:r w:rsidRPr="00A33303">
        <w:rPr>
          <w:rFonts w:ascii="Times New Roman" w:hAnsi="Times New Roman" w:cs="Times New Roman"/>
          <w:sz w:val="24"/>
          <w:szCs w:val="24"/>
        </w:rPr>
        <w:t>.</w:t>
      </w:r>
    </w:p>
    <w:p w14:paraId="0FC50D72" w14:textId="77777777" w:rsidR="003C026C" w:rsidRDefault="003C026C" w:rsidP="003C026C">
      <w:pPr>
        <w:ind w:left="480" w:hangingChars="200" w:hanging="480"/>
        <w:rPr>
          <w:rFonts w:ascii="Times New Roman" w:eastAsia="游明朝" w:hAnsi="Times New Roman" w:cs="Times New Roman"/>
          <w:sz w:val="24"/>
          <w:szCs w:val="24"/>
        </w:rPr>
      </w:pPr>
      <w:r>
        <w:rPr>
          <w:rFonts w:ascii="Times New Roman" w:eastAsia="游明朝" w:hAnsi="Times New Roman" w:cs="Times New Roman"/>
          <w:sz w:val="24"/>
          <w:szCs w:val="24"/>
        </w:rPr>
        <w:t>Supplemental fig. 4. Similar to the Supplemental fig. 3 but for smaller phytoplankton and grazing mortality rates at each sampling station in the 2017 experiment.</w:t>
      </w:r>
    </w:p>
    <w:p w14:paraId="15A175E7" w14:textId="77777777" w:rsidR="003C026C" w:rsidRDefault="003C026C" w:rsidP="003C026C">
      <w:pPr>
        <w:ind w:left="480" w:hangingChars="200" w:hanging="480"/>
        <w:rPr>
          <w:rFonts w:ascii="Times New Roman" w:eastAsia="游明朝" w:hAnsi="Times New Roman" w:cs="Times New Roman"/>
          <w:sz w:val="24"/>
          <w:szCs w:val="24"/>
        </w:rPr>
      </w:pPr>
      <w:r>
        <w:rPr>
          <w:rFonts w:ascii="Times New Roman" w:eastAsia="游明朝" w:hAnsi="Times New Roman" w:cs="Times New Roman"/>
          <w:sz w:val="24"/>
          <w:szCs w:val="24"/>
        </w:rPr>
        <w:t>Supplemental fig. 5. Similar to the Supplemental fig. 3 but for the 2018 experiments.</w:t>
      </w:r>
    </w:p>
    <w:p w14:paraId="6E34EE31" w14:textId="77777777" w:rsidR="003C026C" w:rsidRDefault="003C026C" w:rsidP="003C026C">
      <w:pPr>
        <w:ind w:left="480" w:hangingChars="200" w:hanging="480"/>
        <w:rPr>
          <w:rFonts w:ascii="Times New Roman" w:eastAsia="游明朝" w:hAnsi="Times New Roman" w:cs="Times New Roman"/>
          <w:sz w:val="24"/>
          <w:szCs w:val="24"/>
        </w:rPr>
      </w:pPr>
      <w:r>
        <w:rPr>
          <w:rFonts w:ascii="Times New Roman" w:eastAsia="游明朝" w:hAnsi="Times New Roman" w:cs="Times New Roman"/>
          <w:sz w:val="24"/>
          <w:szCs w:val="24"/>
        </w:rPr>
        <w:t>Supplemental fig. 6. Similar to the Supplemental fig. 4 but for the 2018 experiments.</w:t>
      </w:r>
    </w:p>
    <w:p w14:paraId="7FA2AE61" w14:textId="77777777" w:rsidR="003C026C" w:rsidRDefault="003C026C" w:rsidP="003C026C">
      <w:pPr>
        <w:ind w:left="480" w:hangingChars="200" w:hanging="480"/>
        <w:rPr>
          <w:rFonts w:ascii="Times New Roman" w:eastAsia="游明朝" w:hAnsi="Times New Roman" w:cs="Times New Roman"/>
          <w:sz w:val="24"/>
          <w:szCs w:val="24"/>
        </w:rPr>
      </w:pPr>
      <w:r>
        <w:rPr>
          <w:rFonts w:ascii="Times New Roman" w:eastAsia="游明朝" w:hAnsi="Times New Roman" w:cs="Times New Roman"/>
          <w:sz w:val="24"/>
          <w:szCs w:val="24"/>
        </w:rPr>
        <w:t>Supplemental f</w:t>
      </w:r>
      <w:r>
        <w:rPr>
          <w:rFonts w:ascii="Times New Roman" w:hAnsi="Times New Roman" w:cs="Times New Roman"/>
          <w:sz w:val="24"/>
          <w:szCs w:val="24"/>
        </w:rPr>
        <w:t xml:space="preserve">ig. 7. Scatter plot of </w:t>
      </w:r>
      <w:r>
        <w:rPr>
          <w:rFonts w:ascii="Times New Roman" w:hAnsi="Times New Roman" w:cs="Times New Roman"/>
          <w:i/>
          <w:iCs/>
          <w:sz w:val="24"/>
          <w:szCs w:val="24"/>
        </w:rPr>
        <w:t>in situ</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CO</w:t>
      </w:r>
      <w:r w:rsidRPr="0016742A">
        <w:rPr>
          <w:rFonts w:ascii="Times New Roman" w:hAnsi="Times New Roman" w:cs="Times New Roman"/>
          <w:sz w:val="24"/>
          <w:szCs w:val="24"/>
          <w:vertAlign w:val="subscript"/>
        </w:rPr>
        <w:t>2</w:t>
      </w:r>
      <w:r>
        <w:rPr>
          <w:rFonts w:ascii="Times New Roman" w:hAnsi="Times New Roman" w:cs="Times New Roman"/>
          <w:sz w:val="24"/>
          <w:szCs w:val="24"/>
        </w:rPr>
        <w:t xml:space="preserve"> of the initial seawater sample and CO</w:t>
      </w:r>
      <w:r w:rsidRPr="0016742A">
        <w:rPr>
          <w:rFonts w:ascii="Times New Roman" w:hAnsi="Times New Roman" w:cs="Times New Roman"/>
          <w:sz w:val="24"/>
          <w:szCs w:val="24"/>
          <w:vertAlign w:val="subscript"/>
        </w:rPr>
        <w:t>2</w:t>
      </w:r>
      <w:r>
        <w:rPr>
          <w:rFonts w:ascii="Times New Roman" w:hAnsi="Times New Roman" w:cs="Times New Roman"/>
          <w:sz w:val="24"/>
          <w:szCs w:val="24"/>
        </w:rPr>
        <w:t xml:space="preserve"> response index of the large phytoplankton traits. Solid and thin lines represent significant regressions and their 95% CL. CO</w:t>
      </w:r>
      <w:r w:rsidRPr="00411B00">
        <w:rPr>
          <w:rFonts w:ascii="Times New Roman" w:hAnsi="Times New Roman" w:cs="Times New Roman"/>
          <w:sz w:val="24"/>
          <w:szCs w:val="24"/>
          <w:vertAlign w:val="subscript"/>
        </w:rPr>
        <w:t>2</w:t>
      </w:r>
      <w:r>
        <w:rPr>
          <w:rFonts w:ascii="Times New Roman" w:hAnsi="Times New Roman" w:cs="Times New Roman"/>
          <w:sz w:val="24"/>
          <w:szCs w:val="24"/>
        </w:rPr>
        <w:t xml:space="preserve"> response in control temperature = </w:t>
      </w:r>
      <w:r w:rsidRPr="00411B00">
        <w:rPr>
          <w:rFonts w:ascii="Times New Roman" w:eastAsia="游明朝" w:hAnsi="Times New Roman" w:cs="Times New Roman"/>
          <w:sz w:val="24"/>
          <w:szCs w:val="24"/>
        </w:rPr>
        <w:t>−</w:t>
      </w:r>
      <w:r>
        <w:rPr>
          <w:rFonts w:ascii="Times New Roman" w:hAnsi="Times New Roman" w:cs="Times New Roman"/>
          <w:sz w:val="24"/>
          <w:szCs w:val="24"/>
        </w:rPr>
        <w:t>0.011 + 44.7e</w:t>
      </w:r>
      <w:r w:rsidRPr="00411B00">
        <w:rPr>
          <w:rFonts w:ascii="Times New Roman" w:eastAsia="游明朝" w:hAnsi="Times New Roman" w:cs="Times New Roman"/>
          <w:sz w:val="24"/>
          <w:szCs w:val="24"/>
          <w:vertAlign w:val="superscript"/>
        </w:rPr>
        <w:t>−</w:t>
      </w:r>
      <w:r w:rsidRPr="00411B00">
        <w:rPr>
          <w:rFonts w:ascii="Times New Roman" w:hAnsi="Times New Roman" w:cs="Times New Roman"/>
          <w:sz w:val="24"/>
          <w:szCs w:val="24"/>
          <w:vertAlign w:val="superscript"/>
        </w:rPr>
        <w:t>0.029</w:t>
      </w:r>
      <w:r>
        <w:rPr>
          <w:rFonts w:ascii="Times New Roman" w:hAnsi="Times New Roman" w:cs="Times New Roman"/>
          <w:sz w:val="24"/>
          <w:szCs w:val="24"/>
          <w:vertAlign w:val="superscript"/>
        </w:rPr>
        <w:t>•</w:t>
      </w:r>
      <w:r>
        <w:rPr>
          <w:rFonts w:ascii="Times New Roman" w:hAnsi="Times New Roman" w:cs="Times New Roman"/>
          <w:i/>
          <w:iCs/>
          <w:sz w:val="24"/>
          <w:szCs w:val="24"/>
          <w:vertAlign w:val="superscript"/>
        </w:rPr>
        <w:t>p</w:t>
      </w:r>
      <w:r>
        <w:rPr>
          <w:rFonts w:ascii="Times New Roman" w:hAnsi="Times New Roman" w:cs="Times New Roman"/>
          <w:sz w:val="24"/>
          <w:szCs w:val="24"/>
          <w:vertAlign w:val="superscript"/>
        </w:rPr>
        <w:t>CO</w:t>
      </w:r>
      <w:r w:rsidRPr="00411B00">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0.001, </w:t>
      </w:r>
      <w:r>
        <w:rPr>
          <w:rFonts w:ascii="Times New Roman" w:hAnsi="Times New Roman" w:cs="Times New Roman"/>
          <w:i/>
          <w:iCs/>
          <w:sz w:val="24"/>
          <w:szCs w:val="24"/>
        </w:rPr>
        <w:t>F</w:t>
      </w:r>
      <w:r w:rsidRPr="00411B00">
        <w:rPr>
          <w:rFonts w:ascii="Times New Roman" w:hAnsi="Times New Roman" w:cs="Times New Roman"/>
          <w:sz w:val="24"/>
          <w:szCs w:val="24"/>
          <w:vertAlign w:val="subscript"/>
        </w:rPr>
        <w:t>2,19</w:t>
      </w:r>
      <w:r>
        <w:rPr>
          <w:rFonts w:ascii="Times New Roman" w:hAnsi="Times New Roman" w:cs="Times New Roman"/>
          <w:sz w:val="24"/>
          <w:szCs w:val="24"/>
        </w:rPr>
        <w:t xml:space="preserve"> = 99.5, R</w:t>
      </w:r>
      <w:r w:rsidRPr="00411B00">
        <w:rPr>
          <w:rFonts w:ascii="Times New Roman" w:hAnsi="Times New Roman" w:cs="Times New Roman"/>
          <w:sz w:val="24"/>
          <w:szCs w:val="24"/>
          <w:vertAlign w:val="superscript"/>
        </w:rPr>
        <w:t>2</w:t>
      </w:r>
      <w:r>
        <w:rPr>
          <w:rFonts w:ascii="Times New Roman" w:hAnsi="Times New Roman" w:cs="Times New Roman"/>
          <w:sz w:val="24"/>
          <w:szCs w:val="24"/>
        </w:rPr>
        <w:t xml:space="preserve"> = 0.90); and that in higher temperature = 4.0 </w:t>
      </w:r>
      <w:r w:rsidRPr="00411B0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1</w:t>
      </w:r>
      <w:r>
        <w:rPr>
          <w:rFonts w:ascii="Times New Roman" w:hAnsi="Times New Roman" w:cs="Times New Roman"/>
          <w:sz w:val="24"/>
          <w:szCs w:val="24"/>
        </w:rPr>
        <w:t>0</w:t>
      </w:r>
      <w:r w:rsidRPr="00411B00">
        <w:rPr>
          <w:rFonts w:ascii="Times New Roman" w:eastAsia="游明朝" w:hAnsi="Times New Roman" w:cs="Times New Roman"/>
          <w:sz w:val="24"/>
          <w:szCs w:val="24"/>
          <w:vertAlign w:val="superscript"/>
        </w:rPr>
        <w:t>−</w:t>
      </w:r>
      <w:r w:rsidRPr="00411B00">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411B0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p</w:t>
      </w:r>
      <w:r w:rsidRPr="00411B00">
        <w:rPr>
          <w:rFonts w:ascii="Times New Roman" w:hAnsi="Times New Roman" w:cs="Times New Roman"/>
          <w:sz w:val="24"/>
          <w:szCs w:val="24"/>
        </w:rPr>
        <w:t>CO</w:t>
      </w:r>
      <w:r w:rsidRPr="00411B00">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eastAsia="游明朝" w:hAnsi="Times New Roman" w:cs="Times New Roman"/>
          <w:sz w:val="24"/>
          <w:szCs w:val="24"/>
        </w:rPr>
        <w:t>– 0.14 (</w:t>
      </w:r>
      <w:r>
        <w:rPr>
          <w:rFonts w:ascii="Times New Roman" w:hAnsi="Times New Roman" w:cs="Times New Roman"/>
          <w:i/>
          <w:iCs/>
          <w:sz w:val="24"/>
          <w:szCs w:val="24"/>
        </w:rPr>
        <w:t>p</w:t>
      </w:r>
      <w:r>
        <w:rPr>
          <w:rFonts w:ascii="Times New Roman" w:hAnsi="Times New Roman" w:cs="Times New Roman"/>
          <w:sz w:val="24"/>
          <w:szCs w:val="24"/>
        </w:rPr>
        <w:t xml:space="preserve"> = 0.002, </w:t>
      </w:r>
      <w:r>
        <w:rPr>
          <w:rFonts w:ascii="Times New Roman" w:hAnsi="Times New Roman" w:cs="Times New Roman"/>
          <w:i/>
          <w:iCs/>
          <w:sz w:val="24"/>
          <w:szCs w:val="24"/>
        </w:rPr>
        <w:t>F</w:t>
      </w:r>
      <w:r>
        <w:rPr>
          <w:rFonts w:ascii="Times New Roman" w:hAnsi="Times New Roman" w:cs="Times New Roman"/>
          <w:sz w:val="24"/>
          <w:szCs w:val="24"/>
          <w:vertAlign w:val="subscript"/>
        </w:rPr>
        <w:t>1</w:t>
      </w:r>
      <w:r w:rsidRPr="00411B00">
        <w:rPr>
          <w:rFonts w:ascii="Times New Roman" w:hAnsi="Times New Roman" w:cs="Times New Roman"/>
          <w:sz w:val="24"/>
          <w:szCs w:val="24"/>
          <w:vertAlign w:val="subscript"/>
        </w:rPr>
        <w:t>,1</w:t>
      </w:r>
      <w:r>
        <w:rPr>
          <w:rFonts w:ascii="Times New Roman" w:hAnsi="Times New Roman" w:cs="Times New Roman"/>
          <w:sz w:val="24"/>
          <w:szCs w:val="24"/>
          <w:vertAlign w:val="subscript"/>
        </w:rPr>
        <w:t>7</w:t>
      </w:r>
      <w:r>
        <w:rPr>
          <w:rFonts w:ascii="Times New Roman" w:hAnsi="Times New Roman" w:cs="Times New Roman"/>
          <w:sz w:val="24"/>
          <w:szCs w:val="24"/>
        </w:rPr>
        <w:t xml:space="preserve"> = 12.7, R</w:t>
      </w:r>
      <w:r w:rsidRPr="00411B00">
        <w:rPr>
          <w:rFonts w:ascii="Times New Roman" w:hAnsi="Times New Roman" w:cs="Times New Roman"/>
          <w:sz w:val="24"/>
          <w:szCs w:val="24"/>
          <w:vertAlign w:val="superscript"/>
        </w:rPr>
        <w:t>2</w:t>
      </w:r>
      <w:r>
        <w:rPr>
          <w:rFonts w:ascii="Times New Roman" w:hAnsi="Times New Roman" w:cs="Times New Roman"/>
          <w:sz w:val="24"/>
          <w:szCs w:val="24"/>
        </w:rPr>
        <w:t xml:space="preserve"> = 0.39: </w:t>
      </w:r>
      <w:r>
        <w:rPr>
          <w:rFonts w:ascii="Times New Roman" w:eastAsia="游明朝" w:hAnsi="Times New Roman" w:cs="Times New Roman"/>
          <w:sz w:val="24"/>
          <w:szCs w:val="24"/>
        </w:rPr>
        <w:t xml:space="preserve">excluded highest </w:t>
      </w:r>
      <w:r>
        <w:rPr>
          <w:rFonts w:ascii="Times New Roman" w:eastAsia="游明朝" w:hAnsi="Times New Roman" w:cs="Times New Roman"/>
          <w:i/>
          <w:iCs/>
          <w:sz w:val="24"/>
          <w:szCs w:val="24"/>
        </w:rPr>
        <w:t>p</w:t>
      </w:r>
      <w:r>
        <w:rPr>
          <w:rFonts w:ascii="Times New Roman" w:eastAsia="游明朝" w:hAnsi="Times New Roman" w:cs="Times New Roman"/>
          <w:sz w:val="24"/>
          <w:szCs w:val="24"/>
        </w:rPr>
        <w:t>CO</w:t>
      </w:r>
      <w:r w:rsidRPr="00411B00">
        <w:rPr>
          <w:rFonts w:ascii="Times New Roman" w:eastAsia="游明朝" w:hAnsi="Times New Roman" w:cs="Times New Roman"/>
          <w:sz w:val="24"/>
          <w:szCs w:val="24"/>
          <w:vertAlign w:val="subscript"/>
        </w:rPr>
        <w:t>2</w:t>
      </w:r>
      <w:r>
        <w:rPr>
          <w:rFonts w:ascii="Times New Roman" w:eastAsia="游明朝" w:hAnsi="Times New Roman" w:cs="Times New Roman"/>
          <w:sz w:val="24"/>
          <w:szCs w:val="24"/>
        </w:rPr>
        <w:t xml:space="preserve"> data).</w:t>
      </w:r>
    </w:p>
    <w:p w14:paraId="1F08C4B0" w14:textId="77777777" w:rsidR="003C026C" w:rsidRDefault="003C026C" w:rsidP="003C026C">
      <w:pPr>
        <w:ind w:left="480" w:hangingChars="200" w:hanging="480"/>
        <w:rPr>
          <w:rFonts w:ascii="Times New Roman" w:hAnsi="Times New Roman" w:cs="Times New Roman"/>
          <w:sz w:val="24"/>
          <w:szCs w:val="24"/>
        </w:rPr>
      </w:pPr>
      <w:r>
        <w:rPr>
          <w:rFonts w:ascii="Times New Roman" w:eastAsia="游明朝" w:hAnsi="Times New Roman" w:cs="Times New Roman"/>
          <w:sz w:val="24"/>
          <w:szCs w:val="24"/>
        </w:rPr>
        <w:t>Supplemental f</w:t>
      </w:r>
      <w:r>
        <w:rPr>
          <w:rFonts w:ascii="Times New Roman" w:hAnsi="Times New Roman" w:cs="Times New Roman"/>
          <w:sz w:val="24"/>
          <w:szCs w:val="24"/>
        </w:rPr>
        <w:t>ig. 8. Relationships between the growth rate of larger phytoplankton and their grazing mortality rate at each station in the 2017 (left panels) and 2018 (right panels) experiments.</w:t>
      </w:r>
    </w:p>
    <w:p w14:paraId="2E6E5ABF" w14:textId="77777777" w:rsidR="003C026C" w:rsidRDefault="003C026C" w:rsidP="003C026C">
      <w:pPr>
        <w:ind w:left="480" w:hangingChars="200" w:hanging="480"/>
        <w:rPr>
          <w:rFonts w:ascii="Times New Roman" w:hAnsi="Times New Roman" w:cs="Times New Roman"/>
          <w:sz w:val="24"/>
          <w:szCs w:val="24"/>
        </w:rPr>
      </w:pPr>
      <w:r>
        <w:rPr>
          <w:rFonts w:ascii="Times New Roman" w:hAnsi="Times New Roman" w:cs="Times New Roman" w:hint="eastAsia"/>
          <w:sz w:val="24"/>
          <w:szCs w:val="24"/>
        </w:rPr>
        <w:t xml:space="preserve">Supplemental </w:t>
      </w:r>
      <w:r>
        <w:rPr>
          <w:rFonts w:ascii="Times New Roman" w:hAnsi="Times New Roman" w:cs="Times New Roman"/>
          <w:sz w:val="24"/>
          <w:szCs w:val="24"/>
        </w:rPr>
        <w:t>fig. 9. Similar to the Supplemental fig. 8 but for smaller phytoplankton traits.</w:t>
      </w:r>
    </w:p>
    <w:p w14:paraId="5A9C1DD0" w14:textId="77777777" w:rsidR="003C026C" w:rsidRDefault="003C026C" w:rsidP="003C026C">
      <w:pPr>
        <w:snapToGrid w:val="0"/>
        <w:spacing w:line="480" w:lineRule="exact"/>
        <w:ind w:left="480" w:hangingChars="200" w:hanging="480"/>
        <w:rPr>
          <w:rFonts w:ascii="Times New Roman" w:hAnsi="Times New Roman" w:cs="Times New Roman"/>
          <w:sz w:val="24"/>
          <w:szCs w:val="24"/>
        </w:rPr>
      </w:pPr>
      <w:r>
        <w:rPr>
          <w:rFonts w:ascii="Times New Roman" w:hAnsi="Times New Roman" w:cs="Times New Roman"/>
          <w:sz w:val="24"/>
          <w:szCs w:val="24"/>
        </w:rPr>
        <w:lastRenderedPageBreak/>
        <w:t>Supplemental fig. 10.</w:t>
      </w:r>
      <w:r w:rsidRPr="002D1A36">
        <w:rPr>
          <w:rFonts w:ascii="Times New Roman" w:hAnsi="Times New Roman" w:cs="Times New Roman"/>
          <w:sz w:val="24"/>
          <w:szCs w:val="24"/>
        </w:rPr>
        <w:t xml:space="preserve"> </w:t>
      </w:r>
      <w:r>
        <w:rPr>
          <w:rFonts w:ascii="Times New Roman" w:hAnsi="Times New Roman" w:cs="Times New Roman"/>
          <w:sz w:val="24"/>
          <w:szCs w:val="24"/>
        </w:rPr>
        <w:t>The relationship among phytoplankton growth rate (</w:t>
      </w:r>
      <w:r>
        <w:rPr>
          <w:rFonts w:ascii="Times New Roman" w:hAnsi="Times New Roman" w:cs="Times New Roman" w:hint="eastAsia"/>
          <w:sz w:val="24"/>
          <w:szCs w:val="24"/>
        </w:rPr>
        <w:t>µ</w:t>
      </w:r>
      <w:r>
        <w:rPr>
          <w:rFonts w:ascii="Times New Roman" w:hAnsi="Times New Roman" w:cs="Times New Roman"/>
          <w:sz w:val="24"/>
          <w:szCs w:val="24"/>
        </w:rPr>
        <w:t>) at reference temperature, temperature response as estimated from linearity as conducted in the present study, and Q</w:t>
      </w:r>
      <w:r w:rsidRPr="001B1425">
        <w:rPr>
          <w:rFonts w:ascii="Times New Roman" w:hAnsi="Times New Roman" w:cs="Times New Roman"/>
          <w:sz w:val="24"/>
          <w:szCs w:val="24"/>
          <w:vertAlign w:val="subscript"/>
        </w:rPr>
        <w:t>10</w:t>
      </w:r>
      <w:r>
        <w:rPr>
          <w:rFonts w:ascii="Times New Roman" w:hAnsi="Times New Roman" w:cs="Times New Roman"/>
          <w:sz w:val="24"/>
          <w:szCs w:val="24"/>
        </w:rPr>
        <w:t>. Given that the linearity constant is ~0.1 to 0.13 as observed in the present study, the Q</w:t>
      </w:r>
      <w:r w:rsidRPr="001B1425">
        <w:rPr>
          <w:rFonts w:ascii="Times New Roman" w:hAnsi="Times New Roman" w:cs="Times New Roman"/>
          <w:sz w:val="24"/>
          <w:szCs w:val="24"/>
          <w:vertAlign w:val="subscript"/>
        </w:rPr>
        <w:t>10</w:t>
      </w:r>
      <w:r>
        <w:rPr>
          <w:rFonts w:ascii="Times New Roman" w:hAnsi="Times New Roman" w:cs="Times New Roman"/>
          <w:sz w:val="24"/>
          <w:szCs w:val="24"/>
        </w:rPr>
        <w:t xml:space="preserve"> value can far exceed the canonical value of 1.88 when the growth rate of phytoplankton is low such as in the low-temperature polar region.</w:t>
      </w:r>
    </w:p>
    <w:p w14:paraId="1646FEA4" w14:textId="77777777" w:rsidR="00D2782D" w:rsidRPr="003C026C" w:rsidRDefault="00D2782D"/>
    <w:sectPr w:rsidR="00D2782D" w:rsidRPr="003C026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9CFB2" w14:textId="77777777" w:rsidR="00C6487F" w:rsidRDefault="00C6487F" w:rsidP="003C026C">
      <w:r>
        <w:separator/>
      </w:r>
    </w:p>
  </w:endnote>
  <w:endnote w:type="continuationSeparator" w:id="0">
    <w:p w14:paraId="0D535C76" w14:textId="77777777" w:rsidR="00C6487F" w:rsidRDefault="00C6487F" w:rsidP="003C0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74495" w14:textId="77777777" w:rsidR="00C6487F" w:rsidRDefault="00C6487F" w:rsidP="003C026C">
      <w:r>
        <w:separator/>
      </w:r>
    </w:p>
  </w:footnote>
  <w:footnote w:type="continuationSeparator" w:id="0">
    <w:p w14:paraId="3E396DFE" w14:textId="77777777" w:rsidR="00C6487F" w:rsidRDefault="00C6487F" w:rsidP="003C02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82D"/>
    <w:rsid w:val="003C026C"/>
    <w:rsid w:val="00C6487F"/>
    <w:rsid w:val="00D2782D"/>
    <w:rsid w:val="00FA1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99783E"/>
  <w15:chartTrackingRefBased/>
  <w15:docId w15:val="{95FB5F23-5791-4C6D-89A1-1C3E73279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26C"/>
    <w:pPr>
      <w:widowControl w:val="0"/>
      <w:jc w:val="both"/>
    </w:pPr>
    <w:rPr>
      <w:szCs w:val="22"/>
      <w14:ligatures w14:val="none"/>
    </w:rPr>
  </w:style>
  <w:style w:type="paragraph" w:styleId="1">
    <w:name w:val="heading 1"/>
    <w:basedOn w:val="a"/>
    <w:next w:val="a"/>
    <w:link w:val="10"/>
    <w:uiPriority w:val="9"/>
    <w:qFormat/>
    <w:rsid w:val="00D2782D"/>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D2782D"/>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D2782D"/>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D2782D"/>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D2782D"/>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D2782D"/>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D2782D"/>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D2782D"/>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D2782D"/>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2782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2782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2782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2782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2782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2782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2782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2782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2782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2782D"/>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D278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782D"/>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D2782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2782D"/>
    <w:pPr>
      <w:spacing w:before="160" w:after="160"/>
      <w:jc w:val="center"/>
    </w:pPr>
    <w:rPr>
      <w:i/>
      <w:iCs/>
      <w:color w:val="404040" w:themeColor="text1" w:themeTint="BF"/>
      <w:szCs w:val="24"/>
      <w14:ligatures w14:val="standardContextual"/>
    </w:rPr>
  </w:style>
  <w:style w:type="character" w:customStyle="1" w:styleId="a8">
    <w:name w:val="引用文 (文字)"/>
    <w:basedOn w:val="a0"/>
    <w:link w:val="a7"/>
    <w:uiPriority w:val="29"/>
    <w:rsid w:val="00D2782D"/>
    <w:rPr>
      <w:i/>
      <w:iCs/>
      <w:color w:val="404040" w:themeColor="text1" w:themeTint="BF"/>
    </w:rPr>
  </w:style>
  <w:style w:type="paragraph" w:styleId="a9">
    <w:name w:val="List Paragraph"/>
    <w:basedOn w:val="a"/>
    <w:uiPriority w:val="34"/>
    <w:qFormat/>
    <w:rsid w:val="00D2782D"/>
    <w:pPr>
      <w:ind w:left="720"/>
      <w:contextualSpacing/>
      <w:jc w:val="left"/>
    </w:pPr>
    <w:rPr>
      <w:szCs w:val="24"/>
      <w14:ligatures w14:val="standardContextual"/>
    </w:rPr>
  </w:style>
  <w:style w:type="character" w:styleId="21">
    <w:name w:val="Intense Emphasis"/>
    <w:basedOn w:val="a0"/>
    <w:uiPriority w:val="21"/>
    <w:qFormat/>
    <w:rsid w:val="00D2782D"/>
    <w:rPr>
      <w:i/>
      <w:iCs/>
      <w:color w:val="2F5496" w:themeColor="accent1" w:themeShade="BF"/>
    </w:rPr>
  </w:style>
  <w:style w:type="paragraph" w:styleId="22">
    <w:name w:val="Intense Quote"/>
    <w:basedOn w:val="a"/>
    <w:next w:val="a"/>
    <w:link w:val="23"/>
    <w:uiPriority w:val="30"/>
    <w:qFormat/>
    <w:rsid w:val="00D278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24"/>
      <w14:ligatures w14:val="standardContextual"/>
    </w:rPr>
  </w:style>
  <w:style w:type="character" w:customStyle="1" w:styleId="23">
    <w:name w:val="引用文 2 (文字)"/>
    <w:basedOn w:val="a0"/>
    <w:link w:val="22"/>
    <w:uiPriority w:val="30"/>
    <w:rsid w:val="00D2782D"/>
    <w:rPr>
      <w:i/>
      <w:iCs/>
      <w:color w:val="2F5496" w:themeColor="accent1" w:themeShade="BF"/>
    </w:rPr>
  </w:style>
  <w:style w:type="character" w:styleId="24">
    <w:name w:val="Intense Reference"/>
    <w:basedOn w:val="a0"/>
    <w:uiPriority w:val="32"/>
    <w:qFormat/>
    <w:rsid w:val="00D2782D"/>
    <w:rPr>
      <w:b/>
      <w:bCs/>
      <w:smallCaps/>
      <w:color w:val="2F5496" w:themeColor="accent1" w:themeShade="BF"/>
      <w:spacing w:val="5"/>
    </w:rPr>
  </w:style>
  <w:style w:type="paragraph" w:styleId="aa">
    <w:name w:val="header"/>
    <w:basedOn w:val="a"/>
    <w:link w:val="ab"/>
    <w:uiPriority w:val="99"/>
    <w:unhideWhenUsed/>
    <w:rsid w:val="003C026C"/>
    <w:pPr>
      <w:tabs>
        <w:tab w:val="center" w:pos="4252"/>
        <w:tab w:val="right" w:pos="8504"/>
      </w:tabs>
      <w:snapToGrid w:val="0"/>
      <w:jc w:val="left"/>
    </w:pPr>
    <w:rPr>
      <w:szCs w:val="24"/>
      <w14:ligatures w14:val="standardContextual"/>
    </w:rPr>
  </w:style>
  <w:style w:type="character" w:customStyle="1" w:styleId="ab">
    <w:name w:val="ヘッダー (文字)"/>
    <w:basedOn w:val="a0"/>
    <w:link w:val="aa"/>
    <w:uiPriority w:val="99"/>
    <w:rsid w:val="003C026C"/>
  </w:style>
  <w:style w:type="paragraph" w:styleId="ac">
    <w:name w:val="footer"/>
    <w:basedOn w:val="a"/>
    <w:link w:val="ad"/>
    <w:uiPriority w:val="99"/>
    <w:unhideWhenUsed/>
    <w:rsid w:val="003C026C"/>
    <w:pPr>
      <w:tabs>
        <w:tab w:val="center" w:pos="4252"/>
        <w:tab w:val="right" w:pos="8504"/>
      </w:tabs>
      <w:snapToGrid w:val="0"/>
      <w:jc w:val="left"/>
    </w:pPr>
    <w:rPr>
      <w:szCs w:val="24"/>
      <w14:ligatures w14:val="standardContextual"/>
    </w:rPr>
  </w:style>
  <w:style w:type="character" w:customStyle="1" w:styleId="ad">
    <w:name w:val="フッター (文字)"/>
    <w:basedOn w:val="a0"/>
    <w:link w:val="ac"/>
    <w:uiPriority w:val="99"/>
    <w:rsid w:val="003C0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恒二 杉江</dc:creator>
  <cp:keywords/>
  <dc:description/>
  <cp:lastModifiedBy>恒二 杉江</cp:lastModifiedBy>
  <cp:revision>2</cp:revision>
  <dcterms:created xsi:type="dcterms:W3CDTF">2025-04-22T16:16:00Z</dcterms:created>
  <dcterms:modified xsi:type="dcterms:W3CDTF">2025-04-22T16:18:00Z</dcterms:modified>
</cp:coreProperties>
</file>