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FE46D" w14:textId="3B9E4AD4" w:rsidR="0073071E" w:rsidRPr="00AE3ECE" w:rsidRDefault="00FF4195" w:rsidP="00DA07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E3ECE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6B7B897F" w14:textId="79A43812" w:rsidR="00FF4195" w:rsidRPr="00AE3ECE" w:rsidRDefault="00FF4195" w:rsidP="00DA07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E3E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Captions </w:t>
      </w:r>
    </w:p>
    <w:p w14:paraId="47EAB6E0" w14:textId="46B384A4" w:rsidR="00FF4195" w:rsidRPr="00AE3ECE" w:rsidRDefault="00FF4195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3E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S1. </w:t>
      </w:r>
      <w:r w:rsidR="00600F7E">
        <w:rPr>
          <w:rFonts w:ascii="Times New Roman" w:hAnsi="Times New Roman" w:cs="Times New Roman"/>
          <w:sz w:val="24"/>
          <w:szCs w:val="24"/>
          <w:lang w:val="en-US"/>
        </w:rPr>
        <w:t>Overall w</w:t>
      </w:r>
      <w:r w:rsidRPr="00AE3ECE">
        <w:rPr>
          <w:rFonts w:ascii="Times New Roman" w:hAnsi="Times New Roman" w:cs="Times New Roman"/>
          <w:sz w:val="24"/>
          <w:szCs w:val="24"/>
          <w:lang w:val="en-US"/>
        </w:rPr>
        <w:t>orkflow of the study.</w:t>
      </w:r>
    </w:p>
    <w:p w14:paraId="7705A586" w14:textId="2A2B0EB6" w:rsidR="00A66E31" w:rsidRPr="00DA070F" w:rsidRDefault="00A66E31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3E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S2. </w:t>
      </w:r>
      <w:r w:rsidR="00DA070F" w:rsidRPr="00DA070F">
        <w:rPr>
          <w:rFonts w:ascii="Times New Roman" w:hAnsi="Times New Roman" w:cs="Times New Roman"/>
          <w:sz w:val="24"/>
          <w:szCs w:val="24"/>
        </w:rPr>
        <w:t>PI3K-AKT signalling pathway generated from the KEGG mapper database. Key targets along the pathway are marked in red text to emphasise their importance</w:t>
      </w:r>
      <w:r w:rsidR="00E74617" w:rsidRPr="00E74617">
        <w:rPr>
          <w:rFonts w:ascii="Times New Roman" w:hAnsi="Times New Roman" w:cs="Times New Roman"/>
          <w:color w:val="EE0000"/>
          <w:sz w:val="24"/>
          <w:szCs w:val="24"/>
          <w:vertAlign w:val="superscript"/>
        </w:rPr>
        <w:t>47</w:t>
      </w:r>
      <w:r w:rsidR="00DA070F" w:rsidRPr="00DA070F">
        <w:rPr>
          <w:rFonts w:ascii="Times New Roman" w:hAnsi="Times New Roman" w:cs="Times New Roman"/>
          <w:sz w:val="24"/>
          <w:szCs w:val="24"/>
        </w:rPr>
        <w:t>.</w:t>
      </w:r>
    </w:p>
    <w:p w14:paraId="7157F6D3" w14:textId="2C92C7A5" w:rsidR="00FF4195" w:rsidRDefault="00FF4195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ECE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="00A66E31" w:rsidRPr="00AE3ECE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AE3EC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AE3ECE">
        <w:rPr>
          <w:rFonts w:ascii="Times New Roman" w:hAnsi="Times New Roman" w:cs="Times New Roman"/>
          <w:sz w:val="24"/>
          <w:szCs w:val="24"/>
        </w:rPr>
        <w:t>Validation of key genes in an external dataset. (</w:t>
      </w:r>
      <w:r w:rsidR="00A66E31" w:rsidRPr="00AE3ECE">
        <w:rPr>
          <w:rFonts w:ascii="Times New Roman" w:hAnsi="Times New Roman" w:cs="Times New Roman"/>
          <w:sz w:val="24"/>
          <w:szCs w:val="24"/>
        </w:rPr>
        <w:t>A</w:t>
      </w:r>
      <w:r w:rsidRPr="00AE3ECE">
        <w:rPr>
          <w:rFonts w:ascii="Times New Roman" w:hAnsi="Times New Roman" w:cs="Times New Roman"/>
          <w:sz w:val="24"/>
          <w:szCs w:val="24"/>
        </w:rPr>
        <w:t xml:space="preserve">) Heatmap of 9 hub genes from the TCGA-PRAD dataset. Non-cancerous prostate tissue samples (normal) are shown on the left, and </w:t>
      </w:r>
      <w:proofErr w:type="spellStart"/>
      <w:r w:rsidRPr="00AE3ECE">
        <w:rPr>
          <w:rFonts w:ascii="Times New Roman" w:hAnsi="Times New Roman" w:cs="Times New Roman"/>
          <w:sz w:val="24"/>
          <w:szCs w:val="24"/>
        </w:rPr>
        <w:t>PCa</w:t>
      </w:r>
      <w:proofErr w:type="spellEnd"/>
      <w:r w:rsidRPr="00AE3ECE">
        <w:rPr>
          <w:rFonts w:ascii="Times New Roman" w:hAnsi="Times New Roman" w:cs="Times New Roman"/>
          <w:sz w:val="24"/>
          <w:szCs w:val="24"/>
        </w:rPr>
        <w:t xml:space="preserve"> samples are on the right of the black bar. (</w:t>
      </w:r>
      <w:r w:rsidR="00A66E31" w:rsidRPr="00AE3ECE">
        <w:rPr>
          <w:rFonts w:ascii="Times New Roman" w:hAnsi="Times New Roman" w:cs="Times New Roman"/>
          <w:sz w:val="24"/>
          <w:szCs w:val="24"/>
        </w:rPr>
        <w:t>B</w:t>
      </w:r>
      <w:r w:rsidRPr="00AE3ECE">
        <w:rPr>
          <w:rFonts w:ascii="Times New Roman" w:hAnsi="Times New Roman" w:cs="Times New Roman"/>
          <w:sz w:val="24"/>
          <w:szCs w:val="24"/>
        </w:rPr>
        <w:t>) Overall survival and disease-free survival analysis of TP53 gene. (</w:t>
      </w:r>
      <w:r w:rsidR="00A66E31" w:rsidRPr="00AE3ECE">
        <w:rPr>
          <w:rFonts w:ascii="Times New Roman" w:hAnsi="Times New Roman" w:cs="Times New Roman"/>
          <w:sz w:val="24"/>
          <w:szCs w:val="24"/>
        </w:rPr>
        <w:t>C</w:t>
      </w:r>
      <w:r w:rsidRPr="00AE3ECE">
        <w:rPr>
          <w:rFonts w:ascii="Times New Roman" w:hAnsi="Times New Roman" w:cs="Times New Roman"/>
          <w:sz w:val="24"/>
          <w:szCs w:val="24"/>
        </w:rPr>
        <w:t>) Promoter methylation status of PIK3CA gene in prostate cancer (UALCAN). (</w:t>
      </w:r>
      <w:r w:rsidR="00A66E31" w:rsidRPr="00AE3ECE">
        <w:rPr>
          <w:rFonts w:ascii="Times New Roman" w:hAnsi="Times New Roman" w:cs="Times New Roman"/>
          <w:sz w:val="24"/>
          <w:szCs w:val="24"/>
        </w:rPr>
        <w:t>D</w:t>
      </w:r>
      <w:r w:rsidRPr="00AE3ECE">
        <w:rPr>
          <w:rFonts w:ascii="Times New Roman" w:hAnsi="Times New Roman" w:cs="Times New Roman"/>
          <w:sz w:val="24"/>
          <w:szCs w:val="24"/>
        </w:rPr>
        <w:t>) (</w:t>
      </w:r>
      <w:proofErr w:type="spellStart"/>
      <w:r w:rsidRPr="00AE3EC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3EC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E3ECE">
        <w:rPr>
          <w:rFonts w:ascii="Times New Roman" w:hAnsi="Times New Roman" w:cs="Times New Roman"/>
          <w:sz w:val="24"/>
          <w:szCs w:val="24"/>
        </w:rPr>
        <w:t>cBioPortal</w:t>
      </w:r>
      <w:proofErr w:type="spellEnd"/>
      <w:r w:rsidRPr="00AE3ECE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AE3ECE">
        <w:rPr>
          <w:rFonts w:ascii="Times New Roman" w:hAnsi="Times New Roman" w:cs="Times New Roman"/>
          <w:sz w:val="24"/>
          <w:szCs w:val="24"/>
        </w:rPr>
        <w:t>oncoprint</w:t>
      </w:r>
      <w:proofErr w:type="spellEnd"/>
      <w:r w:rsidRPr="00AE3ECE">
        <w:rPr>
          <w:rFonts w:ascii="Times New Roman" w:hAnsi="Times New Roman" w:cs="Times New Roman"/>
          <w:sz w:val="24"/>
          <w:szCs w:val="24"/>
        </w:rPr>
        <w:t xml:space="preserve">" representation of alterations in 9 hub genes identified in prostate cancer. (ii) </w:t>
      </w:r>
      <w:r w:rsidRPr="00AE3ECE">
        <w:rPr>
          <w:rFonts w:ascii="Times New Roman" w:hAnsi="Times New Roman" w:cs="Times New Roman"/>
          <w:sz w:val="24"/>
          <w:szCs w:val="24"/>
          <w:lang w:val="en-US"/>
        </w:rPr>
        <w:t>Genetic alterations frequency of hub targets in prostate cancer patients.</w:t>
      </w:r>
      <w:r w:rsidRPr="00AE3ECE">
        <w:rPr>
          <w:rFonts w:ascii="Times New Roman" w:hAnsi="Times New Roman" w:cs="Times New Roman"/>
          <w:sz w:val="24"/>
          <w:szCs w:val="24"/>
        </w:rPr>
        <w:t xml:space="preserve"> (</w:t>
      </w:r>
      <w:r w:rsidR="00A66E31" w:rsidRPr="00AE3ECE">
        <w:rPr>
          <w:rFonts w:ascii="Times New Roman" w:hAnsi="Times New Roman" w:cs="Times New Roman"/>
          <w:sz w:val="24"/>
          <w:szCs w:val="24"/>
        </w:rPr>
        <w:t>E</w:t>
      </w:r>
      <w:r w:rsidRPr="00AE3ECE">
        <w:rPr>
          <w:rFonts w:ascii="Times New Roman" w:hAnsi="Times New Roman" w:cs="Times New Roman"/>
          <w:sz w:val="24"/>
          <w:szCs w:val="24"/>
        </w:rPr>
        <w:t>) Distribution of (</w:t>
      </w:r>
      <w:proofErr w:type="spellStart"/>
      <w:r w:rsidRPr="00AE3EC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E3ECE">
        <w:rPr>
          <w:rFonts w:ascii="Times New Roman" w:hAnsi="Times New Roman" w:cs="Times New Roman"/>
          <w:sz w:val="24"/>
          <w:szCs w:val="24"/>
        </w:rPr>
        <w:t>) EGFR and (ii) HIF1A among different immune subtypes. NOTE: C1: wound healing, C2: IFN- dominant, C3: inflammatory, and C4: lymphocyte depleted. (</w:t>
      </w:r>
      <w:r w:rsidR="00A66E31" w:rsidRPr="00AE3ECE">
        <w:rPr>
          <w:rFonts w:ascii="Times New Roman" w:hAnsi="Times New Roman" w:cs="Times New Roman"/>
          <w:sz w:val="24"/>
          <w:szCs w:val="24"/>
        </w:rPr>
        <w:t>F</w:t>
      </w:r>
      <w:r w:rsidRPr="00AE3ECE">
        <w:rPr>
          <w:rFonts w:ascii="Times New Roman" w:hAnsi="Times New Roman" w:cs="Times New Roman"/>
          <w:sz w:val="24"/>
          <w:szCs w:val="24"/>
        </w:rPr>
        <w:t>) Immunohistochemistry of four (AKT1, CTNNB1, EGFR, PIK3CA) genes from the HPA. Representative images showing the expression of each gene in PRAD tissues versus normal prostate tissues. (</w:t>
      </w:r>
      <w:r w:rsidR="00A66E31" w:rsidRPr="00AE3ECE">
        <w:rPr>
          <w:rFonts w:ascii="Times New Roman" w:hAnsi="Times New Roman" w:cs="Times New Roman"/>
          <w:sz w:val="24"/>
          <w:szCs w:val="24"/>
        </w:rPr>
        <w:t>G</w:t>
      </w:r>
      <w:r w:rsidRPr="00AE3ECE">
        <w:rPr>
          <w:rFonts w:ascii="Times New Roman" w:hAnsi="Times New Roman" w:cs="Times New Roman"/>
          <w:sz w:val="24"/>
          <w:szCs w:val="24"/>
        </w:rPr>
        <w:t>) Correlation between hub genes and immune cell infiltration (TIMER).</w:t>
      </w:r>
    </w:p>
    <w:p w14:paraId="7D82C64F" w14:textId="77777777" w:rsidR="00FF4195" w:rsidRPr="00AE3ECE" w:rsidRDefault="00FF4195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A6367" w14:textId="77777777" w:rsidR="00FF4195" w:rsidRPr="00AE3ECE" w:rsidRDefault="00FF4195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F9669" w14:textId="77777777" w:rsidR="00FF4195" w:rsidRPr="00AE3ECE" w:rsidRDefault="00FF4195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41FE9" w14:textId="77777777" w:rsidR="00FF4195" w:rsidRPr="00AE3ECE" w:rsidRDefault="00FF4195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A078F" w14:textId="77777777" w:rsidR="00FF4195" w:rsidRPr="00AE3ECE" w:rsidRDefault="00FF4195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15631F" w14:textId="77777777" w:rsidR="00FF4195" w:rsidRPr="00AE3ECE" w:rsidRDefault="00FF4195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A4EF53" w14:textId="77777777" w:rsidR="00FF4195" w:rsidRPr="00AE3ECE" w:rsidRDefault="00FF4195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FF4195" w:rsidRPr="00AE3EC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96BE713" w14:textId="1EF81DBF" w:rsidR="00FF4195" w:rsidRPr="00AE3ECE" w:rsidRDefault="002E7C51" w:rsidP="00DA07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F99FDA8" wp14:editId="1D175AF0">
            <wp:extent cx="9039726" cy="5085251"/>
            <wp:effectExtent l="0" t="0" r="9525" b="1270"/>
            <wp:docPr id="1092325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325153" name="Picture 109232515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069" cy="508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425DD" w14:textId="77777777" w:rsidR="00FF4195" w:rsidRPr="00570076" w:rsidRDefault="00FF4195" w:rsidP="00DA070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0076">
        <w:rPr>
          <w:rFonts w:ascii="Times New Roman" w:hAnsi="Times New Roman" w:cs="Times New Roman"/>
          <w:b/>
          <w:bCs/>
          <w:sz w:val="24"/>
          <w:szCs w:val="24"/>
        </w:rPr>
        <w:t>Figure S1.</w:t>
      </w:r>
    </w:p>
    <w:p w14:paraId="2B1D5B1B" w14:textId="77777777" w:rsidR="00600F7E" w:rsidRDefault="00600F7E" w:rsidP="00DA070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600F7E" w:rsidSect="00FF419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42C9179" w14:textId="77777777" w:rsidR="00223279" w:rsidRDefault="00600F7E" w:rsidP="00600F7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C33DF33" wp14:editId="6FF46A55">
            <wp:extent cx="7158875" cy="5507672"/>
            <wp:effectExtent l="0" t="0" r="4445" b="0"/>
            <wp:docPr id="6789160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16049" name="Picture 6789160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5465" cy="551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D5078" w14:textId="2F6FC984" w:rsidR="00600F7E" w:rsidRPr="00AE3ECE" w:rsidRDefault="00600F7E" w:rsidP="00600F7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600F7E" w:rsidRPr="00AE3ECE" w:rsidSect="00600F7E">
          <w:pgSz w:w="16838" w:h="11906" w:orient="landscape"/>
          <w:pgMar w:top="709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Figure S2.</w:t>
      </w:r>
    </w:p>
    <w:p w14:paraId="5A8DFD36" w14:textId="77777777" w:rsidR="00FF4195" w:rsidRPr="00AE3ECE" w:rsidRDefault="00FF4195" w:rsidP="00DA070F">
      <w:pPr>
        <w:spacing w:line="360" w:lineRule="auto"/>
        <w:ind w:lef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3ECE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3CDCB69" wp14:editId="2D678FE5">
            <wp:extent cx="9344841" cy="5227320"/>
            <wp:effectExtent l="0" t="0" r="8890" b="0"/>
            <wp:docPr id="18933563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556" cy="522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60017" w14:textId="5DEF84E3" w:rsidR="00FF4195" w:rsidRPr="00AE3ECE" w:rsidRDefault="00FF4195" w:rsidP="005D61F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3ECE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AE3ECE" w:rsidRPr="00AE3EC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E3EC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FF4195" w:rsidRPr="00AE3ECE" w:rsidSect="00FF41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95"/>
    <w:rsid w:val="000B6A8D"/>
    <w:rsid w:val="000C2762"/>
    <w:rsid w:val="00223279"/>
    <w:rsid w:val="0027600D"/>
    <w:rsid w:val="002C6347"/>
    <w:rsid w:val="002E7C51"/>
    <w:rsid w:val="00373A54"/>
    <w:rsid w:val="00407124"/>
    <w:rsid w:val="0041177A"/>
    <w:rsid w:val="00515556"/>
    <w:rsid w:val="0052773F"/>
    <w:rsid w:val="00570076"/>
    <w:rsid w:val="005D61F1"/>
    <w:rsid w:val="00600F7E"/>
    <w:rsid w:val="006350A1"/>
    <w:rsid w:val="0073071E"/>
    <w:rsid w:val="00736BEE"/>
    <w:rsid w:val="0081186E"/>
    <w:rsid w:val="00833B6C"/>
    <w:rsid w:val="008C439C"/>
    <w:rsid w:val="00911B6D"/>
    <w:rsid w:val="009F6F33"/>
    <w:rsid w:val="00A66E31"/>
    <w:rsid w:val="00AB1226"/>
    <w:rsid w:val="00AB3470"/>
    <w:rsid w:val="00AE3ECE"/>
    <w:rsid w:val="00C35258"/>
    <w:rsid w:val="00C53C86"/>
    <w:rsid w:val="00D72CDD"/>
    <w:rsid w:val="00DA070F"/>
    <w:rsid w:val="00DC5E0B"/>
    <w:rsid w:val="00E74617"/>
    <w:rsid w:val="00F2769F"/>
    <w:rsid w:val="00F57FCF"/>
    <w:rsid w:val="00F84ABA"/>
    <w:rsid w:val="00FB3F41"/>
    <w:rsid w:val="00FF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824EE"/>
  <w15:chartTrackingRefBased/>
  <w15:docId w15:val="{B6FE19EB-818C-421C-8CFF-C49E753F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1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1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1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1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1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1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1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1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1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1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1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19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63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Priyadarshini</dc:creator>
  <cp:keywords/>
  <dc:description/>
  <cp:lastModifiedBy>Arpita Priyadarshini</cp:lastModifiedBy>
  <cp:revision>45</cp:revision>
  <dcterms:created xsi:type="dcterms:W3CDTF">2025-03-15T14:07:00Z</dcterms:created>
  <dcterms:modified xsi:type="dcterms:W3CDTF">2025-05-26T06:06:00Z</dcterms:modified>
</cp:coreProperties>
</file>