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725AAA">
      <w:pPr>
        <w:spacing w:line="240" w:lineRule="auto"/>
        <w:rPr>
          <w:rFonts w:hint="eastAsia" w:ascii="Times New Roman" w:hAnsi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The article title：</w:t>
      </w:r>
      <w:bookmarkStart w:id="0" w:name="OLE_LINK5"/>
      <w:bookmarkEnd w:id="0"/>
      <w:r>
        <w:rPr>
          <w:rFonts w:hint="eastAsia" w:ascii="Times New Roman" w:hAnsi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Comparison of Ioversol and Iodixanol Related Adverse Drug Reactions in Cerebrovascular Interventional Procedures</w:t>
      </w:r>
    </w:p>
    <w:p w14:paraId="43BCF238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bookmarkStart w:id="1" w:name="_GoBack"/>
      <w:bookmarkEnd w:id="1"/>
      <w:r>
        <w:rPr>
          <w:rFonts w:hint="eastAsia" w:ascii="Times New Roman" w:hAnsi="Times New Roman"/>
          <w:sz w:val="20"/>
          <w:szCs w:val="20"/>
          <w:shd w:val="clear" w:color="auto" w:fill="FFFFFF"/>
        </w:rPr>
        <w:t>Ai-bin. Guo</w:t>
      </w: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1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, Zhi-qi. Yang</w:t>
      </w: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1*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, Bin. Zhao</w:t>
      </w: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1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, Yuan-ming. Li</w:t>
      </w: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1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,Ya-xuan. Wei</w:t>
      </w: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1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, Shao-ju. Shao</w:t>
      </w: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2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, Guo-zhen. Zhang</w:t>
      </w: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2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, Hui-sheng. Chen</w:t>
      </w: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3*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, Rong. Yin</w:t>
      </w:r>
      <w:r>
        <w:rPr>
          <w:rFonts w:ascii="Times New Roman" w:hAnsi="Times New Roman"/>
          <w:sz w:val="20"/>
          <w:szCs w:val="20"/>
          <w:shd w:val="clear" w:color="auto" w:fill="FFFFFF"/>
          <w:vertAlign w:val="superscript"/>
        </w:rPr>
        <w:t>1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 xml:space="preserve">, </w:t>
      </w: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2*</w:t>
      </w:r>
    </w:p>
    <w:p w14:paraId="320B6FA3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1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Department of Neurology, Gansu Provincial Central Hospital, Lanzhou</w:t>
      </w:r>
    </w:p>
    <w:p w14:paraId="7E6D5913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2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Department of Neurology, the 940th Hospital of Joint Logistics Support force of Chinese People's Liberation Army, Lanzhou</w:t>
      </w:r>
    </w:p>
    <w:p w14:paraId="1190F8B7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t>Department of Neurology, General Hospital of Northern Theater Command, Shenyang</w:t>
      </w:r>
    </w:p>
    <w:p w14:paraId="1B884C32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 xml:space="preserve">(*)Correspondence: </w:t>
      </w:r>
    </w:p>
    <w:p w14:paraId="4709000D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>Zhi-qi. Yang</w:t>
      </w:r>
    </w:p>
    <w:p w14:paraId="6063EED5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>Department of Neurology, Gansu Provincial Central Hospital, Lanzhou 730070, China</w:t>
      </w:r>
    </w:p>
    <w:p w14:paraId="7353D572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>Phone number: +86 15117069870</w:t>
      </w:r>
    </w:p>
    <w:p w14:paraId="64BB9E8E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>Email address: yangzhq0526@126.com</w:t>
      </w:r>
    </w:p>
    <w:p w14:paraId="382BF787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>Hui-sheng. Chen</w:t>
      </w:r>
    </w:p>
    <w:p w14:paraId="6CB85A04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>Department of Neurology, General Hospital of Northern Theater Command, Shenyang,110015,China</w:t>
      </w:r>
    </w:p>
    <w:p w14:paraId="32AA620B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 xml:space="preserve">Phone number: </w:t>
      </w:r>
      <w:r>
        <w:rPr>
          <w:rFonts w:ascii="Times New Roman" w:hAnsi="Times New Roman"/>
          <w:bCs/>
          <w:color w:val="000000"/>
          <w:shd w:val="clear" w:color="auto" w:fill="FFFFFF"/>
        </w:rPr>
        <w:t>+86 13352452086</w:t>
      </w:r>
    </w:p>
    <w:p w14:paraId="4C16A4C2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 xml:space="preserve">Email address: </w:t>
      </w:r>
      <w:r>
        <w:rPr>
          <w:rFonts w:ascii="Times New Roman" w:hAnsi="Times New Roman"/>
          <w:color w:val="000000"/>
          <w:shd w:val="clear" w:color="auto" w:fill="FFFFFF"/>
        </w:rPr>
        <w:t>chszh@aliyun.com</w:t>
      </w:r>
    </w:p>
    <w:p w14:paraId="7ED4E8CA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>Rong. Yin</w:t>
      </w:r>
    </w:p>
    <w:p w14:paraId="4395087F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>Department of Neurology, Gansu Provincial Central Hospital, Lanzhou 730070, China</w:t>
      </w:r>
    </w:p>
    <w:p w14:paraId="44671AE5">
      <w:pPr>
        <w:spacing w:line="240" w:lineRule="auto"/>
        <w:rPr>
          <w:rFonts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>Phone number: +86 13919930466</w:t>
      </w:r>
    </w:p>
    <w:p w14:paraId="625579F5">
      <w:pPr>
        <w:rPr>
          <w:rFonts w:hint="eastAsia" w:ascii="Times New Roman" w:hAnsi="Times New Roman"/>
          <w:sz w:val="20"/>
          <w:szCs w:val="20"/>
          <w:shd w:val="clear" w:color="auto" w:fill="FFFFFF"/>
        </w:rPr>
      </w:pPr>
      <w:r>
        <w:rPr>
          <w:rFonts w:hint="eastAsia" w:ascii="Times New Roman" w:hAnsi="Times New Roman"/>
          <w:sz w:val="20"/>
          <w:szCs w:val="20"/>
          <w:shd w:val="clear" w:color="auto" w:fill="FFFFFF"/>
        </w:rPr>
        <w:t xml:space="preserve">Email address: </w: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fldChar w:fldCharType="begin"/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instrText xml:space="preserve"> HYPERLINK "mailto:yin_rong_@hotmail.com" </w:instrText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fldChar w:fldCharType="separate"/>
      </w:r>
      <w:r>
        <w:rPr>
          <w:rStyle w:val="5"/>
          <w:rFonts w:hint="eastAsia" w:ascii="Times New Roman" w:hAnsi="Times New Roman"/>
          <w:sz w:val="20"/>
          <w:szCs w:val="20"/>
          <w:shd w:val="clear" w:color="auto" w:fill="FFFFFF"/>
        </w:rPr>
        <w:t>yin_rong_@hotmail.com</w:t>
      </w:r>
      <w:r>
        <w:rPr>
          <w:rStyle w:val="5"/>
          <w:rFonts w:hint="eastAsia" w:ascii="Times New Roman" w:hAnsi="Times New Roman"/>
          <w:sz w:val="20"/>
          <w:szCs w:val="20"/>
          <w:shd w:val="clear" w:color="auto" w:fill="FFFFFF"/>
        </w:rPr>
        <w:br w:type="page"/>
      </w:r>
      <w:r>
        <w:rPr>
          <w:rFonts w:hint="eastAsia" w:ascii="Times New Roman" w:hAnsi="Times New Roman"/>
          <w:sz w:val="20"/>
          <w:szCs w:val="20"/>
          <w:shd w:val="clear" w:color="auto" w:fill="FFFFFF"/>
        </w:rPr>
        <w:fldChar w:fldCharType="end"/>
      </w:r>
    </w:p>
    <w:tbl>
      <w:tblPr>
        <w:tblStyle w:val="3"/>
        <w:tblpPr w:leftFromText="180" w:rightFromText="180" w:vertAnchor="text" w:horzAnchor="page" w:tblpX="1792" w:tblpY="29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4"/>
        <w:gridCol w:w="6848"/>
      </w:tblGrid>
      <w:tr w14:paraId="1609A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op w:val="single" w:color="auto" w:sz="8" w:space="0"/>
              <w:left w:val="nil"/>
              <w:bottom w:val="single" w:color="000000" w:sz="8" w:space="0"/>
              <w:right w:val="nil"/>
            </w:tcBorders>
          </w:tcPr>
          <w:p w14:paraId="68D538BC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szCs w:val="21"/>
                <w:lang w:val="en-US" w:eastAsia="zh-CN"/>
              </w:rPr>
              <w:t>Supplemental Table 1：I</w:t>
            </w:r>
            <w:r>
              <w:rPr>
                <w:rFonts w:hint="default" w:ascii="Times New Roman" w:hAnsi="Times New Roman" w:cs="Times New Roman"/>
                <w:b/>
                <w:bCs/>
                <w:szCs w:val="21"/>
              </w:rPr>
              <w:t xml:space="preserve">odinated </w:t>
            </w:r>
            <w:r>
              <w:rPr>
                <w:rFonts w:hint="default" w:ascii="Times New Roman" w:hAnsi="Times New Roman" w:eastAsia="宋体" w:cs="Times New Roman"/>
                <w:b/>
                <w:bCs/>
                <w:kern w:val="2"/>
                <w:sz w:val="21"/>
                <w:szCs w:val="24"/>
                <w:lang w:val="en-US" w:eastAsia="zh-CN" w:bidi="ar"/>
              </w:rPr>
              <w:t>Contrast Media-Related Adverse Drug Reactions</w:t>
            </w:r>
          </w:p>
        </w:tc>
      </w:tr>
      <w:tr w14:paraId="07BBB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E2EFDA"/>
          </w:tcPr>
          <w:p w14:paraId="2D3D89F4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Severity of </w:t>
            </w:r>
            <w:r>
              <w:rPr>
                <w:rFonts w:hint="default" w:ascii="Times New Roman" w:hAnsi="Times New Roman"/>
              </w:rPr>
              <w:t>adverse drug reactions</w:t>
            </w:r>
          </w:p>
        </w:tc>
      </w:tr>
      <w:tr w14:paraId="25046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4A9DC2F8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Mild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</w:tcPr>
          <w:p w14:paraId="0654B320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Symptoms are self-limited without evidence of progression</w:t>
            </w:r>
          </w:p>
        </w:tc>
      </w:tr>
      <w:tr w14:paraId="65D0F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0CC352B7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Moderate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02F54BFE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Symptoms are more pronounced and commonly require medical management</w:t>
            </w:r>
          </w:p>
        </w:tc>
      </w:tr>
      <w:tr w14:paraId="2C0FB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638F70CA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Severe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</w:tcPr>
          <w:p w14:paraId="08849F64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Symptoms are more pronounced and commonly require medical management</w:t>
            </w:r>
          </w:p>
        </w:tc>
      </w:tr>
      <w:tr w14:paraId="21E91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510F96AE">
            <w:pPr>
              <w:spacing w:line="240" w:lineRule="auto"/>
              <w:rPr>
                <w:rFonts w:hint="default" w:ascii="Times New Roman" w:hAnsi="Times New Roman" w:cs="Times New Roman"/>
                <w:color w:val="101214"/>
                <w:szCs w:val="21"/>
              </w:rPr>
            </w:pPr>
            <w:r>
              <w:rPr>
                <w:rFonts w:hint="default" w:ascii="Times New Roman" w:hAnsi="Times New Roman"/>
                <w:color w:val="000000"/>
                <w:kern w:val="0"/>
              </w:rPr>
              <w:t>adverse drug reactions</w:t>
            </w:r>
          </w:p>
        </w:tc>
      </w:tr>
      <w:tr w14:paraId="0072D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39E9E17D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CNS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</w:tcPr>
          <w:p w14:paraId="137E2A6C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101214"/>
                <w:szCs w:val="21"/>
              </w:rPr>
              <w:t>Headache, Dizziness, Numbness, Dysphonia, Blurred vision, Altered taste, or Seizures.</w:t>
            </w:r>
          </w:p>
        </w:tc>
      </w:tr>
      <w:tr w14:paraId="72411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04564B0B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GI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</w:rPr>
              <w:t>system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17030886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101214"/>
                <w:szCs w:val="21"/>
              </w:rPr>
              <w:t>Nausea,Vomiting,or Abdominal pain</w:t>
            </w:r>
          </w:p>
        </w:tc>
      </w:tr>
      <w:tr w14:paraId="37765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412697DC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Cutaneous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</w:rPr>
              <w:t>system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</w:tcPr>
          <w:p w14:paraId="533B99F4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Rash, Urticaria, Erythema, Pruritus, or Cutaneous edema</w:t>
            </w:r>
          </w:p>
        </w:tc>
      </w:tr>
      <w:tr w14:paraId="63CC1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6E992A56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Musculoskeletal </w:t>
            </w:r>
            <w:r>
              <w:rPr>
                <w:rFonts w:hint="eastAsia" w:ascii="Times New Roman" w:hAnsi="Times New Roman"/>
              </w:rPr>
              <w:t>system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1644B5D4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101214"/>
                <w:szCs w:val="21"/>
              </w:rPr>
              <w:t>Limb numbness or Pain</w:t>
            </w:r>
          </w:p>
        </w:tc>
      </w:tr>
      <w:tr w14:paraId="0FAA2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536ED68B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Cardiovascular </w:t>
            </w:r>
            <w:r>
              <w:rPr>
                <w:rFonts w:hint="eastAsia" w:ascii="Times New Roman" w:hAnsi="Times New Roman"/>
              </w:rPr>
              <w:t>system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</w:tcPr>
          <w:p w14:paraId="2C726582">
            <w:pPr>
              <w:spacing w:line="240" w:lineRule="auto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>Chest discomfort, Palpitations, Cardiopulmonary arrest</w:t>
            </w:r>
          </w:p>
        </w:tc>
      </w:tr>
      <w:tr w14:paraId="61FB3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7317A4F5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Respiratory </w:t>
            </w:r>
            <w:r>
              <w:rPr>
                <w:rFonts w:hint="eastAsia" w:ascii="Times New Roman" w:hAnsi="Times New Roman"/>
              </w:rPr>
              <w:t>system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2D5A7F42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101214"/>
                <w:szCs w:val="21"/>
              </w:rPr>
              <w:t>Dyspn</w:t>
            </w:r>
            <w:r>
              <w:rPr>
                <w:rFonts w:hint="eastAsia" w:ascii="Times New Roman" w:hAnsi="Times New Roman" w:cs="Times New Roman"/>
                <w:color w:val="101214"/>
                <w:szCs w:val="21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color w:val="101214"/>
                <w:szCs w:val="21"/>
              </w:rPr>
              <w:t>ea, Hoarseness, Wheezing, or Cyanosis</w:t>
            </w:r>
          </w:p>
        </w:tc>
      </w:tr>
      <w:tr w14:paraId="3B090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</w:tcPr>
          <w:p w14:paraId="138505C1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  <w:t xml:space="preserve">Urinary </w:t>
            </w:r>
            <w:r>
              <w:rPr>
                <w:rFonts w:hint="eastAsia" w:ascii="Times New Roman" w:hAnsi="Times New Roman"/>
              </w:rPr>
              <w:t>system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</w:tcPr>
          <w:p w14:paraId="75714F3A">
            <w:pPr>
              <w:spacing w:line="240" w:lineRule="auto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101214"/>
                <w:szCs w:val="21"/>
              </w:rPr>
              <w:t>Dysuria or Kidney injury</w:t>
            </w:r>
            <w:r>
              <w:rPr>
                <w:rFonts w:hint="eastAsia" w:ascii="Times New Roman" w:hAnsi="Times New Roman" w:cs="Times New Roman"/>
                <w:color w:val="101214"/>
                <w:szCs w:val="21"/>
                <w:vertAlign w:val="superscript"/>
                <w:lang w:val="en-US" w:eastAsia="zh-CN"/>
              </w:rPr>
              <w:t>a</w:t>
            </w:r>
          </w:p>
        </w:tc>
      </w:tr>
      <w:tr w14:paraId="39FF5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1743FAEF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Helvetica" w:cs="Times New Roman"/>
                <w:color w:val="333333"/>
                <w:szCs w:val="21"/>
              </w:rPr>
              <w:t>VNS</w:t>
            </w:r>
          </w:p>
        </w:tc>
        <w:tc>
          <w:tcPr>
            <w:tcW w:w="6848" w:type="dxa"/>
            <w:tcBorders>
              <w:top w:val="nil"/>
              <w:left w:val="nil"/>
              <w:bottom w:val="nil"/>
              <w:right w:val="nil"/>
            </w:tcBorders>
            <w:shd w:val="clear" w:color="auto" w:fill="E2EFDA"/>
          </w:tcPr>
          <w:p w14:paraId="3EA1B073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color w:val="101214"/>
                <w:szCs w:val="21"/>
              </w:rPr>
              <w:t>Vasovagal reaction or Hypertension</w:t>
            </w:r>
          </w:p>
        </w:tc>
      </w:tr>
      <w:tr w14:paraId="2E14C9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74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44286671">
            <w:pPr>
              <w:spacing w:line="240" w:lineRule="auto"/>
              <w:rPr>
                <w:rFonts w:hint="default" w:ascii="Times New Roman" w:hAnsi="Times New Roman" w:cs="Times New Roman"/>
                <w:color w:val="333333"/>
                <w:szCs w:val="21"/>
              </w:rPr>
            </w:pPr>
            <w:r>
              <w:rPr>
                <w:rFonts w:hint="default" w:ascii="Times New Roman" w:hAnsi="Times New Roman" w:cs="Times New Roman"/>
                <w:color w:val="333333"/>
                <w:szCs w:val="21"/>
              </w:rPr>
              <w:t>Fever</w:t>
            </w:r>
          </w:p>
        </w:tc>
        <w:tc>
          <w:tcPr>
            <w:tcW w:w="6848" w:type="dxa"/>
            <w:tcBorders>
              <w:top w:val="nil"/>
              <w:left w:val="nil"/>
              <w:bottom w:val="single" w:color="000000" w:sz="8" w:space="0"/>
              <w:right w:val="nil"/>
            </w:tcBorders>
          </w:tcPr>
          <w:p w14:paraId="3FB9ED5D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Temperature ≥ 37.3</w:t>
            </w: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"/>
              </w:rPr>
              <w:t>°C</w:t>
            </w:r>
          </w:p>
        </w:tc>
      </w:tr>
    </w:tbl>
    <w:p w14:paraId="13F4A36A">
      <w:pPr>
        <w:spacing w:line="240" w:lineRule="auto"/>
        <w:rPr>
          <w:rFonts w:hint="default" w:ascii="Times New Roman" w:hAnsi="Times New Roman" w:eastAsia="宋体" w:cs="Times New Roman"/>
          <w:sz w:val="18"/>
          <w:szCs w:val="18"/>
          <w:shd w:val="clear" w:color="auto" w:fill="FFFFFF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  <w:szCs w:val="21"/>
        </w:rPr>
        <w:t>Note.—</w:t>
      </w:r>
      <w:r>
        <w:rPr>
          <w:rFonts w:hint="default" w:ascii="Times New Roman" w:hAnsi="Times New Roman" w:cs="Times New Roman"/>
          <w:sz w:val="18"/>
          <w:szCs w:val="18"/>
        </w:rPr>
        <w:t xml:space="preserve">CNS = central nervous system, GI = gastrointestinal, VNS = </w:t>
      </w:r>
      <w:r>
        <w:rPr>
          <w:rFonts w:hint="default" w:ascii="Times New Roman" w:hAnsi="Times New Roman" w:eastAsia="Helvetica" w:cs="Times New Roman"/>
          <w:sz w:val="18"/>
          <w:szCs w:val="18"/>
          <w:shd w:val="clear" w:color="auto" w:fill="FFFFFF"/>
        </w:rPr>
        <w:t>vegetative nervous system</w:t>
      </w:r>
      <w:r>
        <w:rPr>
          <w:rFonts w:hint="eastAsia" w:ascii="Times New Roman" w:hAnsi="Times New Roman" w:cs="Times New Roman"/>
          <w:sz w:val="18"/>
          <w:szCs w:val="18"/>
          <w:shd w:val="clear" w:color="auto" w:fill="FFFFFF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sz w:val="18"/>
          <w:szCs w:val="18"/>
          <w:shd w:val="clear" w:color="auto" w:fill="FFFFFF"/>
          <w:vertAlign w:val="superscript"/>
          <w:lang w:val="en-US" w:eastAsia="zh-CN"/>
        </w:rPr>
        <w:t xml:space="preserve">a </w:t>
      </w:r>
      <w:r>
        <w:rPr>
          <w:rFonts w:hint="eastAsia" w:ascii="Times New Roman" w:hAnsi="Times New Roman" w:cs="Times New Roman"/>
          <w:sz w:val="18"/>
          <w:szCs w:val="18"/>
          <w:shd w:val="clear" w:color="auto" w:fill="FFFFFF"/>
          <w:vertAlign w:val="baseline"/>
          <w:lang w:val="en-US" w:eastAsia="zh-CN"/>
        </w:rPr>
        <w:t xml:space="preserve">Kidney injury  was defined as an increase in serum creatinine </w:t>
      </w:r>
      <w:r>
        <w:rPr>
          <w:rFonts w:hint="default" w:ascii="Times New Roman" w:hAnsi="Times New Roman" w:eastAsia="宋体" w:cs="Times New Roman"/>
          <w:kern w:val="2"/>
          <w:sz w:val="18"/>
          <w:szCs w:val="18"/>
          <w:lang w:val="en-US" w:eastAsia="zh-CN" w:bidi="ar"/>
        </w:rPr>
        <w:t>of</w:t>
      </w:r>
      <w:r>
        <w:rPr>
          <w:rFonts w:hint="eastAsia" w:ascii="Times New Roman" w:hAnsi="Times New Roman" w:cs="Times New Roman"/>
          <w:sz w:val="18"/>
          <w:szCs w:val="18"/>
          <w:shd w:val="clear" w:color="auto" w:fill="FFFFFF"/>
          <w:vertAlign w:val="baseline"/>
          <w:lang w:val="en-US" w:eastAsia="zh-CN"/>
        </w:rPr>
        <w:t xml:space="preserve"> 0. 3 mg/dL (26.4 </w:t>
      </w:r>
      <w:r>
        <w:rPr>
          <w:rFonts w:hint="default" w:ascii="Times New Roman" w:hAnsi="Times New Roman" w:eastAsia="宋体" w:cs="Times New Roman"/>
          <w:kern w:val="2"/>
          <w:sz w:val="18"/>
          <w:szCs w:val="18"/>
          <w:lang w:val="en-US" w:eastAsia="zh-CN" w:bidi="ar"/>
        </w:rPr>
        <w:t>μmo</w:t>
      </w:r>
      <w:r>
        <w:rPr>
          <w:rFonts w:hint="eastAsia" w:ascii="Times New Roman" w:hAnsi="Times New Roman" w:cs="Times New Roman"/>
          <w:sz w:val="18"/>
          <w:szCs w:val="18"/>
          <w:shd w:val="clear" w:color="auto" w:fill="FFFFFF"/>
          <w:vertAlign w:val="baseline"/>
          <w:lang w:val="en-US" w:eastAsia="zh-CN"/>
        </w:rPr>
        <w:t>l/l) or 25% or more from baseline to measurements obtained 48</w:t>
      </w:r>
      <w:r>
        <w:rPr>
          <w:rFonts w:hint="default" w:ascii="Times New Roman" w:hAnsi="Times New Roman" w:eastAsia="宋体" w:cs="Times New Roman"/>
          <w:kern w:val="2"/>
          <w:sz w:val="18"/>
          <w:szCs w:val="18"/>
          <w:lang w:val="en-US" w:eastAsia="zh-CN" w:bidi="ar"/>
        </w:rPr>
        <w:t>–</w:t>
      </w:r>
      <w:r>
        <w:rPr>
          <w:rFonts w:hint="eastAsia" w:ascii="Times New Roman" w:hAnsi="Times New Roman" w:cs="Times New Roman"/>
          <w:sz w:val="18"/>
          <w:szCs w:val="18"/>
          <w:shd w:val="clear" w:color="auto" w:fill="FFFFFF"/>
          <w:vertAlign w:val="baseline"/>
          <w:lang w:val="en-US" w:eastAsia="zh-CN"/>
        </w:rPr>
        <w:t>72 hours after the procedures.</w:t>
      </w:r>
    </w:p>
    <w:p w14:paraId="2909876B">
      <w:pPr>
        <w:spacing w:line="240" w:lineRule="auto"/>
        <w:rPr>
          <w:rFonts w:ascii="Times New Roman" w:hAnsi="Times New Roman"/>
          <w:sz w:val="18"/>
          <w:szCs w:val="18"/>
          <w:shd w:val="clear" w:color="auto" w:fill="FFFFFF"/>
        </w:rPr>
      </w:pPr>
      <w:r>
        <w:rPr>
          <w:rFonts w:ascii="Times New Roman" w:hAnsi="Times New Roman"/>
          <w:sz w:val="18"/>
          <w:szCs w:val="18"/>
          <w:shd w:val="clear" w:color="auto" w:fill="FFFFFF"/>
        </w:rPr>
        <w:br w:type="page"/>
      </w:r>
    </w:p>
    <w:p w14:paraId="141D90E9">
      <w:pPr>
        <w:spacing w:line="240" w:lineRule="auto"/>
        <w:jc w:val="left"/>
        <w:rPr>
          <w:rFonts w:ascii="Times New Roman" w:hAnsi="Times New Roman"/>
          <w:sz w:val="18"/>
          <w:szCs w:val="18"/>
          <w:shd w:val="clear" w:color="auto" w:fill="FFFFFF"/>
        </w:rPr>
      </w:pPr>
    </w:p>
    <w:tbl>
      <w:tblPr>
        <w:tblStyle w:val="2"/>
        <w:tblW w:w="7920" w:type="dxa"/>
        <w:tblInd w:w="97" w:type="dxa"/>
        <w:tblBorders>
          <w:top w:val="single" w:color="000000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5"/>
        <w:gridCol w:w="1511"/>
        <w:gridCol w:w="1674"/>
      </w:tblGrid>
      <w:tr w14:paraId="40644B3E">
        <w:tblPrEx>
          <w:tblBorders>
            <w:top w:val="single" w:color="000000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920" w:type="dxa"/>
            <w:gridSpan w:val="3"/>
            <w:tcBorders>
              <w:top w:val="single" w:color="000000" w:sz="12" w:space="0"/>
              <w:bottom w:val="single" w:color="000000" w:themeColor="text1" w:sz="8" w:space="0"/>
            </w:tcBorders>
            <w:shd w:val="clear" w:color="auto" w:fill="auto"/>
            <w:noWrap/>
            <w:vAlign w:val="center"/>
          </w:tcPr>
          <w:p w14:paraId="6E6CF4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Arial" w:hAnsi="Arial" w:eastAsia="宋体" w:cs="Arial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lang w:val="en-US" w:eastAsia="zh-CN"/>
              </w:rPr>
              <w:t>Supplemental Table 2：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>Proportion of Participants Who Received Varied Types of Interventions</w:t>
            </w:r>
          </w:p>
        </w:tc>
      </w:tr>
      <w:tr w14:paraId="66B7A0BB">
        <w:tblPrEx>
          <w:tblBorders>
            <w:top w:val="single" w:color="000000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735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shd w:val="clear" w:color="auto" w:fill="auto"/>
            <w:noWrap/>
            <w:vAlign w:val="center"/>
          </w:tcPr>
          <w:p w14:paraId="50F4E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2"/>
              </w:rPr>
            </w:pPr>
          </w:p>
        </w:tc>
        <w:tc>
          <w:tcPr>
            <w:tcW w:w="1511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shd w:val="clear" w:color="auto" w:fill="auto"/>
            <w:vAlign w:val="center"/>
          </w:tcPr>
          <w:p w14:paraId="0C59B3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/>
                <w:color w:val="000000"/>
                <w:kern w:val="0"/>
              </w:rPr>
            </w:pPr>
            <w:r>
              <w:rPr>
                <w:rFonts w:hint="default" w:ascii="Times New Roman" w:hAnsi="Times New Roman"/>
                <w:color w:val="000000"/>
                <w:kern w:val="0"/>
              </w:rPr>
              <w:t>Iodixanol</w:t>
            </w:r>
            <w:r>
              <w:rPr>
                <w:rFonts w:hint="default" w:ascii="Times New Roman" w:hAnsi="Times New Roman"/>
                <w:color w:val="000000"/>
                <w:kern w:val="0"/>
              </w:rPr>
              <w:br w:type="textWrapping"/>
            </w: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 xml:space="preserve">( </w:t>
            </w:r>
            <w:r>
              <w:rPr>
                <w:rFonts w:hint="default" w:ascii="Times New Roman" w:hAnsi="Times New Roman"/>
                <w:color w:val="000000"/>
                <w:kern w:val="0"/>
              </w:rPr>
              <w:t xml:space="preserve">n = 435 </w:t>
            </w: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)</w:t>
            </w:r>
          </w:p>
        </w:tc>
        <w:tc>
          <w:tcPr>
            <w:tcW w:w="1674" w:type="dxa"/>
            <w:tcBorders>
              <w:top w:val="single" w:color="000000" w:themeColor="text1" w:sz="8" w:space="0"/>
              <w:bottom w:val="single" w:color="000000" w:themeColor="text1" w:sz="8" w:space="0"/>
            </w:tcBorders>
            <w:shd w:val="clear" w:color="auto" w:fill="auto"/>
            <w:vAlign w:val="center"/>
          </w:tcPr>
          <w:p w14:paraId="77AF1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Times New Roman" w:hAnsi="Times New Roman" w:eastAsia="宋体"/>
                <w:color w:val="000000"/>
                <w:kern w:val="0"/>
                <w:lang w:eastAsia="zh-CN"/>
              </w:rPr>
            </w:pPr>
            <w:r>
              <w:rPr>
                <w:rFonts w:hint="default" w:ascii="Times New Roman" w:hAnsi="Times New Roman"/>
                <w:color w:val="000000"/>
                <w:kern w:val="0"/>
              </w:rPr>
              <w:t>Ioversol</w:t>
            </w:r>
            <w:r>
              <w:rPr>
                <w:rFonts w:hint="default" w:ascii="Times New Roman" w:hAnsi="Times New Roman"/>
                <w:color w:val="000000"/>
                <w:kern w:val="0"/>
              </w:rPr>
              <w:br w:type="textWrapping"/>
            </w: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(</w:t>
            </w:r>
            <w:r>
              <w:rPr>
                <w:rFonts w:hint="default" w:ascii="Times New Roman" w:hAnsi="Times New Roman"/>
                <w:color w:val="000000"/>
                <w:kern w:val="0"/>
              </w:rPr>
              <w:t xml:space="preserve"> n =413 </w:t>
            </w: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)</w:t>
            </w:r>
          </w:p>
        </w:tc>
      </w:tr>
      <w:tr w14:paraId="348C6D22">
        <w:tblPrEx>
          <w:tblBorders>
            <w:top w:val="single" w:color="000000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35" w:type="dxa"/>
            <w:tcBorders>
              <w:top w:val="single" w:color="000000" w:themeColor="text1" w:sz="8" w:space="0"/>
              <w:tl2br w:val="nil"/>
              <w:tr2bl w:val="nil"/>
            </w:tcBorders>
            <w:shd w:val="clear" w:color="auto" w:fill="E3F2D9" w:themeFill="accent4" w:themeFillTint="32"/>
            <w:noWrap/>
            <w:vAlign w:val="center"/>
          </w:tcPr>
          <w:p w14:paraId="01FA1A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</w:rPr>
            </w:pPr>
            <w:r>
              <w:rPr>
                <w:rFonts w:hint="default" w:ascii="Times New Roman" w:hAnsi="Times New Roman"/>
                <w:color w:val="000000"/>
                <w:kern w:val="0"/>
              </w:rPr>
              <w:t>Cerebral angiography</w:t>
            </w:r>
          </w:p>
        </w:tc>
        <w:tc>
          <w:tcPr>
            <w:tcW w:w="1511" w:type="dxa"/>
            <w:tcBorders>
              <w:top w:val="single" w:color="000000" w:themeColor="text1" w:sz="8" w:space="0"/>
              <w:tl2br w:val="nil"/>
              <w:tr2bl w:val="nil"/>
            </w:tcBorders>
            <w:shd w:val="clear" w:color="auto" w:fill="E3F2D9" w:themeFill="accent4" w:themeFillTint="32"/>
            <w:noWrap/>
            <w:vAlign w:val="center"/>
          </w:tcPr>
          <w:p w14:paraId="79FCD2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423</w:t>
            </w:r>
          </w:p>
        </w:tc>
        <w:tc>
          <w:tcPr>
            <w:tcW w:w="1674" w:type="dxa"/>
            <w:tcBorders>
              <w:top w:val="single" w:color="000000" w:themeColor="text1" w:sz="8" w:space="0"/>
              <w:tl2br w:val="nil"/>
              <w:tr2bl w:val="nil"/>
            </w:tcBorders>
            <w:shd w:val="clear" w:color="auto" w:fill="E3F2D9" w:themeFill="accent4" w:themeFillTint="32"/>
            <w:noWrap/>
            <w:vAlign w:val="center"/>
          </w:tcPr>
          <w:p w14:paraId="6AEAF4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391</w:t>
            </w:r>
          </w:p>
        </w:tc>
      </w:tr>
      <w:tr w14:paraId="563DA572">
        <w:tblPrEx>
          <w:tblBorders>
            <w:top w:val="single" w:color="000000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8F07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</w:rPr>
            </w:pPr>
            <w:r>
              <w:rPr>
                <w:rFonts w:hint="default" w:ascii="Times New Roman" w:hAnsi="Times New Roman"/>
                <w:color w:val="000000"/>
                <w:kern w:val="0"/>
              </w:rPr>
              <w:t>Carotid artery stenting</w:t>
            </w:r>
          </w:p>
        </w:tc>
        <w:tc>
          <w:tcPr>
            <w:tcW w:w="1511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C55D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7</w:t>
            </w:r>
          </w:p>
        </w:tc>
        <w:tc>
          <w:tcPr>
            <w:tcW w:w="167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F8A3E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8</w:t>
            </w:r>
          </w:p>
        </w:tc>
      </w:tr>
      <w:tr w14:paraId="28999CCD">
        <w:tblPrEx>
          <w:tblBorders>
            <w:top w:val="single" w:color="000000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735" w:type="dxa"/>
            <w:tcBorders>
              <w:bottom w:val="single" w:color="000000" w:themeColor="text1" w:sz="12" w:space="0"/>
            </w:tcBorders>
            <w:shd w:val="clear" w:color="auto" w:fill="E3F2D9" w:themeFill="accent4" w:themeFillTint="32"/>
            <w:noWrap/>
            <w:vAlign w:val="center"/>
          </w:tcPr>
          <w:p w14:paraId="46EA6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/>
                <w:color w:val="000000"/>
                <w:kern w:val="0"/>
              </w:rPr>
            </w:pPr>
            <w:r>
              <w:rPr>
                <w:rFonts w:hint="default" w:ascii="Times New Roman" w:hAnsi="Times New Roman"/>
                <w:color w:val="000000"/>
                <w:kern w:val="0"/>
              </w:rPr>
              <w:t>Vertebral artery stenting</w:t>
            </w:r>
          </w:p>
        </w:tc>
        <w:tc>
          <w:tcPr>
            <w:tcW w:w="1511" w:type="dxa"/>
            <w:tcBorders>
              <w:bottom w:val="single" w:color="000000" w:themeColor="text1" w:sz="12" w:space="0"/>
            </w:tcBorders>
            <w:shd w:val="clear" w:color="auto" w:fill="E3F2D9" w:themeFill="accent4" w:themeFillTint="32"/>
            <w:noWrap/>
            <w:vAlign w:val="center"/>
          </w:tcPr>
          <w:p w14:paraId="69237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5</w:t>
            </w:r>
          </w:p>
        </w:tc>
        <w:tc>
          <w:tcPr>
            <w:tcW w:w="1674" w:type="dxa"/>
            <w:tcBorders>
              <w:bottom w:val="single" w:color="000000" w:themeColor="text1" w:sz="12" w:space="0"/>
            </w:tcBorders>
            <w:shd w:val="clear" w:color="auto" w:fill="E3F2D9" w:themeFill="accent4" w:themeFillTint="32"/>
            <w:noWrap/>
            <w:vAlign w:val="center"/>
          </w:tcPr>
          <w:p w14:paraId="4C790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14</w:t>
            </w:r>
          </w:p>
        </w:tc>
      </w:tr>
    </w:tbl>
    <w:p w14:paraId="249B81A2">
      <w:pPr>
        <w:spacing w:line="240" w:lineRule="auto"/>
        <w:rPr>
          <w:rFonts w:hint="default" w:ascii="Times New Roman" w:hAnsi="Times New Roman" w:eastAsia="Helvetica" w:cs="Times New Roman"/>
          <w:sz w:val="18"/>
          <w:szCs w:val="18"/>
          <w:shd w:val="clear" w:color="auto" w:fill="FFFFFF"/>
        </w:rPr>
      </w:pPr>
    </w:p>
    <w:p w14:paraId="42671757">
      <w:pPr>
        <w:spacing w:line="240" w:lineRule="auto"/>
      </w:pPr>
      <w:r>
        <w:br w:type="page"/>
      </w:r>
    </w:p>
    <w:p w14:paraId="5B6731D6">
      <w:pPr>
        <w:spacing w:line="240" w:lineRule="auto"/>
      </w:pPr>
    </w:p>
    <w:tbl>
      <w:tblPr>
        <w:tblStyle w:val="2"/>
        <w:tblW w:w="8314" w:type="dxa"/>
        <w:jc w:val="center"/>
        <w:tblBorders>
          <w:top w:val="single" w:color="000000" w:sz="12" w:space="0"/>
          <w:left w:val="none" w:color="auto" w:sz="0" w:space="0"/>
          <w:bottom w:val="single" w:color="00000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2"/>
        <w:gridCol w:w="2025"/>
        <w:gridCol w:w="2837"/>
      </w:tblGrid>
      <w:tr w14:paraId="4E89883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14" w:type="dxa"/>
            <w:gridSpan w:val="3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</w:tcPr>
          <w:p w14:paraId="7F064C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default" w:ascii="Times New Roman" w:hAnsi="Times New Roman"/>
                <w:b/>
                <w:bCs/>
                <w:i/>
                <w:iCs/>
                <w:color w:val="000000"/>
                <w:kern w:val="0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lang w:val="en-US" w:eastAsia="zh-CN"/>
              </w:rPr>
              <w:t xml:space="preserve">Supplemental </w:t>
            </w:r>
            <w:r>
              <w:rPr>
                <w:rFonts w:hint="default" w:ascii="Times New Roman" w:hAnsi="Times New Roman"/>
                <w:b/>
                <w:bCs/>
                <w:color w:val="000000"/>
                <w:kern w:val="0"/>
              </w:rPr>
              <w:t xml:space="preserve">Table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lang w:val="en-US" w:eastAsia="zh-CN"/>
              </w:rPr>
              <w:t>3</w:t>
            </w:r>
            <w:r>
              <w:rPr>
                <w:rFonts w:hint="default" w:ascii="Times New Roman" w:hAnsi="Times New Roman"/>
                <w:b/>
                <w:bCs/>
                <w:color w:val="000000"/>
                <w:kern w:val="0"/>
              </w:rPr>
              <w:t xml:space="preserve">: </w:t>
            </w: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 w:eastAsia="zh-CN"/>
              </w:rPr>
              <w:t xml:space="preserve">hysico-chemical </w:t>
            </w:r>
            <w:r>
              <w:rPr>
                <w:rFonts w:hint="eastAsia" w:ascii="Times New Roman" w:hAnsi="Times New Roman" w:cs="Times New Roman"/>
                <w:b/>
                <w:bCs/>
                <w:sz w:val="24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val="en-US" w:eastAsia="zh-CN"/>
              </w:rPr>
              <w:t xml:space="preserve">roperties of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4"/>
                <w:lang w:val="en-US" w:eastAsia="zh-CN" w:bidi="ar"/>
              </w:rPr>
              <w:t>Iodixanol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2"/>
                <w:sz w:val="21"/>
                <w:szCs w:val="24"/>
                <w:lang w:val="en-US" w:eastAsia="zh-CN" w:bidi="ar"/>
              </w:rPr>
              <w:t xml:space="preserve"> and 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4"/>
                <w:lang w:val="en-US" w:eastAsia="zh-CN" w:bidi="ar"/>
              </w:rPr>
              <w:t>Ioversol</w:t>
            </w:r>
          </w:p>
        </w:tc>
      </w:tr>
      <w:tr w14:paraId="25D9D7DB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2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</w:tcPr>
          <w:p w14:paraId="6583A8CC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rPr>
                <w:rFonts w:hint="default" w:ascii="Times New Roman" w:hAnsi="Times New Roman"/>
                <w:b/>
                <w:color w:val="000000"/>
                <w:kern w:val="0"/>
              </w:rPr>
            </w:pPr>
          </w:p>
        </w:tc>
        <w:tc>
          <w:tcPr>
            <w:tcW w:w="2025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</w:tcPr>
          <w:p w14:paraId="4907DE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/>
                <w:color w:val="000000"/>
                <w:kern w:val="0"/>
              </w:rPr>
            </w:pPr>
            <w:r>
              <w:rPr>
                <w:rFonts w:hint="default" w:ascii="Times New Roman" w:hAnsi="Times New Roman"/>
                <w:color w:val="000000"/>
                <w:kern w:val="0"/>
              </w:rPr>
              <w:t>Iodixanol</w:t>
            </w:r>
          </w:p>
        </w:tc>
        <w:tc>
          <w:tcPr>
            <w:tcW w:w="2837" w:type="dxa"/>
            <w:tcBorders>
              <w:bottom w:val="single" w:color="000000" w:sz="6" w:space="0"/>
              <w:tl2br w:val="nil"/>
              <w:tr2bl w:val="nil"/>
            </w:tcBorders>
            <w:shd w:val="clear" w:color="auto" w:fill="auto"/>
          </w:tcPr>
          <w:p w14:paraId="16D6FF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/>
                <w:color w:val="000000"/>
                <w:kern w:val="0"/>
              </w:rPr>
            </w:pPr>
            <w:r>
              <w:rPr>
                <w:rFonts w:hint="default" w:ascii="Times New Roman" w:hAnsi="Times New Roman"/>
                <w:color w:val="000000"/>
                <w:kern w:val="0"/>
              </w:rPr>
              <w:t>Ioversol</w:t>
            </w:r>
          </w:p>
        </w:tc>
      </w:tr>
      <w:tr w14:paraId="663589E7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2" w:type="dxa"/>
            <w:tcBorders>
              <w:top w:val="nil"/>
              <w:bottom w:val="nil"/>
            </w:tcBorders>
            <w:shd w:val="clear" w:color="auto" w:fill="auto"/>
          </w:tcPr>
          <w:p w14:paraId="1FBAB3F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textAlignment w:val="center"/>
              <w:rPr>
                <w:rFonts w:hint="default" w:ascii="Times New Roman" w:hAnsi="Times New Roman" w:eastAsia="宋体"/>
                <w:b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bCs/>
                <w:kern w:val="0"/>
                <w:lang w:val="en-US" w:eastAsia="zh-CN"/>
              </w:rPr>
              <w:t>Trade name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auto"/>
          </w:tcPr>
          <w:p w14:paraId="551C662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/>
                <w:color w:val="000000"/>
                <w:kern w:val="0"/>
              </w:rPr>
            </w:pPr>
            <w:r>
              <w:rPr>
                <w:rFonts w:hint="eastAsia" w:ascii="Times New Roman" w:hAnsi="Times New Roman"/>
                <w:color w:val="000000"/>
                <w:kern w:val="0"/>
              </w:rPr>
              <w:t>Visipaque320</w:t>
            </w:r>
          </w:p>
        </w:tc>
        <w:tc>
          <w:tcPr>
            <w:tcW w:w="2837" w:type="dxa"/>
            <w:tcBorders>
              <w:top w:val="nil"/>
              <w:bottom w:val="nil"/>
            </w:tcBorders>
            <w:shd w:val="clear" w:color="auto" w:fill="auto"/>
          </w:tcPr>
          <w:p w14:paraId="469C5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/>
                <w:color w:val="000000"/>
                <w:kern w:val="0"/>
              </w:rPr>
            </w:pPr>
            <w:r>
              <w:rPr>
                <w:rFonts w:hint="eastAsia" w:ascii="Times New Roman" w:hAnsi="Times New Roman"/>
                <w:color w:val="000000"/>
                <w:kern w:val="0"/>
              </w:rPr>
              <w:t>Optiray320</w:t>
            </w:r>
          </w:p>
        </w:tc>
      </w:tr>
      <w:tr w14:paraId="1C01C065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2" w:type="dxa"/>
            <w:tcBorders>
              <w:top w:val="nil"/>
              <w:bottom w:val="nil"/>
            </w:tcBorders>
            <w:shd w:val="clear" w:color="auto" w:fill="E2EFDA"/>
          </w:tcPr>
          <w:p w14:paraId="3F644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textAlignment w:val="center"/>
              <w:rPr>
                <w:rFonts w:hint="default" w:ascii="Times New Roman" w:hAnsi="Times New Roman" w:eastAsia="宋体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lang w:val="en-US" w:eastAsia="zh-CN"/>
              </w:rPr>
              <w:t>Concentration(mg Iodine/mL)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E2EFDA"/>
          </w:tcPr>
          <w:p w14:paraId="77517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320</w:t>
            </w:r>
          </w:p>
        </w:tc>
        <w:tc>
          <w:tcPr>
            <w:tcW w:w="2837" w:type="dxa"/>
            <w:tcBorders>
              <w:top w:val="nil"/>
              <w:bottom w:val="nil"/>
            </w:tcBorders>
            <w:shd w:val="clear" w:color="auto" w:fill="E2EFDA"/>
          </w:tcPr>
          <w:p w14:paraId="5B16C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320</w:t>
            </w:r>
          </w:p>
        </w:tc>
      </w:tr>
      <w:tr w14:paraId="1A0F1796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2" w:type="dxa"/>
            <w:tcBorders>
              <w:top w:val="nil"/>
              <w:bottom w:val="nil"/>
            </w:tcBorders>
            <w:shd w:val="clear" w:color="auto" w:fill="FFFFFF"/>
          </w:tcPr>
          <w:p w14:paraId="798C0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textAlignment w:val="center"/>
              <w:rPr>
                <w:rFonts w:hint="default" w:ascii="Times New Roman" w:hAnsi="Times New Roman" w:eastAsia="宋体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lang w:val="en-US" w:eastAsia="zh-CN"/>
              </w:rPr>
              <w:t>Viscosity at 37</w:t>
            </w:r>
            <w:r>
              <w:rPr>
                <w:rFonts w:hint="eastAsia" w:ascii="Arial" w:hAnsi="Times New Roman" w:eastAsia="宋体" w:cs="Arial"/>
                <w:sz w:val="21"/>
                <w:szCs w:val="24"/>
                <w:lang w:val="en-US" w:eastAsia="zh-CN" w:bidi="ar"/>
              </w:rPr>
              <w:t>°</w:t>
            </w:r>
            <w:r>
              <w:rPr>
                <w:rFonts w:hint="default" w:ascii="Arial" w:hAnsi="Times New Roman" w:eastAsia="宋体" w:cs="Arial"/>
                <w:sz w:val="21"/>
                <w:szCs w:val="24"/>
                <w:lang w:val="en-US" w:eastAsia="zh-CN" w:bidi="ar"/>
              </w:rPr>
              <w:t>C</w:t>
            </w:r>
            <w:r>
              <w:rPr>
                <w:rFonts w:hint="eastAsia" w:ascii="Times New Roman" w:hAnsi="Times New Roman"/>
                <w:kern w:val="0"/>
                <w:lang w:val="en-US" w:eastAsia="zh-CN"/>
              </w:rPr>
              <w:t>(mPa.s )</w:t>
            </w:r>
          </w:p>
        </w:tc>
        <w:tc>
          <w:tcPr>
            <w:tcW w:w="2025" w:type="dxa"/>
            <w:tcBorders>
              <w:top w:val="nil"/>
              <w:bottom w:val="nil"/>
            </w:tcBorders>
            <w:shd w:val="clear" w:color="auto" w:fill="FFFFFF"/>
          </w:tcPr>
          <w:p w14:paraId="0B748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11.4</w:t>
            </w:r>
          </w:p>
        </w:tc>
        <w:tc>
          <w:tcPr>
            <w:tcW w:w="2837" w:type="dxa"/>
            <w:tcBorders>
              <w:top w:val="nil"/>
              <w:bottom w:val="nil"/>
            </w:tcBorders>
            <w:shd w:val="clear" w:color="auto" w:fill="FFFFFF"/>
          </w:tcPr>
          <w:p w14:paraId="01342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5.8</w:t>
            </w:r>
          </w:p>
        </w:tc>
      </w:tr>
      <w:tr w14:paraId="2839321A">
        <w:tblPrEx>
          <w:tblBorders>
            <w:top w:val="single" w:color="000000" w:sz="12" w:space="0"/>
            <w:left w:val="none" w:color="auto" w:sz="0" w:space="0"/>
            <w:bottom w:val="single" w:color="00000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2" w:type="dxa"/>
            <w:tcBorders>
              <w:top w:val="nil"/>
              <w:bottom w:val="single" w:color="auto" w:sz="12" w:space="0"/>
            </w:tcBorders>
            <w:shd w:val="clear" w:color="auto" w:fill="E2EFDA"/>
          </w:tcPr>
          <w:p w14:paraId="2EFCC6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textAlignment w:val="center"/>
              <w:rPr>
                <w:rFonts w:hint="default" w:ascii="Times New Roman" w:hAnsi="Times New Roman" w:eastAsia="宋体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kern w:val="0"/>
                <w:lang w:val="en-US" w:eastAsia="zh-CN"/>
              </w:rPr>
              <w:t>Osmolality at 37</w:t>
            </w:r>
            <w:r>
              <w:rPr>
                <w:rFonts w:hint="eastAsia" w:ascii="Arial" w:hAnsi="Times New Roman" w:eastAsia="宋体" w:cs="Arial"/>
                <w:sz w:val="21"/>
                <w:szCs w:val="24"/>
                <w:lang w:val="en-US" w:eastAsia="zh-CN" w:bidi="ar"/>
              </w:rPr>
              <w:t>°</w:t>
            </w:r>
            <w:r>
              <w:rPr>
                <w:rFonts w:hint="default" w:ascii="Arial" w:hAnsi="Times New Roman" w:eastAsia="宋体" w:cs="Arial"/>
                <w:sz w:val="21"/>
                <w:szCs w:val="24"/>
                <w:lang w:val="en-US" w:eastAsia="zh-CN" w:bidi="ar"/>
              </w:rPr>
              <w:t>C</w:t>
            </w:r>
            <w:r>
              <w:rPr>
                <w:rFonts w:hint="eastAsia" w:ascii="Times New Roman" w:hAnsi="Times New Roman"/>
                <w:kern w:val="0"/>
                <w:lang w:val="en-US" w:eastAsia="zh-CN"/>
              </w:rPr>
              <w:t>(mOsm/kg water)</w:t>
            </w:r>
          </w:p>
        </w:tc>
        <w:tc>
          <w:tcPr>
            <w:tcW w:w="2025" w:type="dxa"/>
            <w:tcBorders>
              <w:top w:val="nil"/>
              <w:bottom w:val="single" w:color="auto" w:sz="12" w:space="0"/>
            </w:tcBorders>
            <w:shd w:val="clear" w:color="auto" w:fill="E2EFDA"/>
          </w:tcPr>
          <w:p w14:paraId="660C24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290</w:t>
            </w:r>
          </w:p>
        </w:tc>
        <w:tc>
          <w:tcPr>
            <w:tcW w:w="2837" w:type="dxa"/>
            <w:tcBorders>
              <w:top w:val="nil"/>
              <w:bottom w:val="single" w:color="auto" w:sz="12" w:space="0"/>
            </w:tcBorders>
            <w:shd w:val="clear" w:color="auto" w:fill="E2EFDA"/>
          </w:tcPr>
          <w:p w14:paraId="6521F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/>
                <w:color w:val="000000"/>
                <w:kern w:val="0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lang w:val="en-US" w:eastAsia="zh-CN"/>
              </w:rPr>
              <w:t>710</w:t>
            </w:r>
          </w:p>
        </w:tc>
      </w:tr>
    </w:tbl>
    <w:p w14:paraId="277D18F6">
      <w:pPr>
        <w:spacing w:line="24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wYzljMzg2NmQ5ZTlhMDZlZGIyY2FhNjA2ODNhMmEifQ=="/>
  </w:docVars>
  <w:rsids>
    <w:rsidRoot w:val="00000000"/>
    <w:rsid w:val="004B1258"/>
    <w:rsid w:val="02F549FD"/>
    <w:rsid w:val="09F71D0B"/>
    <w:rsid w:val="0BBA2E59"/>
    <w:rsid w:val="0C84012D"/>
    <w:rsid w:val="10BE5810"/>
    <w:rsid w:val="1C295FB5"/>
    <w:rsid w:val="1FC9639B"/>
    <w:rsid w:val="20526137"/>
    <w:rsid w:val="2A1110E1"/>
    <w:rsid w:val="310109C5"/>
    <w:rsid w:val="34A41FF8"/>
    <w:rsid w:val="37F2557D"/>
    <w:rsid w:val="390A42EA"/>
    <w:rsid w:val="3BE21B18"/>
    <w:rsid w:val="3D211A13"/>
    <w:rsid w:val="46925866"/>
    <w:rsid w:val="48EB242F"/>
    <w:rsid w:val="4B2F68C4"/>
    <w:rsid w:val="51DA6E68"/>
    <w:rsid w:val="5AD33626"/>
    <w:rsid w:val="5E634F71"/>
    <w:rsid w:val="6AD12457"/>
    <w:rsid w:val="70E602C5"/>
    <w:rsid w:val="726709CE"/>
    <w:rsid w:val="798D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  <w:lang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autoRedefine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358</Words>
  <Characters>2357</Characters>
  <Lines>0</Lines>
  <Paragraphs>0</Paragraphs>
  <TotalTime>0</TotalTime>
  <ScaleCrop>false</ScaleCrop>
  <LinksUpToDate>false</LinksUpToDate>
  <CharactersWithSpaces>2632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2023-10-02T08:58:00Z</dcterms:created>
  <dc:creator>45002</dc:creator>
  <cp:lastModifiedBy>闭塞已久</cp:lastModifiedBy>
  <dcterms:modified xsi:type="dcterms:W3CDTF">2025-07-10T13:42:32Z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ED90CC23EDCA428CA8071D728C5774E7_12</vt:lpwstr>
  </property>
  <property fmtid="{D5CDD505-2E9C-101B-9397-08002B2CF9AE}" pid="4" name="KSOTemplateDocerSaveRecord">
    <vt:lpwstr>eyJoZGlkIjoiZTYwYzljMzg2NmQ5ZTlhMDZlZGIyY2FhNjA2ODNhMmEiLCJ1c2VySWQiOiIzMjc1MjExNTMifQ==</vt:lpwstr>
  </property>
</Properties>
</file>