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9B83" w14:textId="77777777" w:rsidR="001B6F31" w:rsidRDefault="001B6F31" w:rsidP="001B6F31">
      <w:pPr>
        <w:spacing w:after="0" w:line="360" w:lineRule="auto"/>
        <w:ind w:firstLine="708"/>
        <w:jc w:val="both"/>
        <w:rPr>
          <w:rFonts w:ascii="Times New Roman" w:hAnsi="Times New Roman" w:cs="Times New Roman"/>
          <w:strike/>
          <w:lang w:val="en-US"/>
        </w:rPr>
      </w:pPr>
      <w:r>
        <w:rPr>
          <w:noProof/>
        </w:rPr>
        <w:drawing>
          <wp:inline distT="0" distB="0" distL="0" distR="0" wp14:anchorId="4753D088" wp14:editId="7573C938">
            <wp:extent cx="4544291" cy="2721158"/>
            <wp:effectExtent l="0" t="0" r="8890" b="3175"/>
            <wp:docPr id="160647029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30187BE8-879D-BBE5-28A9-F0A9906E6C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D32A496" w14:textId="2BCA3177" w:rsidR="001B6F31" w:rsidRPr="007876AB" w:rsidRDefault="001B6F31" w:rsidP="001B6F3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lang w:val="en-US"/>
        </w:rPr>
      </w:pPr>
      <w:r w:rsidRPr="009B72D5">
        <w:rPr>
          <w:rFonts w:ascii="Times New Roman" w:hAnsi="Times New Roman" w:cs="Times New Roman"/>
          <w:b/>
          <w:bCs/>
          <w:sz w:val="18"/>
          <w:szCs w:val="18"/>
          <w:lang w:val="en-US"/>
        </w:rPr>
        <w:t>Fig</w:t>
      </w:r>
      <w:r w:rsidR="00376EFB" w:rsidRPr="009B72D5">
        <w:rPr>
          <w:rFonts w:ascii="Times New Roman" w:hAnsi="Times New Roman" w:cs="Times New Roman"/>
          <w:b/>
          <w:bCs/>
          <w:sz w:val="18"/>
          <w:szCs w:val="18"/>
          <w:lang w:val="en-US"/>
        </w:rPr>
        <w:t>ure</w:t>
      </w:r>
      <w:r w:rsidRPr="009B72D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="009B72D5" w:rsidRPr="009B72D5">
        <w:rPr>
          <w:rFonts w:ascii="Times New Roman" w:hAnsi="Times New Roman" w:cs="Times New Roman"/>
          <w:b/>
          <w:bCs/>
          <w:sz w:val="18"/>
          <w:szCs w:val="18"/>
          <w:lang w:val="en-US"/>
        </w:rPr>
        <w:t>S</w:t>
      </w:r>
      <w:r w:rsidRPr="009B72D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1. Comparison of heart rate and blood pressure in the NW and NWO groups. </w:t>
      </w:r>
    </w:p>
    <w:p w14:paraId="1AE110F2" w14:textId="36B73D45" w:rsidR="001B6F31" w:rsidRPr="007876AB" w:rsidRDefault="001B6F31" w:rsidP="001B6F31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  <w:highlight w:val="white"/>
          <w:lang w:val="en-US"/>
        </w:rPr>
      </w:pPr>
      <w:r w:rsidRPr="007876AB"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  <w:highlight w:val="white"/>
          <w:lang w:val="en-US"/>
        </w:rPr>
        <w:t xml:space="preserve">Legend: </w:t>
      </w:r>
      <w:r w:rsidRPr="007876AB">
        <w:rPr>
          <w:rFonts w:ascii="Times New Roman" w:hAnsi="Times New Roman" w:cs="Times New Roman"/>
          <w:color w:val="000000"/>
          <w:kern w:val="1"/>
          <w:sz w:val="18"/>
          <w:szCs w:val="18"/>
          <w:highlight w:val="white"/>
          <w:lang w:val="en-US"/>
        </w:rPr>
        <w:t xml:space="preserve">The values are expressed as median (Q25-Q75). </w:t>
      </w:r>
      <w:r w:rsidRPr="007876AB">
        <w:rPr>
          <w:rFonts w:ascii="Times New Roman" w:hAnsi="Times New Roman" w:cs="Times New Roman"/>
          <w:sz w:val="18"/>
          <w:szCs w:val="18"/>
          <w:shd w:val="clear" w:color="auto" w:fill="FFFFFF"/>
          <w:lang w:val="en-GB"/>
        </w:rPr>
        <w:t>HR – heart rate; SBP – systolic blood pressure; DBP - diastolic blood pressure; NW – normal weight; NW</w:t>
      </w:r>
      <w:r w:rsidR="005A2003">
        <w:rPr>
          <w:rFonts w:ascii="Times New Roman" w:hAnsi="Times New Roman" w:cs="Times New Roman"/>
          <w:sz w:val="18"/>
          <w:szCs w:val="18"/>
          <w:shd w:val="clear" w:color="auto" w:fill="FFFFFF"/>
          <w:lang w:val="en-GB"/>
        </w:rPr>
        <w:t>O</w:t>
      </w:r>
      <w:r w:rsidRPr="007876AB">
        <w:rPr>
          <w:rFonts w:ascii="Times New Roman" w:hAnsi="Times New Roman" w:cs="Times New Roman"/>
          <w:sz w:val="18"/>
          <w:szCs w:val="18"/>
          <w:shd w:val="clear" w:color="auto" w:fill="FFFFFF"/>
          <w:lang w:val="en-GB"/>
        </w:rPr>
        <w:t xml:space="preserve"> – normal weight obesity.</w:t>
      </w:r>
    </w:p>
    <w:p w14:paraId="31521CE4" w14:textId="77777777" w:rsidR="00973977" w:rsidRPr="00094771" w:rsidRDefault="00973977">
      <w:pPr>
        <w:rPr>
          <w:lang w:val="en-US"/>
        </w:rPr>
      </w:pPr>
    </w:p>
    <w:p w14:paraId="3410C22B" w14:textId="77777777" w:rsidR="001B6F31" w:rsidRPr="00707B7F" w:rsidRDefault="001B6F31" w:rsidP="001B6F31">
      <w:pPr>
        <w:spacing w:line="360" w:lineRule="auto"/>
        <w:ind w:firstLine="708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50E636F2" wp14:editId="2AD6CF3C">
            <wp:extent cx="4544293" cy="2719581"/>
            <wp:effectExtent l="0" t="0" r="8890" b="5080"/>
            <wp:docPr id="4146077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AE71EA36-21C7-63E9-5552-F2B01342A3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1F5A864" w14:textId="04FAFD0B" w:rsidR="001B6F31" w:rsidRPr="00015510" w:rsidRDefault="00376EFB" w:rsidP="001B6F31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lang w:val="en-US"/>
        </w:rPr>
      </w:pPr>
      <w:r w:rsidRPr="009B72D5">
        <w:rPr>
          <w:rFonts w:ascii="Times New Roman" w:hAnsi="Times New Roman" w:cs="Times New Roman"/>
          <w:b/>
          <w:bCs/>
          <w:sz w:val="18"/>
          <w:szCs w:val="18"/>
          <w:lang w:val="en-US"/>
        </w:rPr>
        <w:t>Figure</w:t>
      </w:r>
      <w:r w:rsidR="001B6F31" w:rsidRPr="009B72D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="009B72D5" w:rsidRPr="009B72D5">
        <w:rPr>
          <w:rFonts w:ascii="Times New Roman" w:hAnsi="Times New Roman" w:cs="Times New Roman"/>
          <w:b/>
          <w:bCs/>
          <w:sz w:val="18"/>
          <w:szCs w:val="18"/>
          <w:lang w:val="en-US"/>
        </w:rPr>
        <w:t>S</w:t>
      </w:r>
      <w:r w:rsidR="001B6F31" w:rsidRPr="009B72D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2. Comparison of insulin resistance markers in the NW and NWO groups. </w:t>
      </w:r>
    </w:p>
    <w:p w14:paraId="4849C3B8" w14:textId="07FE42CB" w:rsidR="001B6F31" w:rsidRPr="00015510" w:rsidRDefault="001B6F31" w:rsidP="001B6F31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  <w:highlight w:val="white"/>
          <w:lang w:val="en-US"/>
        </w:rPr>
      </w:pPr>
      <w:r w:rsidRPr="00015510"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  <w:highlight w:val="white"/>
          <w:lang w:val="en-US"/>
        </w:rPr>
        <w:t xml:space="preserve">Legend: </w:t>
      </w:r>
      <w:r w:rsidRPr="00015510">
        <w:rPr>
          <w:rFonts w:ascii="Times New Roman" w:hAnsi="Times New Roman" w:cs="Times New Roman"/>
          <w:color w:val="000000"/>
          <w:kern w:val="1"/>
          <w:sz w:val="18"/>
          <w:szCs w:val="18"/>
          <w:highlight w:val="white"/>
          <w:lang w:val="en-US"/>
        </w:rPr>
        <w:t xml:space="preserve">The values are expressed as median (Q25-Q75). </w:t>
      </w:r>
      <w:r w:rsidRPr="00015510">
        <w:rPr>
          <w:rFonts w:ascii="Times New Roman" w:hAnsi="Times New Roman" w:cs="Times New Roman"/>
          <w:sz w:val="18"/>
          <w:szCs w:val="18"/>
          <w:shd w:val="clear" w:color="auto" w:fill="FFFFFF"/>
          <w:lang w:val="en-GB"/>
        </w:rPr>
        <w:t xml:space="preserve">HOMA-IR - </w:t>
      </w:r>
      <w:r w:rsidRPr="00015510">
        <w:rPr>
          <w:rFonts w:ascii="Times New Roman" w:hAnsi="Times New Roman" w:cs="Times New Roman"/>
          <w:sz w:val="18"/>
          <w:szCs w:val="18"/>
          <w:lang w:val="en-GB"/>
        </w:rPr>
        <w:t>homeostatic model assessment of insulin resistance</w:t>
      </w:r>
      <w:r w:rsidRPr="00015510">
        <w:rPr>
          <w:rFonts w:ascii="Times New Roman" w:hAnsi="Times New Roman" w:cs="Times New Roman"/>
          <w:sz w:val="18"/>
          <w:szCs w:val="18"/>
          <w:shd w:val="clear" w:color="auto" w:fill="FFFFFF"/>
          <w:lang w:val="en-GB"/>
        </w:rPr>
        <w:t xml:space="preserve">; NW – normal weight; </w:t>
      </w:r>
      <w:r w:rsidR="005A2003" w:rsidRPr="007876AB">
        <w:rPr>
          <w:rFonts w:ascii="Times New Roman" w:hAnsi="Times New Roman" w:cs="Times New Roman"/>
          <w:sz w:val="18"/>
          <w:szCs w:val="18"/>
          <w:shd w:val="clear" w:color="auto" w:fill="FFFFFF"/>
          <w:lang w:val="en-GB"/>
        </w:rPr>
        <w:t>NW</w:t>
      </w:r>
      <w:r w:rsidR="005A2003">
        <w:rPr>
          <w:rFonts w:ascii="Times New Roman" w:hAnsi="Times New Roman" w:cs="Times New Roman"/>
          <w:sz w:val="18"/>
          <w:szCs w:val="18"/>
          <w:shd w:val="clear" w:color="auto" w:fill="FFFFFF"/>
          <w:lang w:val="en-GB"/>
        </w:rPr>
        <w:t>O</w:t>
      </w:r>
      <w:r w:rsidR="005A2003" w:rsidRPr="007876AB">
        <w:rPr>
          <w:rFonts w:ascii="Times New Roman" w:hAnsi="Times New Roman" w:cs="Times New Roman"/>
          <w:sz w:val="18"/>
          <w:szCs w:val="18"/>
          <w:shd w:val="clear" w:color="auto" w:fill="FFFFFF"/>
          <w:lang w:val="en-GB"/>
        </w:rPr>
        <w:t xml:space="preserve"> </w:t>
      </w:r>
      <w:r w:rsidRPr="00015510">
        <w:rPr>
          <w:rFonts w:ascii="Times New Roman" w:hAnsi="Times New Roman" w:cs="Times New Roman"/>
          <w:sz w:val="18"/>
          <w:szCs w:val="18"/>
          <w:shd w:val="clear" w:color="auto" w:fill="FFFFFF"/>
          <w:lang w:val="en-GB"/>
        </w:rPr>
        <w:t>– normal weight obesity.</w:t>
      </w:r>
    </w:p>
    <w:p w14:paraId="6B6C47F0" w14:textId="77777777" w:rsidR="001B6F31" w:rsidRPr="00094771" w:rsidRDefault="001B6F31">
      <w:pPr>
        <w:rPr>
          <w:lang w:val="en-US"/>
        </w:rPr>
      </w:pPr>
    </w:p>
    <w:p w14:paraId="565294D0" w14:textId="77777777" w:rsidR="001B6F31" w:rsidRPr="00CE63FC" w:rsidRDefault="001B6F31" w:rsidP="001B6F31">
      <w:pPr>
        <w:spacing w:after="0" w:line="360" w:lineRule="auto"/>
        <w:ind w:firstLine="708"/>
        <w:jc w:val="both"/>
        <w:rPr>
          <w:rFonts w:ascii="Times New Roman" w:hAnsi="Times New Roman" w:cs="Times New Roman"/>
          <w:strike/>
          <w:lang w:val="en-US"/>
        </w:rPr>
      </w:pPr>
      <w:r>
        <w:rPr>
          <w:noProof/>
        </w:rPr>
        <w:lastRenderedPageBreak/>
        <w:drawing>
          <wp:inline distT="0" distB="0" distL="0" distR="0" wp14:anchorId="614C9A4B" wp14:editId="52C82B8D">
            <wp:extent cx="5162550" cy="2886075"/>
            <wp:effectExtent l="0" t="0" r="0" b="0"/>
            <wp:docPr id="1410458518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68236874-C94C-3C8F-6BC4-F0FAE68906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923D29E" w14:textId="38C8A8A8" w:rsidR="001B6F31" w:rsidRPr="00C2139A" w:rsidRDefault="00376EFB" w:rsidP="001B6F31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lang w:val="en-US"/>
        </w:rPr>
      </w:pPr>
      <w:r w:rsidRPr="009B72D5">
        <w:rPr>
          <w:rFonts w:ascii="Times New Roman" w:hAnsi="Times New Roman" w:cs="Times New Roman"/>
          <w:b/>
          <w:bCs/>
          <w:sz w:val="18"/>
          <w:szCs w:val="18"/>
          <w:lang w:val="en-US"/>
        </w:rPr>
        <w:t>Figure</w:t>
      </w:r>
      <w:r w:rsidR="001B6F31" w:rsidRPr="009B72D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="009B72D5" w:rsidRPr="009B72D5">
        <w:rPr>
          <w:rFonts w:ascii="Times New Roman" w:hAnsi="Times New Roman" w:cs="Times New Roman"/>
          <w:b/>
          <w:bCs/>
          <w:sz w:val="18"/>
          <w:szCs w:val="18"/>
          <w:lang w:val="en-US"/>
        </w:rPr>
        <w:t>S</w:t>
      </w:r>
      <w:r w:rsidR="001B6F31" w:rsidRPr="009B72D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3. Comparison of lipid profile in the NW and NWO groups. </w:t>
      </w:r>
    </w:p>
    <w:p w14:paraId="2E53D62F" w14:textId="43B5D4FF" w:rsidR="001B6F31" w:rsidRDefault="001B6F31" w:rsidP="001B6F31">
      <w:pPr>
        <w:spacing w:after="0" w:line="360" w:lineRule="auto"/>
        <w:ind w:left="708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300B48"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  <w:highlight w:val="white"/>
          <w:lang w:val="en-US"/>
        </w:rPr>
        <w:t xml:space="preserve">Legend: </w:t>
      </w:r>
      <w:r w:rsidRPr="00300B48">
        <w:rPr>
          <w:rFonts w:ascii="Times New Roman" w:hAnsi="Times New Roman" w:cs="Times New Roman"/>
          <w:color w:val="000000"/>
          <w:kern w:val="1"/>
          <w:sz w:val="18"/>
          <w:szCs w:val="18"/>
          <w:highlight w:val="white"/>
          <w:lang w:val="en-US"/>
        </w:rPr>
        <w:t xml:space="preserve">The values are expressed as median (Q25-Q75). </w:t>
      </w:r>
      <w:r w:rsidRPr="00300B48">
        <w:rPr>
          <w:rFonts w:ascii="Times New Roman" w:hAnsi="Times New Roman" w:cs="Times New Roman"/>
          <w:sz w:val="18"/>
          <w:szCs w:val="18"/>
          <w:lang w:val="en-GB"/>
        </w:rPr>
        <w:t>TC- total cholesterol; HDL-C - high density lipoprotein cholesterol; LDL-C - low density lipoprotein cholesterol; non-HDL- C (</w:t>
      </w:r>
      <w:r w:rsidRPr="00300B48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  <w:lang w:val="en-GB"/>
        </w:rPr>
        <w:t xml:space="preserve">HDL-C subtracted by TC); </w:t>
      </w:r>
      <w:r w:rsidRPr="00300B48">
        <w:rPr>
          <w:rFonts w:ascii="Times New Roman" w:hAnsi="Times New Roman" w:cs="Times New Roman"/>
          <w:sz w:val="18"/>
          <w:szCs w:val="18"/>
          <w:lang w:val="en-GB"/>
        </w:rPr>
        <w:t>TG – triglycerides</w:t>
      </w:r>
      <w:r w:rsidR="0090595B">
        <w:rPr>
          <w:rFonts w:ascii="Times New Roman" w:hAnsi="Times New Roman" w:cs="Times New Roman"/>
          <w:sz w:val="18"/>
          <w:szCs w:val="18"/>
          <w:lang w:val="en-GB"/>
        </w:rPr>
        <w:t xml:space="preserve">; </w:t>
      </w:r>
      <w:r w:rsidR="0090595B" w:rsidRPr="00015510">
        <w:rPr>
          <w:rFonts w:ascii="Times New Roman" w:hAnsi="Times New Roman" w:cs="Times New Roman"/>
          <w:sz w:val="18"/>
          <w:szCs w:val="18"/>
          <w:shd w:val="clear" w:color="auto" w:fill="FFFFFF"/>
          <w:lang w:val="en-GB"/>
        </w:rPr>
        <w:t xml:space="preserve">NW – normal weight; </w:t>
      </w:r>
      <w:r w:rsidR="0090595B" w:rsidRPr="007876AB">
        <w:rPr>
          <w:rFonts w:ascii="Times New Roman" w:hAnsi="Times New Roman" w:cs="Times New Roman"/>
          <w:sz w:val="18"/>
          <w:szCs w:val="18"/>
          <w:shd w:val="clear" w:color="auto" w:fill="FFFFFF"/>
          <w:lang w:val="en-GB"/>
        </w:rPr>
        <w:t>NW</w:t>
      </w:r>
      <w:r w:rsidR="0090595B">
        <w:rPr>
          <w:rFonts w:ascii="Times New Roman" w:hAnsi="Times New Roman" w:cs="Times New Roman"/>
          <w:sz w:val="18"/>
          <w:szCs w:val="18"/>
          <w:shd w:val="clear" w:color="auto" w:fill="FFFFFF"/>
          <w:lang w:val="en-GB"/>
        </w:rPr>
        <w:t>O</w:t>
      </w:r>
      <w:r w:rsidR="0090595B" w:rsidRPr="007876AB">
        <w:rPr>
          <w:rFonts w:ascii="Times New Roman" w:hAnsi="Times New Roman" w:cs="Times New Roman"/>
          <w:sz w:val="18"/>
          <w:szCs w:val="18"/>
          <w:shd w:val="clear" w:color="auto" w:fill="FFFFFF"/>
          <w:lang w:val="en-GB"/>
        </w:rPr>
        <w:t xml:space="preserve"> </w:t>
      </w:r>
      <w:r w:rsidR="0090595B" w:rsidRPr="00015510">
        <w:rPr>
          <w:rFonts w:ascii="Times New Roman" w:hAnsi="Times New Roman" w:cs="Times New Roman"/>
          <w:sz w:val="18"/>
          <w:szCs w:val="18"/>
          <w:shd w:val="clear" w:color="auto" w:fill="FFFFFF"/>
          <w:lang w:val="en-GB"/>
        </w:rPr>
        <w:t>– normal weight obesity.</w:t>
      </w:r>
    </w:p>
    <w:p w14:paraId="14C03177" w14:textId="77777777" w:rsidR="001B6F31" w:rsidRPr="00300B48" w:rsidRDefault="001B6F31" w:rsidP="001B6F31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sz w:val="18"/>
          <w:szCs w:val="18"/>
          <w:lang w:val="en-GB"/>
        </w:rPr>
      </w:pPr>
    </w:p>
    <w:p w14:paraId="0DD03FED" w14:textId="77777777" w:rsidR="001B6F31" w:rsidRDefault="001B6F31" w:rsidP="001B6F31">
      <w:pPr>
        <w:rPr>
          <w:lang w:val="en-US"/>
        </w:rPr>
      </w:pPr>
      <w:r>
        <w:rPr>
          <w:noProof/>
        </w:rPr>
        <w:drawing>
          <wp:inline distT="0" distB="0" distL="0" distR="0" wp14:anchorId="0294D55C" wp14:editId="22C9DFC6">
            <wp:extent cx="5048250" cy="2743200"/>
            <wp:effectExtent l="0" t="0" r="0" b="0"/>
            <wp:docPr id="1947900478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71EA1E-4EC4-13D7-9596-94A0F3386D5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9311D46" w14:textId="66D5F298" w:rsidR="001B6F31" w:rsidRPr="009B72D5" w:rsidRDefault="001B6F31" w:rsidP="001B6F31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9B72D5">
        <w:rPr>
          <w:sz w:val="18"/>
          <w:szCs w:val="18"/>
          <w:lang w:val="en-US"/>
        </w:rPr>
        <w:tab/>
      </w:r>
      <w:r w:rsidR="00376EFB" w:rsidRPr="009B72D5">
        <w:rPr>
          <w:rFonts w:ascii="Times New Roman" w:hAnsi="Times New Roman" w:cs="Times New Roman"/>
          <w:b/>
          <w:bCs/>
          <w:sz w:val="18"/>
          <w:szCs w:val="18"/>
          <w:lang w:val="en-US"/>
        </w:rPr>
        <w:t>Figure</w:t>
      </w:r>
      <w:r w:rsidRPr="009B72D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="009B72D5" w:rsidRPr="009B72D5">
        <w:rPr>
          <w:rFonts w:ascii="Times New Roman" w:hAnsi="Times New Roman" w:cs="Times New Roman"/>
          <w:b/>
          <w:bCs/>
          <w:sz w:val="18"/>
          <w:szCs w:val="18"/>
          <w:lang w:val="en-US"/>
        </w:rPr>
        <w:t>S</w:t>
      </w:r>
      <w:r w:rsidRPr="009B72D5">
        <w:rPr>
          <w:rFonts w:ascii="Times New Roman" w:hAnsi="Times New Roman" w:cs="Times New Roman"/>
          <w:b/>
          <w:bCs/>
          <w:sz w:val="18"/>
          <w:szCs w:val="18"/>
          <w:lang w:val="en-US"/>
        </w:rPr>
        <w:t>4. Comparison of calculated metabolic parameters in the NW and NWO groups</w:t>
      </w:r>
    </w:p>
    <w:p w14:paraId="3C3CC66B" w14:textId="5811EBDA" w:rsidR="00094771" w:rsidRDefault="001B6F31" w:rsidP="001B6F31">
      <w:pPr>
        <w:ind w:left="708"/>
        <w:jc w:val="both"/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  <w:highlight w:val="white"/>
          <w:lang w:val="en-GB"/>
        </w:rPr>
      </w:pPr>
      <w:r w:rsidRPr="001E51D7"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  <w:highlight w:val="white"/>
          <w:lang w:val="en-US"/>
        </w:rPr>
        <w:t xml:space="preserve">Legend: </w:t>
      </w:r>
      <w:r w:rsidRPr="001E51D7">
        <w:rPr>
          <w:rFonts w:ascii="Times New Roman" w:hAnsi="Times New Roman" w:cs="Times New Roman"/>
          <w:color w:val="000000"/>
          <w:kern w:val="1"/>
          <w:sz w:val="18"/>
          <w:szCs w:val="18"/>
          <w:highlight w:val="white"/>
          <w:lang w:val="en-US"/>
        </w:rPr>
        <w:t xml:space="preserve">The values are expressed as median (Q25-Q75). </w:t>
      </w:r>
      <w:r w:rsidRPr="001E51D7">
        <w:rPr>
          <w:rFonts w:ascii="Times New Roman" w:hAnsi="Times New Roman" w:cs="Times New Roman"/>
          <w:color w:val="000000"/>
          <w:kern w:val="1"/>
          <w:sz w:val="18"/>
          <w:szCs w:val="18"/>
          <w:lang w:val="en-US"/>
        </w:rPr>
        <w:tab/>
      </w:r>
      <w:r w:rsidRPr="001E51D7">
        <w:rPr>
          <w:rFonts w:ascii="Times New Roman" w:hAnsi="Times New Roman" w:cs="Times New Roman"/>
          <w:sz w:val="18"/>
          <w:szCs w:val="18"/>
          <w:lang w:val="en-GB"/>
        </w:rPr>
        <w:t>TG/HDL-C (</w:t>
      </w:r>
      <w:r w:rsidRPr="001E51D7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  <w:lang w:val="en-GB"/>
        </w:rPr>
        <w:t xml:space="preserve">serum levels of TG divided by HDL-C); TG/G - </w:t>
      </w:r>
      <w:r w:rsidRPr="001E51D7">
        <w:rPr>
          <w:rFonts w:ascii="Times New Roman" w:hAnsi="Times New Roman" w:cs="Times New Roman"/>
          <w:color w:val="000000"/>
          <w:kern w:val="1"/>
          <w:sz w:val="18"/>
          <w:szCs w:val="18"/>
          <w:highlight w:val="white"/>
          <w:lang w:val="en-GB"/>
        </w:rPr>
        <w:t>triglycerides– glucose index;</w:t>
      </w:r>
      <w:r w:rsidRPr="001E51D7">
        <w:rPr>
          <w:rFonts w:ascii="Times New Roman" w:hAnsi="Times New Roman" w:cs="Times New Roman"/>
          <w:color w:val="000000"/>
          <w:kern w:val="1"/>
          <w:sz w:val="18"/>
          <w:szCs w:val="18"/>
          <w:lang w:val="en-GB"/>
        </w:rPr>
        <w:t xml:space="preserve"> </w:t>
      </w:r>
      <w:r w:rsidRPr="001E51D7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  <w:lang w:val="en-GB"/>
        </w:rPr>
        <w:t>VAI – visceral adiposity index</w:t>
      </w:r>
      <w:r w:rsidRPr="001E51D7">
        <w:rPr>
          <w:rFonts w:ascii="Times New Roman" w:hAnsi="Times New Roman" w:cs="Times New Roman"/>
          <w:color w:val="000000"/>
          <w:kern w:val="1"/>
          <w:sz w:val="18"/>
          <w:szCs w:val="18"/>
          <w:highlight w:val="white"/>
          <w:lang w:val="en-GB"/>
        </w:rPr>
        <w:t>; LAP - lipid accumulation product; CMI - cardiometabolic index</w:t>
      </w:r>
      <w:r w:rsidR="0090595B">
        <w:rPr>
          <w:rFonts w:ascii="Times New Roman" w:hAnsi="Times New Roman" w:cs="Times New Roman"/>
          <w:color w:val="000000"/>
          <w:kern w:val="1"/>
          <w:sz w:val="18"/>
          <w:szCs w:val="18"/>
          <w:highlight w:val="white"/>
          <w:lang w:val="en-GB"/>
        </w:rPr>
        <w:t xml:space="preserve">; </w:t>
      </w:r>
      <w:r w:rsidR="0090595B" w:rsidRPr="00015510">
        <w:rPr>
          <w:rFonts w:ascii="Times New Roman" w:hAnsi="Times New Roman" w:cs="Times New Roman"/>
          <w:sz w:val="18"/>
          <w:szCs w:val="18"/>
          <w:shd w:val="clear" w:color="auto" w:fill="FFFFFF"/>
          <w:lang w:val="en-GB"/>
        </w:rPr>
        <w:t xml:space="preserve">NW – normal weight; </w:t>
      </w:r>
      <w:r w:rsidR="0090595B" w:rsidRPr="007876AB">
        <w:rPr>
          <w:rFonts w:ascii="Times New Roman" w:hAnsi="Times New Roman" w:cs="Times New Roman"/>
          <w:sz w:val="18"/>
          <w:szCs w:val="18"/>
          <w:shd w:val="clear" w:color="auto" w:fill="FFFFFF"/>
          <w:lang w:val="en-GB"/>
        </w:rPr>
        <w:t>NW</w:t>
      </w:r>
      <w:r w:rsidR="0090595B">
        <w:rPr>
          <w:rFonts w:ascii="Times New Roman" w:hAnsi="Times New Roman" w:cs="Times New Roman"/>
          <w:sz w:val="18"/>
          <w:szCs w:val="18"/>
          <w:shd w:val="clear" w:color="auto" w:fill="FFFFFF"/>
          <w:lang w:val="en-GB"/>
        </w:rPr>
        <w:t>O</w:t>
      </w:r>
      <w:r w:rsidR="0090595B" w:rsidRPr="007876AB">
        <w:rPr>
          <w:rFonts w:ascii="Times New Roman" w:hAnsi="Times New Roman" w:cs="Times New Roman"/>
          <w:sz w:val="18"/>
          <w:szCs w:val="18"/>
          <w:shd w:val="clear" w:color="auto" w:fill="FFFFFF"/>
          <w:lang w:val="en-GB"/>
        </w:rPr>
        <w:t xml:space="preserve"> </w:t>
      </w:r>
      <w:r w:rsidR="0090595B" w:rsidRPr="00015510">
        <w:rPr>
          <w:rFonts w:ascii="Times New Roman" w:hAnsi="Times New Roman" w:cs="Times New Roman"/>
          <w:sz w:val="18"/>
          <w:szCs w:val="18"/>
          <w:shd w:val="clear" w:color="auto" w:fill="FFFFFF"/>
          <w:lang w:val="en-GB"/>
        </w:rPr>
        <w:t>– normal weight obesity.</w:t>
      </w:r>
      <w:r w:rsidRPr="001E51D7"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  <w:highlight w:val="white"/>
          <w:lang w:val="en-GB"/>
        </w:rPr>
        <w:t xml:space="preserve"> </w:t>
      </w:r>
    </w:p>
    <w:p w14:paraId="4291E4EF" w14:textId="77777777" w:rsidR="00094771" w:rsidRDefault="00094771">
      <w:pPr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  <w:highlight w:val="white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  <w:highlight w:val="white"/>
          <w:lang w:val="en-GB"/>
        </w:rPr>
        <w:br w:type="page"/>
      </w:r>
    </w:p>
    <w:p w14:paraId="6C88D2F5" w14:textId="3106A432" w:rsidR="001B6F31" w:rsidRPr="00094771" w:rsidRDefault="00094771" w:rsidP="001B6F31">
      <w:pPr>
        <w:ind w:left="708"/>
        <w:jc w:val="both"/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  <w:highlight w:val="white"/>
          <w:lang w:val="en-US"/>
        </w:rPr>
      </w:pPr>
      <w:r w:rsidRPr="00094771"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  <w:highlight w:val="white"/>
          <w:lang w:val="en-GB"/>
        </w:rPr>
        <w:lastRenderedPageBreak/>
        <w:t xml:space="preserve">Table </w:t>
      </w:r>
      <w:r w:rsidR="009B72D5"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  <w:highlight w:val="white"/>
          <w:lang w:val="en-GB"/>
        </w:rPr>
        <w:t>S</w:t>
      </w:r>
      <w:r w:rsidRPr="00094771"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  <w:highlight w:val="white"/>
          <w:lang w:val="en-GB"/>
        </w:rPr>
        <w:t>1.</w:t>
      </w:r>
      <w:r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  <w:highlight w:val="white"/>
          <w:lang w:val="en-GB"/>
        </w:rPr>
        <w:t xml:space="preserve"> </w:t>
      </w:r>
      <w:r w:rsidRPr="00094771"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  <w:lang w:val="en-GB"/>
        </w:rPr>
        <w:t>Comparisons of hemodynamic, metabolic and lipid parameters between NW and NWO groups</w:t>
      </w:r>
    </w:p>
    <w:tbl>
      <w:tblPr>
        <w:tblStyle w:val="Tabela-Siatka"/>
        <w:tblW w:w="11422" w:type="dxa"/>
        <w:tblInd w:w="-1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2"/>
        <w:gridCol w:w="1013"/>
        <w:gridCol w:w="1686"/>
        <w:gridCol w:w="913"/>
        <w:gridCol w:w="1676"/>
        <w:gridCol w:w="864"/>
        <w:gridCol w:w="1676"/>
        <w:gridCol w:w="948"/>
        <w:gridCol w:w="1084"/>
      </w:tblGrid>
      <w:tr w:rsidR="00094771" w:rsidRPr="00636CF2" w14:paraId="1DB7D59A" w14:textId="77777777" w:rsidTr="00636CF2">
        <w:trPr>
          <w:trHeight w:val="506"/>
        </w:trPr>
        <w:tc>
          <w:tcPr>
            <w:tcW w:w="1562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0E0F742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7A4317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36C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pl-PL"/>
              </w:rPr>
              <w:t>All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6CB853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36C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pl-PL"/>
              </w:rPr>
              <w:t>NW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E82DD5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36C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pl-PL"/>
              </w:rPr>
              <w:t>NWO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1330A83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P-value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E271E07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Corrected P-value</w:t>
            </w:r>
          </w:p>
        </w:tc>
      </w:tr>
      <w:tr w:rsidR="00094771" w:rsidRPr="00636CF2" w14:paraId="4BD0105C" w14:textId="77777777" w:rsidTr="00636CF2">
        <w:trPr>
          <w:trHeight w:val="506"/>
        </w:trPr>
        <w:tc>
          <w:tcPr>
            <w:tcW w:w="1562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8A2D5E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FFB405F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36CF2">
              <w:rPr>
                <w:rFonts w:ascii="Times New Roman" w:hAnsi="Times New Roman" w:cs="Times New Roman"/>
                <w:b/>
                <w:bCs/>
              </w:rPr>
              <w:t>median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E15275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Q</w:t>
            </w:r>
            <w:r w:rsidRPr="00636CF2">
              <w:rPr>
                <w:rFonts w:ascii="Times New Roman" w:hAnsi="Times New Roman" w:cs="Times New Roman"/>
                <w:vertAlign w:val="subscript"/>
              </w:rPr>
              <w:t>25</w:t>
            </w:r>
            <w:r w:rsidRPr="00636CF2">
              <w:rPr>
                <w:rFonts w:ascii="Times New Roman" w:hAnsi="Times New Roman" w:cs="Times New Roman"/>
              </w:rPr>
              <w:t>–Q</w:t>
            </w:r>
            <w:r w:rsidRPr="00636CF2">
              <w:rPr>
                <w:rFonts w:ascii="Times New Roman" w:hAnsi="Times New Roman" w:cs="Times New Roman"/>
                <w:vertAlign w:val="subscript"/>
              </w:rPr>
              <w:t>75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3251317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36CF2">
              <w:rPr>
                <w:rFonts w:ascii="Times New Roman" w:hAnsi="Times New Roman" w:cs="Times New Roman"/>
                <w:b/>
                <w:bCs/>
              </w:rPr>
              <w:t>median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05A4939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Q</w:t>
            </w:r>
            <w:r w:rsidRPr="00636CF2">
              <w:rPr>
                <w:rFonts w:ascii="Times New Roman" w:hAnsi="Times New Roman" w:cs="Times New Roman"/>
                <w:vertAlign w:val="subscript"/>
              </w:rPr>
              <w:t>25</w:t>
            </w:r>
            <w:r w:rsidRPr="00636CF2">
              <w:rPr>
                <w:rFonts w:ascii="Times New Roman" w:hAnsi="Times New Roman" w:cs="Times New Roman"/>
              </w:rPr>
              <w:t>–Q</w:t>
            </w:r>
            <w:r w:rsidRPr="00636CF2">
              <w:rPr>
                <w:rFonts w:ascii="Times New Roman" w:hAnsi="Times New Roman" w:cs="Times New Roman"/>
                <w:vertAlign w:val="subscript"/>
              </w:rPr>
              <w:t>75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2B7F0E3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median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5A124EE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Q</w:t>
            </w:r>
            <w:r w:rsidRPr="00636CF2">
              <w:rPr>
                <w:rFonts w:ascii="Times New Roman" w:hAnsi="Times New Roman" w:cs="Times New Roman"/>
                <w:vertAlign w:val="subscript"/>
              </w:rPr>
              <w:t>25</w:t>
            </w:r>
            <w:r w:rsidRPr="00636CF2">
              <w:rPr>
                <w:rFonts w:ascii="Times New Roman" w:hAnsi="Times New Roman" w:cs="Times New Roman"/>
              </w:rPr>
              <w:t>–Q</w:t>
            </w:r>
            <w:r w:rsidRPr="00636CF2">
              <w:rPr>
                <w:rFonts w:ascii="Times New Roman" w:hAnsi="Times New Roman" w:cs="Times New Roman"/>
                <w:vertAlign w:val="subscript"/>
              </w:rPr>
              <w:t>75</w:t>
            </w:r>
          </w:p>
        </w:tc>
        <w:tc>
          <w:tcPr>
            <w:tcW w:w="948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212B0F4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4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21B4918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94771" w:rsidRPr="00636CF2" w14:paraId="4099B6F4" w14:textId="77777777" w:rsidTr="00636CF2">
        <w:trPr>
          <w:trHeight w:val="506"/>
        </w:trPr>
        <w:tc>
          <w:tcPr>
            <w:tcW w:w="1562" w:type="dxa"/>
            <w:tcBorders>
              <w:top w:val="single" w:sz="4" w:space="0" w:color="auto"/>
            </w:tcBorders>
            <w:vAlign w:val="center"/>
          </w:tcPr>
          <w:p w14:paraId="08106FD1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eastAsia="Times New Roman" w:hAnsi="Times New Roman" w:cs="Times New Roman"/>
                <w:color w:val="000000"/>
                <w:lang w:val="en-GB" w:eastAsia="pl-PL"/>
              </w:rPr>
              <w:t>HR [bpm]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14:paraId="799E68F5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1686" w:type="dxa"/>
            <w:tcBorders>
              <w:top w:val="single" w:sz="4" w:space="0" w:color="auto"/>
            </w:tcBorders>
            <w:vAlign w:val="center"/>
          </w:tcPr>
          <w:p w14:paraId="4D2D7C82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72-92</w:t>
            </w: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14:paraId="650E6AA8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vAlign w:val="center"/>
          </w:tcPr>
          <w:p w14:paraId="751E8A4A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68-87</w:t>
            </w:r>
          </w:p>
        </w:tc>
        <w:tc>
          <w:tcPr>
            <w:tcW w:w="864" w:type="dxa"/>
            <w:tcBorders>
              <w:top w:val="single" w:sz="4" w:space="0" w:color="auto"/>
            </w:tcBorders>
            <w:vAlign w:val="center"/>
          </w:tcPr>
          <w:p w14:paraId="2FAC423A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vAlign w:val="center"/>
          </w:tcPr>
          <w:p w14:paraId="7E7582F5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72-96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14:paraId="7D2DF3AD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center"/>
          </w:tcPr>
          <w:p w14:paraId="66EA2BA8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636CF2">
              <w:rPr>
                <w:rFonts w:ascii="Times New Roman" w:hAnsi="Times New Roman" w:cs="Times New Roman"/>
              </w:rPr>
              <w:t>0.152</w:t>
            </w:r>
          </w:p>
        </w:tc>
      </w:tr>
      <w:tr w:rsidR="00094771" w:rsidRPr="00636CF2" w14:paraId="033E45B5" w14:textId="77777777" w:rsidTr="00636CF2">
        <w:trPr>
          <w:trHeight w:val="506"/>
        </w:trPr>
        <w:tc>
          <w:tcPr>
            <w:tcW w:w="1562" w:type="dxa"/>
            <w:vAlign w:val="center"/>
          </w:tcPr>
          <w:p w14:paraId="640C9032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SBP [mmHg]</w:t>
            </w:r>
          </w:p>
        </w:tc>
        <w:tc>
          <w:tcPr>
            <w:tcW w:w="1013" w:type="dxa"/>
            <w:vAlign w:val="center"/>
          </w:tcPr>
          <w:p w14:paraId="5104BB09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112</w:t>
            </w:r>
          </w:p>
        </w:tc>
        <w:tc>
          <w:tcPr>
            <w:tcW w:w="1686" w:type="dxa"/>
            <w:vAlign w:val="center"/>
          </w:tcPr>
          <w:p w14:paraId="3D881F30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105-122</w:t>
            </w:r>
          </w:p>
        </w:tc>
        <w:tc>
          <w:tcPr>
            <w:tcW w:w="913" w:type="dxa"/>
            <w:vAlign w:val="center"/>
          </w:tcPr>
          <w:p w14:paraId="2A2142E4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109</w:t>
            </w:r>
          </w:p>
        </w:tc>
        <w:tc>
          <w:tcPr>
            <w:tcW w:w="1676" w:type="dxa"/>
            <w:vAlign w:val="center"/>
          </w:tcPr>
          <w:p w14:paraId="590FDF1F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104-121</w:t>
            </w:r>
          </w:p>
        </w:tc>
        <w:tc>
          <w:tcPr>
            <w:tcW w:w="864" w:type="dxa"/>
            <w:vAlign w:val="center"/>
          </w:tcPr>
          <w:p w14:paraId="50EF8E3D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113</w:t>
            </w:r>
          </w:p>
        </w:tc>
        <w:tc>
          <w:tcPr>
            <w:tcW w:w="1676" w:type="dxa"/>
            <w:vAlign w:val="center"/>
          </w:tcPr>
          <w:p w14:paraId="11309C2B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107-123</w:t>
            </w:r>
          </w:p>
        </w:tc>
        <w:tc>
          <w:tcPr>
            <w:tcW w:w="948" w:type="dxa"/>
            <w:vAlign w:val="center"/>
          </w:tcPr>
          <w:p w14:paraId="10E3E794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0.234</w:t>
            </w:r>
          </w:p>
        </w:tc>
        <w:tc>
          <w:tcPr>
            <w:tcW w:w="1084" w:type="dxa"/>
            <w:vAlign w:val="center"/>
          </w:tcPr>
          <w:p w14:paraId="1237D6F6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</w:rPr>
            </w:pPr>
            <w:r w:rsidRPr="00636CF2">
              <w:rPr>
                <w:rFonts w:ascii="Times New Roman" w:hAnsi="Times New Roman" w:cs="Times New Roman"/>
              </w:rPr>
              <w:t>0.767</w:t>
            </w:r>
          </w:p>
        </w:tc>
      </w:tr>
      <w:tr w:rsidR="00094771" w:rsidRPr="00636CF2" w14:paraId="7C12E066" w14:textId="77777777" w:rsidTr="00636CF2">
        <w:trPr>
          <w:trHeight w:val="506"/>
        </w:trPr>
        <w:tc>
          <w:tcPr>
            <w:tcW w:w="1562" w:type="dxa"/>
            <w:vAlign w:val="center"/>
          </w:tcPr>
          <w:p w14:paraId="0704D5EC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DBP [mmHg]</w:t>
            </w:r>
          </w:p>
        </w:tc>
        <w:tc>
          <w:tcPr>
            <w:tcW w:w="1013" w:type="dxa"/>
            <w:vAlign w:val="center"/>
          </w:tcPr>
          <w:p w14:paraId="5F8F75CF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1686" w:type="dxa"/>
            <w:vAlign w:val="center"/>
          </w:tcPr>
          <w:p w14:paraId="1DA76414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</w:rPr>
            </w:pPr>
            <w:r w:rsidRPr="00636CF2">
              <w:rPr>
                <w:rFonts w:ascii="Times New Roman" w:hAnsi="Times New Roman" w:cs="Times New Roman"/>
              </w:rPr>
              <w:t>71-84</w:t>
            </w:r>
          </w:p>
        </w:tc>
        <w:tc>
          <w:tcPr>
            <w:tcW w:w="913" w:type="dxa"/>
            <w:vAlign w:val="center"/>
          </w:tcPr>
          <w:p w14:paraId="39B70E4F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1676" w:type="dxa"/>
            <w:vAlign w:val="center"/>
          </w:tcPr>
          <w:p w14:paraId="3EACCBA2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70-81</w:t>
            </w:r>
          </w:p>
        </w:tc>
        <w:tc>
          <w:tcPr>
            <w:tcW w:w="864" w:type="dxa"/>
            <w:vAlign w:val="center"/>
          </w:tcPr>
          <w:p w14:paraId="060CE504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76</w:t>
            </w:r>
          </w:p>
        </w:tc>
        <w:tc>
          <w:tcPr>
            <w:tcW w:w="1676" w:type="dxa"/>
            <w:vAlign w:val="center"/>
          </w:tcPr>
          <w:p w14:paraId="37BA71CB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72-76</w:t>
            </w:r>
          </w:p>
        </w:tc>
        <w:tc>
          <w:tcPr>
            <w:tcW w:w="948" w:type="dxa"/>
            <w:vAlign w:val="center"/>
          </w:tcPr>
          <w:p w14:paraId="06AC3A16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0.203</w:t>
            </w:r>
          </w:p>
        </w:tc>
        <w:tc>
          <w:tcPr>
            <w:tcW w:w="1084" w:type="dxa"/>
            <w:vAlign w:val="center"/>
          </w:tcPr>
          <w:p w14:paraId="183D2075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</w:rPr>
            </w:pPr>
            <w:r w:rsidRPr="00636CF2">
              <w:rPr>
                <w:rFonts w:ascii="Times New Roman" w:hAnsi="Times New Roman" w:cs="Times New Roman"/>
              </w:rPr>
              <w:t>0.767</w:t>
            </w:r>
          </w:p>
        </w:tc>
      </w:tr>
      <w:tr w:rsidR="00094771" w:rsidRPr="00636CF2" w14:paraId="27660371" w14:textId="77777777" w:rsidTr="00636CF2">
        <w:trPr>
          <w:trHeight w:val="506"/>
        </w:trPr>
        <w:tc>
          <w:tcPr>
            <w:tcW w:w="1562" w:type="dxa"/>
            <w:vAlign w:val="center"/>
          </w:tcPr>
          <w:p w14:paraId="7B379639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Glucose [mM]</w:t>
            </w:r>
          </w:p>
        </w:tc>
        <w:tc>
          <w:tcPr>
            <w:tcW w:w="1013" w:type="dxa"/>
            <w:vAlign w:val="center"/>
          </w:tcPr>
          <w:p w14:paraId="1E8AFB93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4.1</w:t>
            </w:r>
          </w:p>
        </w:tc>
        <w:tc>
          <w:tcPr>
            <w:tcW w:w="1686" w:type="dxa"/>
            <w:vAlign w:val="center"/>
          </w:tcPr>
          <w:p w14:paraId="54E1FB69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3.30-4.90</w:t>
            </w:r>
          </w:p>
        </w:tc>
        <w:tc>
          <w:tcPr>
            <w:tcW w:w="913" w:type="dxa"/>
            <w:vAlign w:val="center"/>
          </w:tcPr>
          <w:p w14:paraId="7C76D025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3.9</w:t>
            </w:r>
          </w:p>
        </w:tc>
        <w:tc>
          <w:tcPr>
            <w:tcW w:w="1676" w:type="dxa"/>
            <w:vAlign w:val="center"/>
          </w:tcPr>
          <w:p w14:paraId="751C15F2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3.10-4.65</w:t>
            </w:r>
          </w:p>
        </w:tc>
        <w:tc>
          <w:tcPr>
            <w:tcW w:w="864" w:type="dxa"/>
            <w:vAlign w:val="center"/>
          </w:tcPr>
          <w:p w14:paraId="5182E484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4.4</w:t>
            </w:r>
          </w:p>
        </w:tc>
        <w:tc>
          <w:tcPr>
            <w:tcW w:w="1676" w:type="dxa"/>
            <w:vAlign w:val="center"/>
          </w:tcPr>
          <w:p w14:paraId="258582AF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4.01-5.10</w:t>
            </w:r>
          </w:p>
        </w:tc>
        <w:tc>
          <w:tcPr>
            <w:tcW w:w="948" w:type="dxa"/>
            <w:vAlign w:val="center"/>
          </w:tcPr>
          <w:p w14:paraId="0DF3282D" w14:textId="25494908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1084" w:type="dxa"/>
            <w:vAlign w:val="center"/>
          </w:tcPr>
          <w:p w14:paraId="44590D74" w14:textId="77777777" w:rsidR="00094771" w:rsidRPr="00636CF2" w:rsidRDefault="00094771" w:rsidP="006A4327">
            <w:pPr>
              <w:jc w:val="center"/>
              <w:rPr>
                <w:rFonts w:ascii="Times New Roman" w:eastAsia="Times New Roman" w:hAnsi="Times New Roman" w:cs="Times New Roman"/>
                <w:color w:val="EE0000"/>
                <w:lang w:val="en-GB" w:eastAsia="pl-PL"/>
              </w:rPr>
            </w:pPr>
            <w:r w:rsidRPr="00636CF2">
              <w:rPr>
                <w:rFonts w:ascii="Times New Roman" w:hAnsi="Times New Roman" w:cs="Times New Roman"/>
              </w:rPr>
              <w:t>0.211</w:t>
            </w:r>
          </w:p>
        </w:tc>
      </w:tr>
      <w:tr w:rsidR="00094771" w:rsidRPr="00636CF2" w14:paraId="1FEACC20" w14:textId="77777777" w:rsidTr="00636CF2">
        <w:trPr>
          <w:trHeight w:val="506"/>
        </w:trPr>
        <w:tc>
          <w:tcPr>
            <w:tcW w:w="1562" w:type="dxa"/>
            <w:vAlign w:val="center"/>
          </w:tcPr>
          <w:p w14:paraId="0F9ED9E6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6CF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Insulin [μlU/ml]</w:t>
            </w:r>
          </w:p>
        </w:tc>
        <w:tc>
          <w:tcPr>
            <w:tcW w:w="1013" w:type="dxa"/>
            <w:vAlign w:val="center"/>
          </w:tcPr>
          <w:p w14:paraId="5C1A09D8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11.2</w:t>
            </w:r>
          </w:p>
        </w:tc>
        <w:tc>
          <w:tcPr>
            <w:tcW w:w="1686" w:type="dxa"/>
            <w:vAlign w:val="center"/>
          </w:tcPr>
          <w:p w14:paraId="6DF893A2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8.60-16.13</w:t>
            </w:r>
          </w:p>
        </w:tc>
        <w:tc>
          <w:tcPr>
            <w:tcW w:w="913" w:type="dxa"/>
            <w:vAlign w:val="center"/>
          </w:tcPr>
          <w:p w14:paraId="7444AAD4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10.4</w:t>
            </w:r>
          </w:p>
        </w:tc>
        <w:tc>
          <w:tcPr>
            <w:tcW w:w="1676" w:type="dxa"/>
            <w:vAlign w:val="center"/>
          </w:tcPr>
          <w:p w14:paraId="095A8653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7.34-13.51</w:t>
            </w:r>
          </w:p>
        </w:tc>
        <w:tc>
          <w:tcPr>
            <w:tcW w:w="864" w:type="dxa"/>
            <w:vAlign w:val="center"/>
          </w:tcPr>
          <w:p w14:paraId="70DFC2A4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13.4</w:t>
            </w:r>
          </w:p>
        </w:tc>
        <w:tc>
          <w:tcPr>
            <w:tcW w:w="1676" w:type="dxa"/>
            <w:vAlign w:val="center"/>
          </w:tcPr>
          <w:p w14:paraId="533AF906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9.29-18.85</w:t>
            </w:r>
          </w:p>
        </w:tc>
        <w:tc>
          <w:tcPr>
            <w:tcW w:w="948" w:type="dxa"/>
            <w:vAlign w:val="center"/>
          </w:tcPr>
          <w:p w14:paraId="1870474E" w14:textId="07837B6C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084" w:type="dxa"/>
            <w:vAlign w:val="center"/>
          </w:tcPr>
          <w:p w14:paraId="266C32EF" w14:textId="77777777" w:rsidR="00094771" w:rsidRPr="00636CF2" w:rsidRDefault="00094771" w:rsidP="006A4327">
            <w:pPr>
              <w:jc w:val="center"/>
              <w:rPr>
                <w:rFonts w:ascii="Times New Roman" w:eastAsia="Times New Roman" w:hAnsi="Times New Roman" w:cs="Times New Roman"/>
                <w:color w:val="EE0000"/>
                <w:lang w:val="en-GB" w:eastAsia="pl-PL"/>
              </w:rPr>
            </w:pPr>
            <w:r w:rsidRPr="00636CF2">
              <w:rPr>
                <w:rFonts w:ascii="Times New Roman" w:hAnsi="Times New Roman" w:cs="Times New Roman"/>
              </w:rPr>
              <w:t>0.052</w:t>
            </w:r>
          </w:p>
        </w:tc>
      </w:tr>
      <w:tr w:rsidR="00094771" w:rsidRPr="00636CF2" w14:paraId="31E43FDD" w14:textId="77777777" w:rsidTr="00636CF2">
        <w:trPr>
          <w:trHeight w:val="506"/>
        </w:trPr>
        <w:tc>
          <w:tcPr>
            <w:tcW w:w="1562" w:type="dxa"/>
            <w:vAlign w:val="center"/>
          </w:tcPr>
          <w:p w14:paraId="0DA59E2D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HOMA-IR</w:t>
            </w:r>
          </w:p>
        </w:tc>
        <w:tc>
          <w:tcPr>
            <w:tcW w:w="1013" w:type="dxa"/>
            <w:vAlign w:val="center"/>
          </w:tcPr>
          <w:p w14:paraId="25B1E0D1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1686" w:type="dxa"/>
            <w:vAlign w:val="center"/>
          </w:tcPr>
          <w:p w14:paraId="340A7BCE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1.31-2.91</w:t>
            </w:r>
          </w:p>
        </w:tc>
        <w:tc>
          <w:tcPr>
            <w:tcW w:w="913" w:type="dxa"/>
            <w:vAlign w:val="center"/>
          </w:tcPr>
          <w:p w14:paraId="113C6B6D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1.7</w:t>
            </w:r>
          </w:p>
        </w:tc>
        <w:tc>
          <w:tcPr>
            <w:tcW w:w="1676" w:type="dxa"/>
            <w:vAlign w:val="center"/>
          </w:tcPr>
          <w:p w14:paraId="55F1E30D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1.19-2.37</w:t>
            </w:r>
          </w:p>
        </w:tc>
        <w:tc>
          <w:tcPr>
            <w:tcW w:w="864" w:type="dxa"/>
            <w:vAlign w:val="center"/>
          </w:tcPr>
          <w:p w14:paraId="3BA05B3D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2.3</w:t>
            </w:r>
          </w:p>
        </w:tc>
        <w:tc>
          <w:tcPr>
            <w:tcW w:w="1676" w:type="dxa"/>
            <w:vAlign w:val="center"/>
          </w:tcPr>
          <w:p w14:paraId="11D9141F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1.52-3.67</w:t>
            </w:r>
          </w:p>
        </w:tc>
        <w:tc>
          <w:tcPr>
            <w:tcW w:w="948" w:type="dxa"/>
            <w:vAlign w:val="center"/>
          </w:tcPr>
          <w:p w14:paraId="4FE59E63" w14:textId="5A228499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084" w:type="dxa"/>
            <w:vAlign w:val="center"/>
          </w:tcPr>
          <w:p w14:paraId="36FA0D7D" w14:textId="5C1BE58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color w:val="EE0000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0.036</w:t>
            </w:r>
          </w:p>
        </w:tc>
      </w:tr>
      <w:tr w:rsidR="00094771" w:rsidRPr="00636CF2" w14:paraId="590E41C7" w14:textId="77777777" w:rsidTr="00636CF2">
        <w:trPr>
          <w:trHeight w:val="506"/>
        </w:trPr>
        <w:tc>
          <w:tcPr>
            <w:tcW w:w="1562" w:type="dxa"/>
            <w:vAlign w:val="center"/>
          </w:tcPr>
          <w:p w14:paraId="1C72D7C1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TC [mM]</w:t>
            </w:r>
          </w:p>
        </w:tc>
        <w:tc>
          <w:tcPr>
            <w:tcW w:w="1013" w:type="dxa"/>
            <w:vAlign w:val="center"/>
          </w:tcPr>
          <w:p w14:paraId="7CCBD21D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3.2</w:t>
            </w:r>
          </w:p>
        </w:tc>
        <w:tc>
          <w:tcPr>
            <w:tcW w:w="1686" w:type="dxa"/>
            <w:vAlign w:val="center"/>
          </w:tcPr>
          <w:p w14:paraId="32489BEC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2.60-4.30</w:t>
            </w:r>
          </w:p>
        </w:tc>
        <w:tc>
          <w:tcPr>
            <w:tcW w:w="913" w:type="dxa"/>
            <w:vAlign w:val="center"/>
          </w:tcPr>
          <w:p w14:paraId="26926A1A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2.8</w:t>
            </w:r>
          </w:p>
        </w:tc>
        <w:tc>
          <w:tcPr>
            <w:tcW w:w="1676" w:type="dxa"/>
            <w:vAlign w:val="center"/>
          </w:tcPr>
          <w:p w14:paraId="59FD3837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2.40-4.10</w:t>
            </w:r>
          </w:p>
        </w:tc>
        <w:tc>
          <w:tcPr>
            <w:tcW w:w="864" w:type="dxa"/>
            <w:vAlign w:val="center"/>
          </w:tcPr>
          <w:p w14:paraId="62628ED7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3.4</w:t>
            </w:r>
          </w:p>
        </w:tc>
        <w:tc>
          <w:tcPr>
            <w:tcW w:w="1676" w:type="dxa"/>
            <w:vAlign w:val="center"/>
          </w:tcPr>
          <w:p w14:paraId="7A0EA76B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2.75-4.40</w:t>
            </w:r>
          </w:p>
        </w:tc>
        <w:tc>
          <w:tcPr>
            <w:tcW w:w="948" w:type="dxa"/>
            <w:vAlign w:val="center"/>
          </w:tcPr>
          <w:p w14:paraId="1F39A17E" w14:textId="7945BB6B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color w:val="EE0000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1084" w:type="dxa"/>
            <w:vAlign w:val="center"/>
          </w:tcPr>
          <w:p w14:paraId="00F52EBA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color w:val="EE0000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0.187</w:t>
            </w:r>
          </w:p>
        </w:tc>
      </w:tr>
      <w:tr w:rsidR="00094771" w:rsidRPr="00636CF2" w14:paraId="1B06423C" w14:textId="77777777" w:rsidTr="00636CF2">
        <w:trPr>
          <w:trHeight w:val="506"/>
        </w:trPr>
        <w:tc>
          <w:tcPr>
            <w:tcW w:w="1562" w:type="dxa"/>
            <w:vAlign w:val="center"/>
          </w:tcPr>
          <w:p w14:paraId="12FE4F94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HDL-C [mM]</w:t>
            </w:r>
          </w:p>
        </w:tc>
        <w:tc>
          <w:tcPr>
            <w:tcW w:w="1013" w:type="dxa"/>
            <w:vAlign w:val="center"/>
          </w:tcPr>
          <w:p w14:paraId="413FAF5E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1.2</w:t>
            </w:r>
          </w:p>
        </w:tc>
        <w:tc>
          <w:tcPr>
            <w:tcW w:w="1686" w:type="dxa"/>
            <w:vAlign w:val="center"/>
          </w:tcPr>
          <w:p w14:paraId="43377161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0.93-1.54</w:t>
            </w:r>
          </w:p>
        </w:tc>
        <w:tc>
          <w:tcPr>
            <w:tcW w:w="913" w:type="dxa"/>
            <w:vAlign w:val="center"/>
          </w:tcPr>
          <w:p w14:paraId="410573F9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1.9</w:t>
            </w:r>
          </w:p>
        </w:tc>
        <w:tc>
          <w:tcPr>
            <w:tcW w:w="1676" w:type="dxa"/>
            <w:vAlign w:val="center"/>
          </w:tcPr>
          <w:p w14:paraId="093EFA37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0.89-1.53</w:t>
            </w:r>
          </w:p>
        </w:tc>
        <w:tc>
          <w:tcPr>
            <w:tcW w:w="864" w:type="dxa"/>
            <w:vAlign w:val="center"/>
          </w:tcPr>
          <w:p w14:paraId="5011D2E4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1.2</w:t>
            </w:r>
          </w:p>
        </w:tc>
        <w:tc>
          <w:tcPr>
            <w:tcW w:w="1676" w:type="dxa"/>
            <w:vAlign w:val="center"/>
          </w:tcPr>
          <w:p w14:paraId="56D45689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1.03-1.55</w:t>
            </w:r>
          </w:p>
        </w:tc>
        <w:tc>
          <w:tcPr>
            <w:tcW w:w="948" w:type="dxa"/>
            <w:vAlign w:val="center"/>
          </w:tcPr>
          <w:p w14:paraId="2B089A37" w14:textId="0333EFE9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color w:val="EE0000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1084" w:type="dxa"/>
            <w:vAlign w:val="center"/>
          </w:tcPr>
          <w:p w14:paraId="0410FEA9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color w:val="EE0000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0.223</w:t>
            </w:r>
          </w:p>
        </w:tc>
      </w:tr>
      <w:tr w:rsidR="00094771" w:rsidRPr="00636CF2" w14:paraId="3C1D206E" w14:textId="77777777" w:rsidTr="00636CF2">
        <w:trPr>
          <w:trHeight w:val="506"/>
        </w:trPr>
        <w:tc>
          <w:tcPr>
            <w:tcW w:w="1562" w:type="dxa"/>
            <w:vAlign w:val="center"/>
          </w:tcPr>
          <w:p w14:paraId="5A27AB0C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LDL-C [mM]</w:t>
            </w:r>
          </w:p>
        </w:tc>
        <w:tc>
          <w:tcPr>
            <w:tcW w:w="1013" w:type="dxa"/>
            <w:vAlign w:val="center"/>
          </w:tcPr>
          <w:p w14:paraId="3ED9CE7D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1.8</w:t>
            </w:r>
          </w:p>
        </w:tc>
        <w:tc>
          <w:tcPr>
            <w:tcW w:w="1686" w:type="dxa"/>
            <w:vAlign w:val="center"/>
          </w:tcPr>
          <w:p w14:paraId="44D3772A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1.40-2.50</w:t>
            </w:r>
          </w:p>
        </w:tc>
        <w:tc>
          <w:tcPr>
            <w:tcW w:w="913" w:type="dxa"/>
            <w:vAlign w:val="center"/>
          </w:tcPr>
          <w:p w14:paraId="7F8F535B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1.6</w:t>
            </w:r>
          </w:p>
        </w:tc>
        <w:tc>
          <w:tcPr>
            <w:tcW w:w="1676" w:type="dxa"/>
            <w:vAlign w:val="center"/>
          </w:tcPr>
          <w:p w14:paraId="387DC6BD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1.25-2.303</w:t>
            </w:r>
          </w:p>
        </w:tc>
        <w:tc>
          <w:tcPr>
            <w:tcW w:w="864" w:type="dxa"/>
            <w:vAlign w:val="center"/>
          </w:tcPr>
          <w:p w14:paraId="4C3E2417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1676" w:type="dxa"/>
            <w:vAlign w:val="center"/>
          </w:tcPr>
          <w:p w14:paraId="06FB619F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1.50-2.65</w:t>
            </w:r>
          </w:p>
        </w:tc>
        <w:tc>
          <w:tcPr>
            <w:tcW w:w="948" w:type="dxa"/>
            <w:vAlign w:val="center"/>
          </w:tcPr>
          <w:p w14:paraId="74DCCD60" w14:textId="7A8770D1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color w:val="EE0000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1084" w:type="dxa"/>
            <w:vAlign w:val="center"/>
          </w:tcPr>
          <w:p w14:paraId="55BFDA0E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color w:val="EE0000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0.161</w:t>
            </w:r>
          </w:p>
        </w:tc>
      </w:tr>
      <w:tr w:rsidR="00094771" w:rsidRPr="00636CF2" w14:paraId="56538AAD" w14:textId="77777777" w:rsidTr="00636CF2">
        <w:trPr>
          <w:trHeight w:val="506"/>
        </w:trPr>
        <w:tc>
          <w:tcPr>
            <w:tcW w:w="1562" w:type="dxa"/>
            <w:vAlign w:val="center"/>
          </w:tcPr>
          <w:p w14:paraId="4471F187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6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Non-HDL [mM]</w:t>
            </w:r>
          </w:p>
        </w:tc>
        <w:tc>
          <w:tcPr>
            <w:tcW w:w="1013" w:type="dxa"/>
            <w:vAlign w:val="center"/>
          </w:tcPr>
          <w:p w14:paraId="624BB284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2.0</w:t>
            </w:r>
          </w:p>
        </w:tc>
        <w:tc>
          <w:tcPr>
            <w:tcW w:w="1686" w:type="dxa"/>
            <w:vAlign w:val="center"/>
          </w:tcPr>
          <w:p w14:paraId="0D0C5011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1.50-2.70</w:t>
            </w:r>
          </w:p>
        </w:tc>
        <w:tc>
          <w:tcPr>
            <w:tcW w:w="913" w:type="dxa"/>
            <w:vAlign w:val="center"/>
          </w:tcPr>
          <w:p w14:paraId="2C68550C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1.7</w:t>
            </w:r>
          </w:p>
        </w:tc>
        <w:tc>
          <w:tcPr>
            <w:tcW w:w="1676" w:type="dxa"/>
            <w:vAlign w:val="center"/>
          </w:tcPr>
          <w:p w14:paraId="39938207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1.35-2.55</w:t>
            </w:r>
          </w:p>
        </w:tc>
        <w:tc>
          <w:tcPr>
            <w:tcW w:w="864" w:type="dxa"/>
            <w:vAlign w:val="center"/>
          </w:tcPr>
          <w:p w14:paraId="6AF02A1F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2.3</w:t>
            </w:r>
          </w:p>
        </w:tc>
        <w:tc>
          <w:tcPr>
            <w:tcW w:w="1676" w:type="dxa"/>
            <w:vAlign w:val="center"/>
          </w:tcPr>
          <w:p w14:paraId="1A8CD077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1.65-2.25</w:t>
            </w:r>
          </w:p>
        </w:tc>
        <w:tc>
          <w:tcPr>
            <w:tcW w:w="948" w:type="dxa"/>
            <w:vAlign w:val="center"/>
          </w:tcPr>
          <w:p w14:paraId="2726199B" w14:textId="39000474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color w:val="EE0000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1084" w:type="dxa"/>
            <w:vAlign w:val="center"/>
          </w:tcPr>
          <w:p w14:paraId="7BB127DF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color w:val="EE0000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0.187</w:t>
            </w:r>
          </w:p>
        </w:tc>
      </w:tr>
      <w:tr w:rsidR="00094771" w:rsidRPr="00636CF2" w14:paraId="2D281DAB" w14:textId="77777777" w:rsidTr="00636CF2">
        <w:trPr>
          <w:trHeight w:val="506"/>
        </w:trPr>
        <w:tc>
          <w:tcPr>
            <w:tcW w:w="1562" w:type="dxa"/>
            <w:vAlign w:val="center"/>
          </w:tcPr>
          <w:p w14:paraId="5DFBE1A4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TG [mM]</w:t>
            </w:r>
          </w:p>
        </w:tc>
        <w:tc>
          <w:tcPr>
            <w:tcW w:w="1013" w:type="dxa"/>
            <w:vAlign w:val="center"/>
          </w:tcPr>
          <w:p w14:paraId="230C45C5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0.6</w:t>
            </w:r>
          </w:p>
        </w:tc>
        <w:tc>
          <w:tcPr>
            <w:tcW w:w="1686" w:type="dxa"/>
            <w:vAlign w:val="center"/>
          </w:tcPr>
          <w:p w14:paraId="28DD4D57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0.50-0.95</w:t>
            </w:r>
          </w:p>
        </w:tc>
        <w:tc>
          <w:tcPr>
            <w:tcW w:w="913" w:type="dxa"/>
            <w:vAlign w:val="center"/>
          </w:tcPr>
          <w:p w14:paraId="4CECD3FA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0.6</w:t>
            </w:r>
          </w:p>
        </w:tc>
        <w:tc>
          <w:tcPr>
            <w:tcW w:w="1676" w:type="dxa"/>
            <w:vAlign w:val="center"/>
          </w:tcPr>
          <w:p w14:paraId="348D01B3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0.50-0.85</w:t>
            </w:r>
          </w:p>
        </w:tc>
        <w:tc>
          <w:tcPr>
            <w:tcW w:w="864" w:type="dxa"/>
            <w:vAlign w:val="center"/>
          </w:tcPr>
          <w:p w14:paraId="20870EBD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0.8</w:t>
            </w:r>
          </w:p>
        </w:tc>
        <w:tc>
          <w:tcPr>
            <w:tcW w:w="1676" w:type="dxa"/>
            <w:vAlign w:val="center"/>
          </w:tcPr>
          <w:p w14:paraId="784D32E9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0.60-1.00</w:t>
            </w:r>
          </w:p>
        </w:tc>
        <w:tc>
          <w:tcPr>
            <w:tcW w:w="948" w:type="dxa"/>
            <w:vAlign w:val="center"/>
          </w:tcPr>
          <w:p w14:paraId="44A71512" w14:textId="50B7B0BA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color w:val="EE0000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1084" w:type="dxa"/>
            <w:vAlign w:val="center"/>
          </w:tcPr>
          <w:p w14:paraId="58E03A44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color w:val="EE0000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0.187</w:t>
            </w:r>
          </w:p>
        </w:tc>
      </w:tr>
      <w:tr w:rsidR="00094771" w:rsidRPr="00636CF2" w14:paraId="7EFF91D4" w14:textId="77777777" w:rsidTr="00636CF2">
        <w:trPr>
          <w:trHeight w:val="506"/>
        </w:trPr>
        <w:tc>
          <w:tcPr>
            <w:tcW w:w="1562" w:type="dxa"/>
            <w:vAlign w:val="center"/>
          </w:tcPr>
          <w:p w14:paraId="7706F03A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TG/HDL-C</w:t>
            </w:r>
          </w:p>
        </w:tc>
        <w:tc>
          <w:tcPr>
            <w:tcW w:w="1013" w:type="dxa"/>
            <w:vAlign w:val="center"/>
          </w:tcPr>
          <w:p w14:paraId="603AC95E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0.6</w:t>
            </w:r>
          </w:p>
        </w:tc>
        <w:tc>
          <w:tcPr>
            <w:tcW w:w="1686" w:type="dxa"/>
            <w:vAlign w:val="center"/>
          </w:tcPr>
          <w:p w14:paraId="4A4C155B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0.41-0.76</w:t>
            </w:r>
          </w:p>
        </w:tc>
        <w:tc>
          <w:tcPr>
            <w:tcW w:w="913" w:type="dxa"/>
            <w:vAlign w:val="center"/>
          </w:tcPr>
          <w:p w14:paraId="63DC27B6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0.5</w:t>
            </w:r>
          </w:p>
        </w:tc>
        <w:tc>
          <w:tcPr>
            <w:tcW w:w="1676" w:type="dxa"/>
            <w:vAlign w:val="center"/>
          </w:tcPr>
          <w:p w14:paraId="0FEC614A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0.39-0.69</w:t>
            </w:r>
          </w:p>
        </w:tc>
        <w:tc>
          <w:tcPr>
            <w:tcW w:w="864" w:type="dxa"/>
            <w:vAlign w:val="center"/>
          </w:tcPr>
          <w:p w14:paraId="7A5D0422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0.6</w:t>
            </w:r>
          </w:p>
        </w:tc>
        <w:tc>
          <w:tcPr>
            <w:tcW w:w="1676" w:type="dxa"/>
            <w:vAlign w:val="center"/>
          </w:tcPr>
          <w:p w14:paraId="5D748BA7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0.44-0.80</w:t>
            </w:r>
          </w:p>
        </w:tc>
        <w:tc>
          <w:tcPr>
            <w:tcW w:w="948" w:type="dxa"/>
            <w:vAlign w:val="center"/>
          </w:tcPr>
          <w:p w14:paraId="5B1E76E2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0.192</w:t>
            </w:r>
          </w:p>
        </w:tc>
        <w:tc>
          <w:tcPr>
            <w:tcW w:w="1084" w:type="dxa"/>
            <w:vAlign w:val="center"/>
          </w:tcPr>
          <w:p w14:paraId="3AC3A78D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0.767</w:t>
            </w:r>
          </w:p>
        </w:tc>
      </w:tr>
      <w:tr w:rsidR="00094771" w:rsidRPr="00636CF2" w14:paraId="519EE709" w14:textId="77777777" w:rsidTr="00636CF2">
        <w:trPr>
          <w:trHeight w:val="506"/>
        </w:trPr>
        <w:tc>
          <w:tcPr>
            <w:tcW w:w="1562" w:type="dxa"/>
            <w:vAlign w:val="center"/>
          </w:tcPr>
          <w:p w14:paraId="2D8A6867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TG/G</w:t>
            </w:r>
          </w:p>
        </w:tc>
        <w:tc>
          <w:tcPr>
            <w:tcW w:w="1013" w:type="dxa"/>
            <w:vAlign w:val="center"/>
          </w:tcPr>
          <w:p w14:paraId="31D410F5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3.3</w:t>
            </w:r>
          </w:p>
        </w:tc>
        <w:tc>
          <w:tcPr>
            <w:tcW w:w="1686" w:type="dxa"/>
            <w:vAlign w:val="center"/>
          </w:tcPr>
          <w:p w14:paraId="2F9B632B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3.15-3.55</w:t>
            </w:r>
          </w:p>
        </w:tc>
        <w:tc>
          <w:tcPr>
            <w:tcW w:w="913" w:type="dxa"/>
            <w:vAlign w:val="center"/>
          </w:tcPr>
          <w:p w14:paraId="77382C21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3.3</w:t>
            </w:r>
          </w:p>
        </w:tc>
        <w:tc>
          <w:tcPr>
            <w:tcW w:w="1676" w:type="dxa"/>
            <w:vAlign w:val="center"/>
          </w:tcPr>
          <w:p w14:paraId="4101E114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3.07-3.49</w:t>
            </w:r>
          </w:p>
        </w:tc>
        <w:tc>
          <w:tcPr>
            <w:tcW w:w="864" w:type="dxa"/>
            <w:vAlign w:val="center"/>
          </w:tcPr>
          <w:p w14:paraId="0024961C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3.4</w:t>
            </w:r>
          </w:p>
        </w:tc>
        <w:tc>
          <w:tcPr>
            <w:tcW w:w="1676" w:type="dxa"/>
            <w:vAlign w:val="center"/>
          </w:tcPr>
          <w:p w14:paraId="169F5B7C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3.19-3.57</w:t>
            </w:r>
          </w:p>
        </w:tc>
        <w:tc>
          <w:tcPr>
            <w:tcW w:w="948" w:type="dxa"/>
            <w:vAlign w:val="center"/>
          </w:tcPr>
          <w:p w14:paraId="7A855712" w14:textId="3203C090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1084" w:type="dxa"/>
            <w:vAlign w:val="center"/>
          </w:tcPr>
          <w:p w14:paraId="686A507E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color w:val="EE0000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0.206</w:t>
            </w:r>
          </w:p>
        </w:tc>
      </w:tr>
      <w:tr w:rsidR="00094771" w:rsidRPr="00636CF2" w14:paraId="3DAC157B" w14:textId="77777777" w:rsidTr="00636CF2">
        <w:trPr>
          <w:trHeight w:val="506"/>
        </w:trPr>
        <w:tc>
          <w:tcPr>
            <w:tcW w:w="1562" w:type="dxa"/>
            <w:vAlign w:val="center"/>
          </w:tcPr>
          <w:p w14:paraId="5812285F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VAI</w:t>
            </w:r>
          </w:p>
        </w:tc>
        <w:tc>
          <w:tcPr>
            <w:tcW w:w="1013" w:type="dxa"/>
            <w:vAlign w:val="center"/>
          </w:tcPr>
          <w:p w14:paraId="4BA3B820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686" w:type="dxa"/>
            <w:vAlign w:val="center"/>
          </w:tcPr>
          <w:p w14:paraId="62DB87E1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0.68-1.35</w:t>
            </w:r>
          </w:p>
        </w:tc>
        <w:tc>
          <w:tcPr>
            <w:tcW w:w="913" w:type="dxa"/>
            <w:vAlign w:val="center"/>
          </w:tcPr>
          <w:p w14:paraId="1AF89DEE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0.9</w:t>
            </w:r>
          </w:p>
        </w:tc>
        <w:tc>
          <w:tcPr>
            <w:tcW w:w="1676" w:type="dxa"/>
            <w:vAlign w:val="center"/>
          </w:tcPr>
          <w:p w14:paraId="4ECF691C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0.65-1.19</w:t>
            </w:r>
          </w:p>
        </w:tc>
        <w:tc>
          <w:tcPr>
            <w:tcW w:w="864" w:type="dxa"/>
            <w:vAlign w:val="center"/>
          </w:tcPr>
          <w:p w14:paraId="0600331D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676" w:type="dxa"/>
            <w:vAlign w:val="center"/>
          </w:tcPr>
          <w:p w14:paraId="50B58E24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0.73-1.37</w:t>
            </w:r>
          </w:p>
        </w:tc>
        <w:tc>
          <w:tcPr>
            <w:tcW w:w="948" w:type="dxa"/>
            <w:vAlign w:val="center"/>
          </w:tcPr>
          <w:p w14:paraId="601AD42B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0.271</w:t>
            </w:r>
          </w:p>
        </w:tc>
        <w:tc>
          <w:tcPr>
            <w:tcW w:w="1084" w:type="dxa"/>
            <w:vAlign w:val="center"/>
          </w:tcPr>
          <w:p w14:paraId="004A4E57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0.767</w:t>
            </w:r>
          </w:p>
        </w:tc>
      </w:tr>
      <w:tr w:rsidR="00094771" w:rsidRPr="00636CF2" w14:paraId="0555FF35" w14:textId="77777777" w:rsidTr="00636CF2">
        <w:trPr>
          <w:trHeight w:val="506"/>
        </w:trPr>
        <w:tc>
          <w:tcPr>
            <w:tcW w:w="1562" w:type="dxa"/>
            <w:vAlign w:val="center"/>
          </w:tcPr>
          <w:p w14:paraId="0DC0DA2B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LAP</w:t>
            </w:r>
          </w:p>
        </w:tc>
        <w:tc>
          <w:tcPr>
            <w:tcW w:w="1013" w:type="dxa"/>
            <w:vAlign w:val="center"/>
          </w:tcPr>
          <w:p w14:paraId="3A7E5440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7.7</w:t>
            </w:r>
          </w:p>
        </w:tc>
        <w:tc>
          <w:tcPr>
            <w:tcW w:w="1686" w:type="dxa"/>
            <w:vAlign w:val="center"/>
          </w:tcPr>
          <w:p w14:paraId="1B72F0AC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5.00-13.00</w:t>
            </w:r>
          </w:p>
        </w:tc>
        <w:tc>
          <w:tcPr>
            <w:tcW w:w="913" w:type="dxa"/>
            <w:vAlign w:val="center"/>
          </w:tcPr>
          <w:p w14:paraId="2387ACA9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6.0</w:t>
            </w:r>
          </w:p>
        </w:tc>
        <w:tc>
          <w:tcPr>
            <w:tcW w:w="1676" w:type="dxa"/>
            <w:vAlign w:val="center"/>
          </w:tcPr>
          <w:p w14:paraId="26F78F63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4.50-10.00</w:t>
            </w:r>
          </w:p>
        </w:tc>
        <w:tc>
          <w:tcPr>
            <w:tcW w:w="864" w:type="dxa"/>
            <w:vAlign w:val="center"/>
          </w:tcPr>
          <w:p w14:paraId="02448117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10.3</w:t>
            </w:r>
          </w:p>
        </w:tc>
        <w:tc>
          <w:tcPr>
            <w:tcW w:w="1676" w:type="dxa"/>
            <w:vAlign w:val="center"/>
          </w:tcPr>
          <w:p w14:paraId="191904B5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6.80-15.45</w:t>
            </w:r>
          </w:p>
        </w:tc>
        <w:tc>
          <w:tcPr>
            <w:tcW w:w="948" w:type="dxa"/>
            <w:vAlign w:val="center"/>
          </w:tcPr>
          <w:p w14:paraId="6FD653D1" w14:textId="54FF2ADB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0.000*</w:t>
            </w:r>
          </w:p>
        </w:tc>
        <w:tc>
          <w:tcPr>
            <w:tcW w:w="1084" w:type="dxa"/>
            <w:vAlign w:val="center"/>
          </w:tcPr>
          <w:p w14:paraId="0C5A7563" w14:textId="3541614F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color w:val="EE0000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0.003</w:t>
            </w:r>
          </w:p>
        </w:tc>
      </w:tr>
      <w:tr w:rsidR="00094771" w:rsidRPr="00636CF2" w14:paraId="31022FB9" w14:textId="77777777" w:rsidTr="00636CF2">
        <w:trPr>
          <w:trHeight w:val="506"/>
        </w:trPr>
        <w:tc>
          <w:tcPr>
            <w:tcW w:w="1562" w:type="dxa"/>
            <w:vAlign w:val="center"/>
          </w:tcPr>
          <w:p w14:paraId="4F2C361F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CMI</w:t>
            </w:r>
          </w:p>
        </w:tc>
        <w:tc>
          <w:tcPr>
            <w:tcW w:w="1013" w:type="dxa"/>
            <w:vAlign w:val="center"/>
          </w:tcPr>
          <w:p w14:paraId="6E2520FF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23.6</w:t>
            </w:r>
          </w:p>
        </w:tc>
        <w:tc>
          <w:tcPr>
            <w:tcW w:w="1686" w:type="dxa"/>
            <w:vAlign w:val="center"/>
          </w:tcPr>
          <w:p w14:paraId="216FB965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17.14-33.56</w:t>
            </w:r>
          </w:p>
        </w:tc>
        <w:tc>
          <w:tcPr>
            <w:tcW w:w="913" w:type="dxa"/>
            <w:vAlign w:val="center"/>
          </w:tcPr>
          <w:p w14:paraId="56281AC0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22.2</w:t>
            </w:r>
          </w:p>
        </w:tc>
        <w:tc>
          <w:tcPr>
            <w:tcW w:w="1676" w:type="dxa"/>
            <w:vAlign w:val="center"/>
          </w:tcPr>
          <w:p w14:paraId="5B972764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16.42-28.32</w:t>
            </w:r>
          </w:p>
        </w:tc>
        <w:tc>
          <w:tcPr>
            <w:tcW w:w="864" w:type="dxa"/>
            <w:vAlign w:val="center"/>
          </w:tcPr>
          <w:p w14:paraId="50CF19E5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25.0</w:t>
            </w:r>
          </w:p>
        </w:tc>
        <w:tc>
          <w:tcPr>
            <w:tcW w:w="1676" w:type="dxa"/>
            <w:vAlign w:val="center"/>
          </w:tcPr>
          <w:p w14:paraId="3421359E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  <w:lang w:val="en-US"/>
              </w:rPr>
              <w:t>18.08-35.00</w:t>
            </w:r>
          </w:p>
        </w:tc>
        <w:tc>
          <w:tcPr>
            <w:tcW w:w="948" w:type="dxa"/>
            <w:vAlign w:val="center"/>
          </w:tcPr>
          <w:p w14:paraId="7912B68D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0.134</w:t>
            </w:r>
          </w:p>
        </w:tc>
        <w:tc>
          <w:tcPr>
            <w:tcW w:w="1084" w:type="dxa"/>
            <w:vAlign w:val="center"/>
          </w:tcPr>
          <w:p w14:paraId="5DF23C5A" w14:textId="77777777" w:rsidR="00094771" w:rsidRPr="00636CF2" w:rsidRDefault="00094771" w:rsidP="006A43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CF2">
              <w:rPr>
                <w:rFonts w:ascii="Times New Roman" w:hAnsi="Times New Roman" w:cs="Times New Roman"/>
              </w:rPr>
              <w:t>0.671</w:t>
            </w:r>
          </w:p>
        </w:tc>
      </w:tr>
    </w:tbl>
    <w:p w14:paraId="34F03342" w14:textId="4B6330C4" w:rsidR="00636CF2" w:rsidRDefault="00636CF2" w:rsidP="004809AB">
      <w:pPr>
        <w:jc w:val="both"/>
      </w:pPr>
      <w:r w:rsidRPr="001E51D7"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  <w:highlight w:val="white"/>
          <w:lang w:val="en-US"/>
        </w:rPr>
        <w:t>Legend:</w:t>
      </w:r>
      <w:r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  <w:lang w:val="en-US"/>
        </w:rPr>
        <w:t xml:space="preserve"> </w:t>
      </w:r>
      <w:r w:rsidR="00822E84" w:rsidRPr="00822E84">
        <w:rPr>
          <w:rFonts w:ascii="Times New Roman" w:hAnsi="Times New Roman" w:cs="Times New Roman"/>
          <w:color w:val="000000"/>
          <w:kern w:val="1"/>
          <w:sz w:val="18"/>
          <w:szCs w:val="18"/>
          <w:lang w:val="en-US"/>
        </w:rPr>
        <w:t>HR – heart rate; SBP – systolic blood pressure; DBP – diastolic blood pressure; HOMA-IR – homeostatic model</w:t>
      </w:r>
      <w:r w:rsidR="004809AB">
        <w:rPr>
          <w:rFonts w:ascii="Times New Roman" w:hAnsi="Times New Roman" w:cs="Times New Roman"/>
          <w:color w:val="000000"/>
          <w:kern w:val="1"/>
          <w:sz w:val="18"/>
          <w:szCs w:val="18"/>
          <w:lang w:val="en-US"/>
        </w:rPr>
        <w:t xml:space="preserve"> </w:t>
      </w:r>
      <w:r w:rsidR="00822E84" w:rsidRPr="00822E84">
        <w:rPr>
          <w:rFonts w:ascii="Times New Roman" w:hAnsi="Times New Roman" w:cs="Times New Roman"/>
          <w:color w:val="000000"/>
          <w:kern w:val="1"/>
          <w:sz w:val="18"/>
          <w:szCs w:val="18"/>
          <w:lang w:val="en-US"/>
        </w:rPr>
        <w:t xml:space="preserve">assessment for insulin resistance; TC – total cholesterol; HDL-C – high-density lipoprotein cholesterol; LDL-C – low-density lipoprotein cholesterol; Non-HDL – non-high-density lipoprotein cholesterol; TG – triglycerides; TG/HDL-C – triglycerides to HDL-C ratio; TG/G – triglycerides to glucose ratio; VAI – visceral adiposity index; LAP – lipid accumulation product; </w:t>
      </w:r>
      <w:r w:rsidR="004809AB">
        <w:rPr>
          <w:rFonts w:ascii="Times New Roman" w:hAnsi="Times New Roman" w:cs="Times New Roman"/>
          <w:color w:val="000000"/>
          <w:kern w:val="1"/>
          <w:sz w:val="18"/>
          <w:szCs w:val="18"/>
          <w:lang w:val="en-US"/>
        </w:rPr>
        <w:br/>
      </w:r>
      <w:r w:rsidR="00822E84" w:rsidRPr="00822E84">
        <w:rPr>
          <w:rFonts w:ascii="Times New Roman" w:hAnsi="Times New Roman" w:cs="Times New Roman"/>
          <w:color w:val="000000"/>
          <w:kern w:val="1"/>
          <w:sz w:val="18"/>
          <w:szCs w:val="18"/>
          <w:lang w:val="en-US"/>
        </w:rPr>
        <w:t>CMI – cardiometabolic index.</w:t>
      </w:r>
      <w:r w:rsidR="004809AB">
        <w:rPr>
          <w:rFonts w:ascii="Times New Roman" w:hAnsi="Times New Roman" w:cs="Times New Roman"/>
          <w:color w:val="000000"/>
          <w:kern w:val="1"/>
          <w:sz w:val="18"/>
          <w:szCs w:val="18"/>
          <w:lang w:val="en-US"/>
        </w:rPr>
        <w:t xml:space="preserve"> </w:t>
      </w:r>
      <w:r w:rsidRPr="00647DF8">
        <w:rPr>
          <w:rFonts w:ascii="Times New Roman" w:hAnsi="Times New Roman" w:cs="Times New Roman"/>
          <w:sz w:val="18"/>
          <w:szCs w:val="18"/>
          <w:lang w:val="en-US"/>
        </w:rPr>
        <w:t>* p &lt; 0.0</w:t>
      </w:r>
      <w:r>
        <w:rPr>
          <w:rFonts w:ascii="Times New Roman" w:hAnsi="Times New Roman" w:cs="Times New Roman"/>
          <w:sz w:val="18"/>
          <w:szCs w:val="18"/>
          <w:lang w:val="en-US"/>
        </w:rPr>
        <w:t>001.</w:t>
      </w:r>
    </w:p>
    <w:sectPr w:rsidR="00636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UwMjc3MbMwMTc2sTBS0lEKTi0uzszPAykwrQUArwq8tiwAAAA="/>
  </w:docVars>
  <w:rsids>
    <w:rsidRoot w:val="002A2DC0"/>
    <w:rsid w:val="000050E2"/>
    <w:rsid w:val="000061AA"/>
    <w:rsid w:val="00094771"/>
    <w:rsid w:val="001B6F31"/>
    <w:rsid w:val="001F70D3"/>
    <w:rsid w:val="00215E0B"/>
    <w:rsid w:val="002A2DC0"/>
    <w:rsid w:val="00364A3F"/>
    <w:rsid w:val="00376EFB"/>
    <w:rsid w:val="004809AB"/>
    <w:rsid w:val="005A2003"/>
    <w:rsid w:val="00636CF2"/>
    <w:rsid w:val="006D0A43"/>
    <w:rsid w:val="007358BB"/>
    <w:rsid w:val="00822E84"/>
    <w:rsid w:val="00901362"/>
    <w:rsid w:val="0090595B"/>
    <w:rsid w:val="00973977"/>
    <w:rsid w:val="009B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705BED"/>
  <w15:chartTrackingRefBased/>
  <w15:docId w15:val="{8D4AC1CA-5FFB-43B3-9319-8F09D22CB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6F31"/>
  </w:style>
  <w:style w:type="paragraph" w:styleId="Nagwek1">
    <w:name w:val="heading 1"/>
    <w:basedOn w:val="Normalny"/>
    <w:next w:val="Normalny"/>
    <w:link w:val="Nagwek1Znak"/>
    <w:uiPriority w:val="9"/>
    <w:qFormat/>
    <w:rsid w:val="002A2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2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2D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2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2D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2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2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2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2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2D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2D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2D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2D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2D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2D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2D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2D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2D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2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2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2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2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2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2D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2D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2D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2D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2D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2DC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094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ola\Desktop\Waldek%20ryciny.ods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D:\WALDEK\Waldek%20ryciny.ods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ola\Desktop\Waldek%20ryciny.ods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wiola\Desktop\Waldek%20ryciny.od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8091389833969696E-2"/>
          <c:y val="2.8481256876667947E-2"/>
          <c:w val="0.88278259468858844"/>
          <c:h val="0.702009953115548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Arkusz1!$W$5</c:f>
              <c:strCache>
                <c:ptCount val="1"/>
                <c:pt idx="0">
                  <c:v>NW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Arkusz1!$W$10:$W$12</c:f>
                <c:numCache>
                  <c:formatCode>General</c:formatCode>
                  <c:ptCount val="3"/>
                  <c:pt idx="0">
                    <c:v>8</c:v>
                  </c:pt>
                  <c:pt idx="1">
                    <c:v>12.5</c:v>
                  </c:pt>
                  <c:pt idx="2">
                    <c:v>6.5</c:v>
                  </c:pt>
                </c:numCache>
              </c:numRef>
            </c:plus>
            <c:minus>
              <c:numRef>
                <c:f>Arkusz1!$W$15:$W$17</c:f>
                <c:numCache>
                  <c:formatCode>General</c:formatCode>
                  <c:ptCount val="3"/>
                  <c:pt idx="0">
                    <c:v>11</c:v>
                  </c:pt>
                  <c:pt idx="1">
                    <c:v>5</c:v>
                  </c:pt>
                  <c:pt idx="2">
                    <c:v>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Arkusz1!$V$6:$V$8</c:f>
              <c:strCache>
                <c:ptCount val="3"/>
                <c:pt idx="0">
                  <c:v>HR (bpm)</c:v>
                </c:pt>
                <c:pt idx="1">
                  <c:v>SBP (mmHg)</c:v>
                </c:pt>
                <c:pt idx="2">
                  <c:v>DBP (mmHg)</c:v>
                </c:pt>
              </c:strCache>
            </c:strRef>
          </c:cat>
          <c:val>
            <c:numRef>
              <c:f>Arkusz1!$W$6:$W$8</c:f>
              <c:numCache>
                <c:formatCode>General</c:formatCode>
                <c:ptCount val="3"/>
                <c:pt idx="0">
                  <c:v>79</c:v>
                </c:pt>
                <c:pt idx="1">
                  <c:v>109</c:v>
                </c:pt>
                <c:pt idx="2">
                  <c:v>74.5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4B-4CB7-A6B1-32CF352EBAFE}"/>
            </c:ext>
          </c:extLst>
        </c:ser>
        <c:ser>
          <c:idx val="1"/>
          <c:order val="1"/>
          <c:tx>
            <c:strRef>
              <c:f>Arkusz1!$X$5</c:f>
              <c:strCache>
                <c:ptCount val="1"/>
                <c:pt idx="0">
                  <c:v>NWO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Arkusz1!$X$10:$X$12</c:f>
                <c:numCache>
                  <c:formatCode>General</c:formatCode>
                  <c:ptCount val="3"/>
                  <c:pt idx="0">
                    <c:v>12.5</c:v>
                  </c:pt>
                  <c:pt idx="1">
                    <c:v>10</c:v>
                  </c:pt>
                  <c:pt idx="2">
                    <c:v>9</c:v>
                  </c:pt>
                </c:numCache>
              </c:numRef>
            </c:plus>
            <c:minus>
              <c:numRef>
                <c:f>Arkusz1!$X$15:$X$17</c:f>
                <c:numCache>
                  <c:formatCode>General</c:formatCode>
                  <c:ptCount val="3"/>
                  <c:pt idx="0">
                    <c:v>9.5</c:v>
                  </c:pt>
                  <c:pt idx="1">
                    <c:v>6</c:v>
                  </c:pt>
                  <c:pt idx="2">
                    <c:v>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Arkusz1!$V$6:$V$8</c:f>
              <c:strCache>
                <c:ptCount val="3"/>
                <c:pt idx="0">
                  <c:v>HR (bpm)</c:v>
                </c:pt>
                <c:pt idx="1">
                  <c:v>SBP (mmHg)</c:v>
                </c:pt>
                <c:pt idx="2">
                  <c:v>DBP (mmHg)</c:v>
                </c:pt>
              </c:strCache>
            </c:strRef>
          </c:cat>
          <c:val>
            <c:numRef>
              <c:f>Arkusz1!$X$6:$X$8</c:f>
              <c:numCache>
                <c:formatCode>General</c:formatCode>
                <c:ptCount val="3"/>
                <c:pt idx="0">
                  <c:v>84</c:v>
                </c:pt>
                <c:pt idx="1">
                  <c:v>113</c:v>
                </c:pt>
                <c:pt idx="2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4B-4CB7-A6B1-32CF352EBA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9"/>
        <c:overlap val="3"/>
        <c:axId val="1791837711"/>
        <c:axId val="1791842511"/>
      </c:barChart>
      <c:catAx>
        <c:axId val="17918377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Aptos Narrow" panose="020B0004020202020204" pitchFamily="34" charset="0"/>
                <a:ea typeface="+mn-ea"/>
                <a:cs typeface="+mn-cs"/>
              </a:defRPr>
            </a:pPr>
            <a:endParaRPr lang="pl-PL"/>
          </a:p>
        </c:txPr>
        <c:crossAx val="1791842511"/>
        <c:crosses val="autoZero"/>
        <c:auto val="1"/>
        <c:lblAlgn val="ctr"/>
        <c:lblOffset val="100"/>
        <c:noMultiLvlLbl val="0"/>
      </c:catAx>
      <c:valAx>
        <c:axId val="1791842511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918377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Aptos Narrow" panose="020B0004020202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xMode val="edge"/>
          <c:yMode val="edge"/>
          <c:x val="0"/>
          <c:y val="2.3349193625486288E-2"/>
          <c:w val="0.95528456357998126"/>
          <c:h val="0.840839394318240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Arkusz1!$X$32</c:f>
              <c:strCache>
                <c:ptCount val="1"/>
                <c:pt idx="0">
                  <c:v>NW</c:v>
                </c:pt>
              </c:strCache>
            </c:strRef>
          </c:tx>
          <c:spPr>
            <a:solidFill>
              <a:srgbClr val="D9D9D9"/>
            </a:solidFill>
            <a:ln w="9528">
              <a:solidFill>
                <a:srgbClr val="D1D1D1"/>
              </a:solidFill>
              <a:prstDash val="solid"/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Arkusz1!$X$38:$X$40</c:f>
                <c:numCache>
                  <c:formatCode>General</c:formatCode>
                  <c:ptCount val="3"/>
                  <c:pt idx="0">
                    <c:v>0.7</c:v>
                  </c:pt>
                  <c:pt idx="1">
                    <c:v>3.1</c:v>
                  </c:pt>
                  <c:pt idx="2">
                    <c:v>0.7</c:v>
                  </c:pt>
                </c:numCache>
              </c:numRef>
            </c:plus>
            <c:minus>
              <c:numRef>
                <c:f>Arkusz1!$X$42:$X$44</c:f>
                <c:numCache>
                  <c:formatCode>General</c:formatCode>
                  <c:ptCount val="3"/>
                  <c:pt idx="0">
                    <c:v>0.85</c:v>
                  </c:pt>
                  <c:pt idx="1">
                    <c:v>3</c:v>
                  </c:pt>
                  <c:pt idx="2">
                    <c:v>0.5</c:v>
                  </c:pt>
                </c:numCache>
              </c:numRef>
            </c:minus>
          </c:errBars>
          <c:cat>
            <c:strRef>
              <c:f>Arkusz1!$V$33:$W$35</c:f>
              <c:strCache>
                <c:ptCount val="3"/>
                <c:pt idx="0">
                  <c:v>Glucose (mM)</c:v>
                </c:pt>
                <c:pt idx="1">
                  <c:v>Insulin (μlU/mL)</c:v>
                </c:pt>
                <c:pt idx="2">
                  <c:v>HOMA-IR</c:v>
                </c:pt>
              </c:strCache>
            </c:strRef>
          </c:cat>
          <c:val>
            <c:numRef>
              <c:f>Arkusz1!$X$33:$X$35</c:f>
              <c:numCache>
                <c:formatCode>General</c:formatCode>
                <c:ptCount val="3"/>
                <c:pt idx="0">
                  <c:v>3.95</c:v>
                </c:pt>
                <c:pt idx="1">
                  <c:v>10.4</c:v>
                </c:pt>
                <c:pt idx="2">
                  <c:v>1.68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FB-4770-A364-F26025E48D99}"/>
            </c:ext>
          </c:extLst>
        </c:ser>
        <c:ser>
          <c:idx val="1"/>
          <c:order val="1"/>
          <c:tx>
            <c:strRef>
              <c:f>Arkusz1!$Y$32</c:f>
              <c:strCache>
                <c:ptCount val="1"/>
                <c:pt idx="0">
                  <c:v>NWO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9FB-4770-A364-F26025E48D99}"/>
              </c:ext>
            </c:extLst>
          </c:dPt>
          <c:errBars>
            <c:errBarType val="both"/>
            <c:errValType val="cust"/>
            <c:noEndCap val="0"/>
            <c:plus>
              <c:numRef>
                <c:f>Arkusz1!$Y$38:$Y$40</c:f>
                <c:numCache>
                  <c:formatCode>General</c:formatCode>
                  <c:ptCount val="3"/>
                  <c:pt idx="0">
                    <c:v>0.7</c:v>
                  </c:pt>
                  <c:pt idx="1">
                    <c:v>5.41</c:v>
                  </c:pt>
                  <c:pt idx="2">
                    <c:v>1.41</c:v>
                  </c:pt>
                </c:numCache>
              </c:numRef>
            </c:plus>
            <c:minus>
              <c:numRef>
                <c:f>Arkusz1!$Y$42:$Y$44</c:f>
                <c:numCache>
                  <c:formatCode>General</c:formatCode>
                  <c:ptCount val="3"/>
                  <c:pt idx="0">
                    <c:v>0.8</c:v>
                  </c:pt>
                  <c:pt idx="1">
                    <c:v>4.0999999999999996</c:v>
                  </c:pt>
                  <c:pt idx="2">
                    <c:v>0.7</c:v>
                  </c:pt>
                </c:numCache>
              </c:numRef>
            </c:minus>
          </c:errBars>
          <c:cat>
            <c:strRef>
              <c:f>Arkusz1!$V$33:$W$35</c:f>
              <c:strCache>
                <c:ptCount val="3"/>
                <c:pt idx="0">
                  <c:v>Glucose (mM)</c:v>
                </c:pt>
                <c:pt idx="1">
                  <c:v>Insulin (μlU/mL)</c:v>
                </c:pt>
                <c:pt idx="2">
                  <c:v>HOMA-IR</c:v>
                </c:pt>
              </c:strCache>
            </c:strRef>
          </c:cat>
          <c:val>
            <c:numRef>
              <c:f>Arkusz1!$Y$33:$Y$35</c:f>
              <c:numCache>
                <c:formatCode>General</c:formatCode>
                <c:ptCount val="3"/>
                <c:pt idx="0" formatCode="0.00">
                  <c:v>4.4000000000000004</c:v>
                </c:pt>
                <c:pt idx="1">
                  <c:v>13.4</c:v>
                </c:pt>
                <c:pt idx="2">
                  <c:v>2.2599999999999998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9FB-4770-A364-F26025E48D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9"/>
        <c:overlap val="3"/>
        <c:axId val="855213728"/>
        <c:axId val="855213248"/>
      </c:barChart>
      <c:valAx>
        <c:axId val="85521324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in"/>
        <c:minorTickMark val="none"/>
        <c:tickLblPos val="nextTo"/>
        <c:spPr>
          <a:noFill/>
          <a:ln w="9528" cap="flat">
            <a:solidFill>
              <a:srgbClr val="000000"/>
            </a:solidFill>
            <a:prstDash val="solid"/>
            <a:round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sz="1000" b="1" i="0" u="none" strike="noStrike" kern="1200" baseline="0">
                <a:solidFill>
                  <a:srgbClr val="000000"/>
                </a:solidFill>
                <a:latin typeface="Aptos Narrow"/>
              </a:defRPr>
            </a:pPr>
            <a:endParaRPr lang="pl-PL"/>
          </a:p>
        </c:txPr>
        <c:crossAx val="855213728"/>
        <c:crosses val="autoZero"/>
        <c:crossBetween val="between"/>
      </c:valAx>
      <c:catAx>
        <c:axId val="855213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8" cap="flat">
            <a:solidFill>
              <a:srgbClr val="000000"/>
            </a:solidFill>
            <a:prstDash val="solid"/>
            <a:round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sz="1000" b="1" i="0" u="none" strike="noStrike" kern="1200" baseline="0">
                <a:solidFill>
                  <a:srgbClr val="000000"/>
                </a:solidFill>
                <a:latin typeface="Aptos Narrow"/>
              </a:defRPr>
            </a:pPr>
            <a:endParaRPr lang="pl-PL"/>
          </a:p>
        </c:txPr>
        <c:crossAx val="855213248"/>
        <c:crossesAt val="0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sz="1000" b="1" i="0" u="none" strike="noStrike" kern="1200" baseline="0">
              <a:solidFill>
                <a:srgbClr val="000000"/>
              </a:solidFill>
              <a:latin typeface="Aptos Narrow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8" cap="flat">
      <a:noFill/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pl-PL" sz="1000" b="0" i="0" u="none" strike="noStrike" kern="1200" baseline="0">
          <a:solidFill>
            <a:srgbClr val="000000"/>
          </a:solidFill>
          <a:latin typeface="Aptos Narrow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080927384076991E-2"/>
          <c:y val="0.16708333333333336"/>
          <c:w val="0.8964746281714786"/>
          <c:h val="0.61535469524642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Arkusz1!$W$50</c:f>
              <c:strCache>
                <c:ptCount val="1"/>
                <c:pt idx="0">
                  <c:v>NW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Arkusz1!$W$58:$W$62</c:f>
                <c:numCache>
                  <c:formatCode>General</c:formatCode>
                  <c:ptCount val="5"/>
                  <c:pt idx="0">
                    <c:v>1.3</c:v>
                  </c:pt>
                  <c:pt idx="1">
                    <c:v>0.3</c:v>
                  </c:pt>
                  <c:pt idx="2">
                    <c:v>0.7</c:v>
                  </c:pt>
                  <c:pt idx="3">
                    <c:v>0.85</c:v>
                  </c:pt>
                  <c:pt idx="4">
                    <c:v>0.25</c:v>
                  </c:pt>
                </c:numCache>
              </c:numRef>
            </c:plus>
            <c:minus>
              <c:numRef>
                <c:f>Arkusz1!$W$64:$W$68</c:f>
                <c:numCache>
                  <c:formatCode>General</c:formatCode>
                  <c:ptCount val="5"/>
                  <c:pt idx="0">
                    <c:v>0.4</c:v>
                  </c:pt>
                  <c:pt idx="1">
                    <c:v>0.22</c:v>
                  </c:pt>
                  <c:pt idx="2">
                    <c:v>0.35</c:v>
                  </c:pt>
                  <c:pt idx="3">
                    <c:v>0.35</c:v>
                  </c:pt>
                  <c:pt idx="4">
                    <c:v>0.1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Arkusz1!$V$51:$V$55</c:f>
              <c:strCache>
                <c:ptCount val="5"/>
                <c:pt idx="0">
                  <c:v>TC (mM)</c:v>
                </c:pt>
                <c:pt idx="1">
                  <c:v>HDL-C (mM)</c:v>
                </c:pt>
                <c:pt idx="2">
                  <c:v>LDL-C (mM)</c:v>
                </c:pt>
                <c:pt idx="3">
                  <c:v>non-HDL (mM)</c:v>
                </c:pt>
                <c:pt idx="4">
                  <c:v>TG (mM)</c:v>
                </c:pt>
              </c:strCache>
            </c:strRef>
          </c:cat>
          <c:val>
            <c:numRef>
              <c:f>Arkusz1!$W$51:$W$55</c:f>
              <c:numCache>
                <c:formatCode>General</c:formatCode>
                <c:ptCount val="5"/>
                <c:pt idx="0">
                  <c:v>2.8</c:v>
                </c:pt>
                <c:pt idx="1">
                  <c:v>1.2</c:v>
                </c:pt>
                <c:pt idx="2">
                  <c:v>1.6</c:v>
                </c:pt>
                <c:pt idx="3">
                  <c:v>1.7</c:v>
                </c:pt>
                <c:pt idx="4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B6-460E-99D6-8304481C8FAE}"/>
            </c:ext>
          </c:extLst>
        </c:ser>
        <c:ser>
          <c:idx val="1"/>
          <c:order val="1"/>
          <c:tx>
            <c:strRef>
              <c:f>Arkusz1!$X$50</c:f>
              <c:strCache>
                <c:ptCount val="1"/>
                <c:pt idx="0">
                  <c:v>NWO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Arkusz1!$X$58:$X$62</c:f>
                <c:numCache>
                  <c:formatCode>General</c:formatCode>
                  <c:ptCount val="5"/>
                  <c:pt idx="0">
                    <c:v>1</c:v>
                  </c:pt>
                  <c:pt idx="1">
                    <c:v>0.1</c:v>
                  </c:pt>
                  <c:pt idx="2">
                    <c:v>0.55000000000000004</c:v>
                  </c:pt>
                  <c:pt idx="3">
                    <c:v>0.35</c:v>
                  </c:pt>
                  <c:pt idx="4">
                    <c:v>0.2</c:v>
                  </c:pt>
                </c:numCache>
              </c:numRef>
            </c:plus>
            <c:minus>
              <c:numRef>
                <c:f>Arkusz1!$X$64:$X$68</c:f>
                <c:numCache>
                  <c:formatCode>General</c:formatCode>
                  <c:ptCount val="5"/>
                  <c:pt idx="0">
                    <c:v>0.6</c:v>
                  </c:pt>
                  <c:pt idx="1">
                    <c:v>0.2</c:v>
                  </c:pt>
                  <c:pt idx="2">
                    <c:v>0.6</c:v>
                  </c:pt>
                  <c:pt idx="3">
                    <c:v>0.85</c:v>
                  </c:pt>
                  <c:pt idx="4">
                    <c:v>0.2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Arkusz1!$V$51:$V$55</c:f>
              <c:strCache>
                <c:ptCount val="5"/>
                <c:pt idx="0">
                  <c:v>TC (mM)</c:v>
                </c:pt>
                <c:pt idx="1">
                  <c:v>HDL-C (mM)</c:v>
                </c:pt>
                <c:pt idx="2">
                  <c:v>LDL-C (mM)</c:v>
                </c:pt>
                <c:pt idx="3">
                  <c:v>non-HDL (mM)</c:v>
                </c:pt>
                <c:pt idx="4">
                  <c:v>TG (mM)</c:v>
                </c:pt>
              </c:strCache>
            </c:strRef>
          </c:cat>
          <c:val>
            <c:numRef>
              <c:f>Arkusz1!$X$51:$X$55</c:f>
              <c:numCache>
                <c:formatCode>General</c:formatCode>
                <c:ptCount val="5"/>
                <c:pt idx="0">
                  <c:v>3.4</c:v>
                </c:pt>
                <c:pt idx="1">
                  <c:v>1.1000000000000001</c:v>
                </c:pt>
                <c:pt idx="2">
                  <c:v>2.1</c:v>
                </c:pt>
                <c:pt idx="3">
                  <c:v>2.5</c:v>
                </c:pt>
                <c:pt idx="4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B6-460E-99D6-8304481C8F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9"/>
        <c:overlap val="3"/>
        <c:axId val="2129309519"/>
        <c:axId val="2129329679"/>
      </c:barChart>
      <c:catAx>
        <c:axId val="21293095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29329679"/>
        <c:crosses val="autoZero"/>
        <c:auto val="1"/>
        <c:lblAlgn val="ctr"/>
        <c:lblOffset val="100"/>
        <c:noMultiLvlLbl val="0"/>
      </c:catAx>
      <c:valAx>
        <c:axId val="2129329679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293095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Arkusz1!$W$70</c:f>
              <c:strCache>
                <c:ptCount val="1"/>
                <c:pt idx="0">
                  <c:v>NW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Arkusz1!$W$77:$W$81</c:f>
                <c:numCache>
                  <c:formatCode>General</c:formatCode>
                  <c:ptCount val="5"/>
                  <c:pt idx="0">
                    <c:v>0.15</c:v>
                  </c:pt>
                  <c:pt idx="1">
                    <c:v>0.22</c:v>
                  </c:pt>
                  <c:pt idx="2">
                    <c:v>0.28000000000000003</c:v>
                  </c:pt>
                  <c:pt idx="3">
                    <c:v>4</c:v>
                  </c:pt>
                  <c:pt idx="4">
                    <c:v>6.12</c:v>
                  </c:pt>
                </c:numCache>
              </c:numRef>
            </c:plus>
            <c:minus>
              <c:numRef>
                <c:f>Arkusz1!$W$83:$W$87</c:f>
                <c:numCache>
                  <c:formatCode>General</c:formatCode>
                  <c:ptCount val="5"/>
                  <c:pt idx="0">
                    <c:v>0.15</c:v>
                  </c:pt>
                  <c:pt idx="1">
                    <c:v>0.2</c:v>
                  </c:pt>
                  <c:pt idx="2">
                    <c:v>0.24</c:v>
                  </c:pt>
                  <c:pt idx="3">
                    <c:v>1.5</c:v>
                  </c:pt>
                  <c:pt idx="4">
                    <c:v>5.8</c:v>
                  </c:pt>
                </c:numCache>
              </c:numRef>
            </c:minus>
            <c:spPr>
              <a:noFill/>
              <a:ln w="9528" cap="flat">
                <a:solidFill>
                  <a:srgbClr val="000000"/>
                </a:solidFill>
                <a:prstDash val="solid"/>
                <a:round/>
              </a:ln>
            </c:spPr>
          </c:errBars>
          <c:cat>
            <c:strRef>
              <c:f>Arkusz1!$V$71:$V$75</c:f>
              <c:strCache>
                <c:ptCount val="5"/>
                <c:pt idx="0">
                  <c:v>TG/HDL-C </c:v>
                </c:pt>
                <c:pt idx="1">
                  <c:v>TG/G</c:v>
                </c:pt>
                <c:pt idx="2">
                  <c:v>VAI</c:v>
                </c:pt>
                <c:pt idx="3">
                  <c:v>LAP</c:v>
                </c:pt>
                <c:pt idx="4">
                  <c:v>CMI</c:v>
                </c:pt>
              </c:strCache>
            </c:strRef>
          </c:cat>
          <c:val>
            <c:numRef>
              <c:f>Arkusz1!$W$71:$W$75</c:f>
              <c:numCache>
                <c:formatCode>General</c:formatCode>
                <c:ptCount val="5"/>
                <c:pt idx="0">
                  <c:v>0.54</c:v>
                </c:pt>
                <c:pt idx="1">
                  <c:v>3.27</c:v>
                </c:pt>
                <c:pt idx="2">
                  <c:v>0.91</c:v>
                </c:pt>
                <c:pt idx="3">
                  <c:v>6</c:v>
                </c:pt>
                <c:pt idx="4">
                  <c:v>22.2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77-4A54-923C-979FF26C54D7}"/>
            </c:ext>
          </c:extLst>
        </c:ser>
        <c:ser>
          <c:idx val="1"/>
          <c:order val="1"/>
          <c:tx>
            <c:strRef>
              <c:f>Arkusz1!$X$70</c:f>
              <c:strCache>
                <c:ptCount val="1"/>
                <c:pt idx="0">
                  <c:v>NWO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Arkusz1!$X$77:$X$81</c:f>
                <c:numCache>
                  <c:formatCode>General</c:formatCode>
                  <c:ptCount val="5"/>
                  <c:pt idx="0">
                    <c:v>0.2</c:v>
                  </c:pt>
                  <c:pt idx="1">
                    <c:v>0.14000000000000001</c:v>
                  </c:pt>
                  <c:pt idx="2">
                    <c:v>0.39</c:v>
                  </c:pt>
                  <c:pt idx="3">
                    <c:v>5.0999999999999996</c:v>
                  </c:pt>
                  <c:pt idx="4">
                    <c:v>0.8</c:v>
                  </c:pt>
                </c:numCache>
              </c:numRef>
            </c:plus>
            <c:minus>
              <c:numRef>
                <c:f>Arkusz1!$X$83:$X$87</c:f>
                <c:numCache>
                  <c:formatCode>General</c:formatCode>
                  <c:ptCount val="5"/>
                  <c:pt idx="0">
                    <c:v>0.12</c:v>
                  </c:pt>
                  <c:pt idx="1">
                    <c:v>0.24</c:v>
                  </c:pt>
                  <c:pt idx="2">
                    <c:v>0.25</c:v>
                  </c:pt>
                  <c:pt idx="3">
                    <c:v>3.5</c:v>
                  </c:pt>
                  <c:pt idx="4">
                    <c:v>7</c:v>
                  </c:pt>
                </c:numCache>
              </c:numRef>
            </c:minus>
            <c:spPr>
              <a:noFill/>
              <a:ln w="9528" cap="flat">
                <a:solidFill>
                  <a:srgbClr val="595959"/>
                </a:solidFill>
                <a:prstDash val="solid"/>
                <a:round/>
              </a:ln>
            </c:spPr>
          </c:errBars>
          <c:cat>
            <c:strRef>
              <c:f>Arkusz1!$V$71:$V$75</c:f>
              <c:strCache>
                <c:ptCount val="5"/>
                <c:pt idx="0">
                  <c:v>TG/HDL-C </c:v>
                </c:pt>
                <c:pt idx="1">
                  <c:v>TG/G</c:v>
                </c:pt>
                <c:pt idx="2">
                  <c:v>VAI</c:v>
                </c:pt>
                <c:pt idx="3">
                  <c:v>LAP</c:v>
                </c:pt>
                <c:pt idx="4">
                  <c:v>CMI</c:v>
                </c:pt>
              </c:strCache>
            </c:strRef>
          </c:cat>
          <c:val>
            <c:numRef>
              <c:f>Arkusz1!$X$71:$X$75</c:f>
              <c:numCache>
                <c:formatCode>General</c:formatCode>
                <c:ptCount val="5"/>
                <c:pt idx="0">
                  <c:v>0.6</c:v>
                </c:pt>
                <c:pt idx="1">
                  <c:v>3.43</c:v>
                </c:pt>
                <c:pt idx="2">
                  <c:v>0.98</c:v>
                </c:pt>
                <c:pt idx="3">
                  <c:v>10.3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77-4A54-923C-979FF26C54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9"/>
        <c:overlap val="3"/>
        <c:axId val="300748016"/>
        <c:axId val="300745616"/>
      </c:barChart>
      <c:valAx>
        <c:axId val="300745616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in"/>
        <c:minorTickMark val="none"/>
        <c:tickLblPos val="nextTo"/>
        <c:spPr>
          <a:noFill/>
          <a:ln w="9528">
            <a:solidFill>
              <a:srgbClr val="000000"/>
            </a:solidFill>
            <a:prstDash val="solid"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sz="1000" b="1" i="0" u="none" strike="noStrike" kern="1200" baseline="0">
                <a:solidFill>
                  <a:srgbClr val="000000"/>
                </a:solidFill>
                <a:latin typeface="Aptos Narrow"/>
              </a:defRPr>
            </a:pPr>
            <a:endParaRPr lang="pl-PL"/>
          </a:p>
        </c:txPr>
        <c:crossAx val="300748016"/>
        <c:crosses val="autoZero"/>
        <c:crossBetween val="between"/>
      </c:valAx>
      <c:catAx>
        <c:axId val="300748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8" cap="flat">
            <a:solidFill>
              <a:srgbClr val="000000"/>
            </a:solidFill>
            <a:prstDash val="solid"/>
            <a:round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sz="1000" b="1" i="0" u="none" strike="noStrike" kern="1200" baseline="0">
                <a:solidFill>
                  <a:srgbClr val="000000"/>
                </a:solidFill>
                <a:latin typeface="Aptos Narrow"/>
              </a:defRPr>
            </a:pPr>
            <a:endParaRPr lang="pl-PL"/>
          </a:p>
        </c:txPr>
        <c:crossAx val="300745616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sz="1000" b="1" i="0" u="none" strike="noStrike" kern="1200" baseline="0">
              <a:solidFill>
                <a:srgbClr val="000000"/>
              </a:solidFill>
              <a:latin typeface="Aptos Narrow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pl-PL" sz="1000" b="0" i="0" u="none" strike="noStrike" kern="1200" baseline="0">
          <a:solidFill>
            <a:srgbClr val="000000"/>
          </a:solidFill>
          <a:latin typeface="Aptos Narrow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0.2276</cdr:x>
      <cdr:y>0.36428</cdr:y>
    </cdr:from>
    <cdr:to>
      <cdr:x>0.32981</cdr:x>
      <cdr:y>0.46553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72DB05A2-7F3B-4814-7E29-59A6284A9117}"/>
            </a:ext>
          </a:extLst>
        </cdr:cNvPr>
        <cdr:cNvSpPr txBox="1"/>
      </cdr:nvSpPr>
      <cdr:spPr>
        <a:xfrm xmlns:a="http://schemas.openxmlformats.org/drawingml/2006/main">
          <a:off x="1034289" y="991269"/>
          <a:ext cx="464441" cy="2755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 b="1"/>
            <a:t>P=0.01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0.20912</cdr:x>
      <cdr:y>0.54798</cdr:y>
    </cdr:from>
    <cdr:to>
      <cdr:x>0.31385</cdr:x>
      <cdr:y>0.70859</cdr:y>
    </cdr:to>
    <cdr:sp macro="" textlink="">
      <cdr:nvSpPr>
        <cdr:cNvPr id="2" name="pole tekstowe 8">
          <a:extLst xmlns:a="http://schemas.openxmlformats.org/drawingml/2006/main">
            <a:ext uri="{FF2B5EF4-FFF2-40B4-BE49-F238E27FC236}">
              <a16:creationId xmlns:a16="http://schemas.microsoft.com/office/drawing/2014/main" id="{FF05B115-55AA-CFA1-C506-5CB4B90EA562}"/>
            </a:ext>
          </a:extLst>
        </cdr:cNvPr>
        <cdr:cNvSpPr txBox="1"/>
      </cdr:nvSpPr>
      <cdr:spPr>
        <a:xfrm xmlns:a="http://schemas.openxmlformats.org/drawingml/2006/main">
          <a:off x="950254" y="1489996"/>
          <a:ext cx="475900" cy="43672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cap="flat">
          <a:noFill/>
        </a:ln>
      </cdr:spPr>
      <cdr:txBody>
        <a:bodyPr xmlns:a="http://schemas.openxmlformats.org/drawingml/2006/main" vert="horz" wrap="none" lIns="91440" tIns="45720" rIns="91440" bIns="45720" anchor="t" anchorCtr="0" compatLnSpc="0">
          <a:spAutoFit/>
        </a:bodyPr>
        <a:lstStyle xmlns:a="http://schemas.openxmlformats.org/drawingml/2006/main"/>
        <a:p xmlns:a="http://schemas.openxmlformats.org/drawingml/2006/main">
          <a:pPr marL="0" marR="0" lvl="0" indent="0" defTabSz="914400" rtl="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  <a:tabLst/>
            <a:defRPr sz="1800" b="0" i="0" u="none" strike="noStrike" kern="0" cap="none" spc="0" baseline="0">
              <a:solidFill>
                <a:srgbClr val="000000"/>
              </a:solidFill>
              <a:uFillTx/>
            </a:defRPr>
          </a:pPr>
          <a:endParaRPr lang="pl-PL" sz="1400" b="1" i="0" u="none" strike="noStrike" kern="0" cap="none" spc="0" baseline="0">
            <a:solidFill>
              <a:srgbClr val="000000"/>
            </a:solidFill>
            <a:uFillTx/>
            <a:latin typeface="Aptos Narrow"/>
          </a:endParaRPr>
        </a:p>
        <a:p xmlns:a="http://schemas.openxmlformats.org/drawingml/2006/main">
          <a:pPr marL="0" marR="0" lvl="0" indent="0" defTabSz="914400" rtl="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  <a:tabLst/>
            <a:defRPr sz="1800" b="0" i="0" u="none" strike="noStrike" kern="0" cap="none" spc="0" baseline="0">
              <a:solidFill>
                <a:srgbClr val="000000"/>
              </a:solidFill>
              <a:uFillTx/>
            </a:defRPr>
          </a:pPr>
          <a:r>
            <a:rPr lang="pl-PL" sz="800" b="1" i="0" u="none" strike="noStrike" kern="0" cap="none" spc="0" baseline="0">
              <a:solidFill>
                <a:srgbClr val="000000"/>
              </a:solidFill>
              <a:uFillTx/>
              <a:latin typeface="Aptos Narrow"/>
            </a:rPr>
            <a:t>P=0.03</a:t>
          </a:r>
        </a:p>
      </cdr:txBody>
    </cdr:sp>
  </cdr:relSizeAnchor>
  <cdr:relSizeAnchor xmlns:cdr="http://schemas.openxmlformats.org/drawingml/2006/chartDrawing">
    <cdr:from>
      <cdr:x>0.50363</cdr:x>
      <cdr:y>0.38493</cdr:y>
    </cdr:from>
    <cdr:to>
      <cdr:x>0.66655</cdr:x>
      <cdr:y>0.44644</cdr:y>
    </cdr:to>
    <cdr:sp macro="" textlink="">
      <cdr:nvSpPr>
        <cdr:cNvPr id="3" name="pole tekstowe 8">
          <a:extLst xmlns:a="http://schemas.openxmlformats.org/drawingml/2006/main">
            <a:ext uri="{FF2B5EF4-FFF2-40B4-BE49-F238E27FC236}">
              <a16:creationId xmlns:a16="http://schemas.microsoft.com/office/drawing/2014/main" id="{E1DA90BC-5FB0-3AAD-AD87-8C9F2565A71A}"/>
            </a:ext>
          </a:extLst>
        </cdr:cNvPr>
        <cdr:cNvSpPr txBox="1"/>
      </cdr:nvSpPr>
      <cdr:spPr>
        <a:xfrm xmlns:a="http://schemas.openxmlformats.org/drawingml/2006/main">
          <a:off x="2288652" y="1046850"/>
          <a:ext cx="740356" cy="16729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cap="flat">
          <a:noFill/>
        </a:ln>
      </cdr:spPr>
      <cdr:txBody>
        <a:bodyPr xmlns:a="http://schemas.openxmlformats.org/drawingml/2006/main" vert="horz" wrap="square" lIns="91440" tIns="45720" rIns="91440" bIns="45720" anchor="t" anchorCtr="0" compatLnSpc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rtl="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  <a:tabLst/>
            <a:defRPr sz="1800" b="0" i="0" u="none" strike="noStrike" kern="0" cap="none" spc="0" baseline="0">
              <a:solidFill>
                <a:srgbClr val="000000"/>
              </a:solidFill>
              <a:uFillTx/>
            </a:defRPr>
          </a:pPr>
          <a:endParaRPr lang="pl-PL" sz="800" b="1" i="0" u="none" strike="noStrike" kern="0" cap="none" spc="0" baseline="0">
            <a:solidFill>
              <a:srgbClr val="000000"/>
            </a:solidFill>
            <a:uFillTx/>
            <a:latin typeface="Aptos Narrow"/>
          </a:endParaRPr>
        </a:p>
        <a:p xmlns:a="http://schemas.openxmlformats.org/drawingml/2006/main">
          <a:pPr marL="0" marR="0" lvl="0" indent="0" defTabSz="914400" rtl="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  <a:tabLst/>
            <a:defRPr sz="1800" b="0" i="0" u="none" strike="noStrike" kern="0" cap="none" spc="0" baseline="0">
              <a:solidFill>
                <a:srgbClr val="000000"/>
              </a:solidFill>
              <a:uFillTx/>
            </a:defRPr>
          </a:pPr>
          <a:r>
            <a:rPr lang="pl-PL" sz="800" b="1" i="0" u="none" strike="noStrike" kern="0" cap="none" spc="0" baseline="0">
              <a:solidFill>
                <a:srgbClr val="000000"/>
              </a:solidFill>
              <a:uFillTx/>
              <a:latin typeface="Aptos Narrow"/>
            </a:rPr>
            <a:t>P=0.003</a:t>
          </a:r>
        </a:p>
      </cdr:txBody>
    </cdr:sp>
  </cdr:relSizeAnchor>
  <cdr:relSizeAnchor xmlns:cdr="http://schemas.openxmlformats.org/drawingml/2006/chartDrawing">
    <cdr:from>
      <cdr:x>0.802</cdr:x>
      <cdr:y>0.6228</cdr:y>
    </cdr:from>
    <cdr:to>
      <cdr:x>0.91817</cdr:x>
      <cdr:y>0.78341</cdr:y>
    </cdr:to>
    <cdr:sp macro="" textlink="">
      <cdr:nvSpPr>
        <cdr:cNvPr id="4" name="pole tekstowe 8">
          <a:extLst xmlns:a="http://schemas.openxmlformats.org/drawingml/2006/main">
            <a:ext uri="{FF2B5EF4-FFF2-40B4-BE49-F238E27FC236}">
              <a16:creationId xmlns:a16="http://schemas.microsoft.com/office/drawing/2014/main" id="{8AE08E4A-8386-1A00-DEB4-0EC5EC7D8854}"/>
            </a:ext>
          </a:extLst>
        </cdr:cNvPr>
        <cdr:cNvSpPr txBox="1"/>
      </cdr:nvSpPr>
      <cdr:spPr>
        <a:xfrm xmlns:a="http://schemas.openxmlformats.org/drawingml/2006/main">
          <a:off x="3644336" y="1693437"/>
          <a:ext cx="527901" cy="43672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cap="flat">
          <a:noFill/>
        </a:ln>
      </cdr:spPr>
      <cdr:txBody>
        <a:bodyPr xmlns:a="http://schemas.openxmlformats.org/drawingml/2006/main" vert="horz" wrap="none" lIns="91440" tIns="45720" rIns="91440" bIns="45720" anchor="t" anchorCtr="0" compatLnSpc="0">
          <a:spAutoFit/>
        </a:bodyPr>
        <a:lstStyle xmlns:a="http://schemas.openxmlformats.org/drawingml/2006/main"/>
        <a:p xmlns:a="http://schemas.openxmlformats.org/drawingml/2006/main">
          <a:pPr marL="0" marR="0" lvl="0" indent="0" defTabSz="914400" rtl="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  <a:tabLst/>
            <a:defRPr sz="1800" b="0" i="0" u="none" strike="noStrike" kern="0" cap="none" spc="0" baseline="0">
              <a:solidFill>
                <a:srgbClr val="000000"/>
              </a:solidFill>
              <a:uFillTx/>
            </a:defRPr>
          </a:pPr>
          <a:endParaRPr lang="pl-PL" sz="1400" b="1" i="0" u="none" strike="noStrike" kern="0" cap="none" spc="0" baseline="0">
            <a:solidFill>
              <a:srgbClr val="000000"/>
            </a:solidFill>
            <a:uFillTx/>
            <a:latin typeface="Aptos Narrow"/>
          </a:endParaRPr>
        </a:p>
        <a:p xmlns:a="http://schemas.openxmlformats.org/drawingml/2006/main">
          <a:pPr marL="0" marR="0" lvl="0" indent="0" defTabSz="914400" rtl="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  <a:tabLst/>
            <a:defRPr sz="1800" b="0" i="0" u="none" strike="noStrike" kern="0" cap="none" spc="0" baseline="0">
              <a:solidFill>
                <a:srgbClr val="000000"/>
              </a:solidFill>
              <a:uFillTx/>
            </a:defRPr>
          </a:pPr>
          <a:r>
            <a:rPr lang="pl-PL" sz="800" b="1" i="0" u="none" strike="noStrike" kern="0" cap="none" spc="0" baseline="0">
              <a:solidFill>
                <a:srgbClr val="000000"/>
              </a:solidFill>
              <a:uFillTx/>
              <a:latin typeface="Aptos Narrow"/>
            </a:rPr>
            <a:t>P=0.002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0.14187</cdr:x>
      <cdr:y>0.4383</cdr:y>
    </cdr:from>
    <cdr:to>
      <cdr:x>0.27961</cdr:x>
      <cdr:y>0.53013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:a16="http://schemas.microsoft.com/office/drawing/2014/main" id="{F16DE8AD-9FFA-EEEB-7746-6DF63EB09133}"/>
            </a:ext>
          </a:extLst>
        </cdr:cNvPr>
        <cdr:cNvSpPr txBox="1"/>
      </cdr:nvSpPr>
      <cdr:spPr>
        <a:xfrm xmlns:a="http://schemas.openxmlformats.org/drawingml/2006/main">
          <a:off x="648645" y="1202354"/>
          <a:ext cx="629752" cy="251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 b="1"/>
            <a:t>P=0.02</a:t>
          </a:r>
        </a:p>
      </cdr:txBody>
    </cdr:sp>
  </cdr:relSizeAnchor>
  <cdr:relSizeAnchor xmlns:cdr="http://schemas.openxmlformats.org/drawingml/2006/chartDrawing">
    <cdr:from>
      <cdr:x>0.31931</cdr:x>
      <cdr:y>0.58383</cdr:y>
    </cdr:from>
    <cdr:to>
      <cdr:x>0.41108</cdr:x>
      <cdr:y>0.73515</cdr:y>
    </cdr:to>
    <cdr:sp macro="" textlink="">
      <cdr:nvSpPr>
        <cdr:cNvPr id="4" name="pole tekstowe 8">
          <a:extLst xmlns:a="http://schemas.openxmlformats.org/drawingml/2006/main">
            <a:ext uri="{FF2B5EF4-FFF2-40B4-BE49-F238E27FC236}">
              <a16:creationId xmlns:a16="http://schemas.microsoft.com/office/drawing/2014/main" id="{52447B43-EC08-4C03-DE04-CDE3E76D953C}"/>
            </a:ext>
          </a:extLst>
        </cdr:cNvPr>
        <cdr:cNvSpPr txBox="1"/>
      </cdr:nvSpPr>
      <cdr:spPr>
        <a:xfrm xmlns:a="http://schemas.openxmlformats.org/drawingml/2006/main">
          <a:off x="1648454" y="1684977"/>
          <a:ext cx="473784" cy="436723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 sz="1400" b="1">
            <a:solidFill>
              <a:sysClr val="windowText" lastClr="000000"/>
            </a:solidFill>
          </a:endParaRPr>
        </a:p>
        <a:p xmlns:a="http://schemas.openxmlformats.org/drawingml/2006/main">
          <a:r>
            <a:rPr lang="pl-PL" sz="800" b="1">
              <a:solidFill>
                <a:sysClr val="windowText" lastClr="000000"/>
              </a:solidFill>
            </a:rPr>
            <a:t>P=0.05</a:t>
          </a:r>
        </a:p>
      </cdr:txBody>
    </cdr:sp>
  </cdr:relSizeAnchor>
  <cdr:relSizeAnchor xmlns:cdr="http://schemas.openxmlformats.org/drawingml/2006/chartDrawing">
    <cdr:from>
      <cdr:x>0.49837</cdr:x>
      <cdr:y>0.59244</cdr:y>
    </cdr:from>
    <cdr:to>
      <cdr:x>0.63611</cdr:x>
      <cdr:y>0.68427</cdr:y>
    </cdr:to>
    <cdr:sp macro="" textlink="">
      <cdr:nvSpPr>
        <cdr:cNvPr id="5" name="pole tekstowe 1">
          <a:extLst xmlns:a="http://schemas.openxmlformats.org/drawingml/2006/main">
            <a:ext uri="{FF2B5EF4-FFF2-40B4-BE49-F238E27FC236}">
              <a16:creationId xmlns:a16="http://schemas.microsoft.com/office/drawing/2014/main" id="{430C3E11-2A2E-71B1-24ED-0E8F87E66003}"/>
            </a:ext>
          </a:extLst>
        </cdr:cNvPr>
        <cdr:cNvSpPr txBox="1"/>
      </cdr:nvSpPr>
      <cdr:spPr>
        <a:xfrm xmlns:a="http://schemas.openxmlformats.org/drawingml/2006/main">
          <a:off x="2278547" y="1625180"/>
          <a:ext cx="629752" cy="251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1"/>
            <a:t>P=0.01</a:t>
          </a:r>
        </a:p>
      </cdr:txBody>
    </cdr:sp>
  </cdr:relSizeAnchor>
  <cdr:relSizeAnchor xmlns:cdr="http://schemas.openxmlformats.org/drawingml/2006/chartDrawing">
    <cdr:from>
      <cdr:x>0.6826</cdr:x>
      <cdr:y>0.58096</cdr:y>
    </cdr:from>
    <cdr:to>
      <cdr:x>0.82034</cdr:x>
      <cdr:y>0.67279</cdr:y>
    </cdr:to>
    <cdr:sp macro="" textlink="">
      <cdr:nvSpPr>
        <cdr:cNvPr id="6" name="pole tekstowe 1">
          <a:extLst xmlns:a="http://schemas.openxmlformats.org/drawingml/2006/main">
            <a:ext uri="{FF2B5EF4-FFF2-40B4-BE49-F238E27FC236}">
              <a16:creationId xmlns:a16="http://schemas.microsoft.com/office/drawing/2014/main" id="{430C3E11-2A2E-71B1-24ED-0E8F87E66003}"/>
            </a:ext>
          </a:extLst>
        </cdr:cNvPr>
        <cdr:cNvSpPr txBox="1"/>
      </cdr:nvSpPr>
      <cdr:spPr>
        <a:xfrm xmlns:a="http://schemas.openxmlformats.org/drawingml/2006/main">
          <a:off x="3120841" y="1593693"/>
          <a:ext cx="629752" cy="251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1"/>
            <a:t>P=0.01</a:t>
          </a:r>
        </a:p>
      </cdr:txBody>
    </cdr:sp>
  </cdr:relSizeAnchor>
  <cdr:relSizeAnchor xmlns:cdr="http://schemas.openxmlformats.org/drawingml/2006/chartDrawing">
    <cdr:from>
      <cdr:x>0.85994</cdr:x>
      <cdr:y>0.70231</cdr:y>
    </cdr:from>
    <cdr:to>
      <cdr:x>0.99768</cdr:x>
      <cdr:y>0.77036</cdr:y>
    </cdr:to>
    <cdr:sp macro="" textlink="">
      <cdr:nvSpPr>
        <cdr:cNvPr id="8" name="pole tekstowe 1">
          <a:extLst xmlns:a="http://schemas.openxmlformats.org/drawingml/2006/main">
            <a:ext uri="{FF2B5EF4-FFF2-40B4-BE49-F238E27FC236}">
              <a16:creationId xmlns:a16="http://schemas.microsoft.com/office/drawing/2014/main" id="{430C3E11-2A2E-71B1-24ED-0E8F87E66003}"/>
            </a:ext>
          </a:extLst>
        </cdr:cNvPr>
        <cdr:cNvSpPr txBox="1"/>
      </cdr:nvSpPr>
      <cdr:spPr>
        <a:xfrm xmlns:a="http://schemas.openxmlformats.org/drawingml/2006/main">
          <a:off x="3931647" y="1926571"/>
          <a:ext cx="629752" cy="1866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1"/>
            <a:t>P=0.01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0.32167</cdr:x>
      <cdr:y>0.61887</cdr:y>
    </cdr:from>
    <cdr:to>
      <cdr:x>0.41552</cdr:x>
      <cdr:y>0.77807</cdr:y>
    </cdr:to>
    <cdr:sp macro="" textlink="">
      <cdr:nvSpPr>
        <cdr:cNvPr id="2" name="pole tekstowe 8"/>
        <cdr:cNvSpPr txBox="1"/>
      </cdr:nvSpPr>
      <cdr:spPr>
        <a:xfrm xmlns:a="http://schemas.openxmlformats.org/drawingml/2006/main">
          <a:off x="1623847" y="1697677"/>
          <a:ext cx="473784" cy="436723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 sz="1400" b="1">
            <a:solidFill>
              <a:sysClr val="windowText" lastClr="000000"/>
            </a:solidFill>
          </a:endParaRPr>
        </a:p>
        <a:p xmlns:a="http://schemas.openxmlformats.org/drawingml/2006/main">
          <a:r>
            <a:rPr lang="pl-PL" sz="800" b="1">
              <a:solidFill>
                <a:sysClr val="windowText" lastClr="000000"/>
              </a:solidFill>
            </a:rPr>
            <a:t>P=0.02</a:t>
          </a:r>
        </a:p>
      </cdr:txBody>
    </cdr:sp>
  </cdr:relSizeAnchor>
  <cdr:relSizeAnchor xmlns:cdr="http://schemas.openxmlformats.org/drawingml/2006/chartDrawing">
    <cdr:from>
      <cdr:x>0.67316</cdr:x>
      <cdr:y>0.52165</cdr:y>
    </cdr:from>
    <cdr:to>
      <cdr:x>0.79221</cdr:x>
      <cdr:y>0.68085</cdr:y>
    </cdr:to>
    <cdr:sp macro="" textlink="">
      <cdr:nvSpPr>
        <cdr:cNvPr id="3" name="pole tekstowe 8"/>
        <cdr:cNvSpPr txBox="1"/>
      </cdr:nvSpPr>
      <cdr:spPr>
        <a:xfrm xmlns:a="http://schemas.openxmlformats.org/drawingml/2006/main">
          <a:off x="3398275" y="1430977"/>
          <a:ext cx="600998" cy="436723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 sz="1400" b="1">
            <a:solidFill>
              <a:sysClr val="windowText" lastClr="000000"/>
            </a:solidFill>
          </a:endParaRPr>
        </a:p>
        <a:p xmlns:a="http://schemas.openxmlformats.org/drawingml/2006/main">
          <a:r>
            <a:rPr lang="pl-PL" sz="800" b="1">
              <a:solidFill>
                <a:sysClr val="windowText" lastClr="000000"/>
              </a:solidFill>
            </a:rPr>
            <a:t> P=0.0000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421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Pluta Waldemar</dc:creator>
  <cp:keywords/>
  <dc:description/>
  <cp:lastModifiedBy>Pluta Waldemar</cp:lastModifiedBy>
  <cp:revision>11</cp:revision>
  <dcterms:created xsi:type="dcterms:W3CDTF">2025-07-01T07:15:00Z</dcterms:created>
  <dcterms:modified xsi:type="dcterms:W3CDTF">2025-07-08T07:32:00Z</dcterms:modified>
</cp:coreProperties>
</file>