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924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Supplemental material</w:t>
      </w:r>
    </w:p>
    <w:p w14:paraId="701A5A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Table S1. </w:t>
      </w:r>
      <w:r>
        <w:rPr>
          <w:b/>
          <w:bCs/>
          <w:sz w:val="24"/>
          <w:szCs w:val="24"/>
        </w:rPr>
        <w:t xml:space="preserve">Associations of </w:t>
      </w:r>
      <w:r>
        <w:rPr>
          <w:rFonts w:hint="eastAsia"/>
          <w:b/>
          <w:bCs/>
          <w:sz w:val="24"/>
          <w:szCs w:val="24"/>
        </w:rPr>
        <w:t>calf circumference</w:t>
      </w:r>
      <w:r>
        <w:rPr>
          <w:b/>
          <w:bCs/>
          <w:sz w:val="24"/>
          <w:szCs w:val="24"/>
        </w:rPr>
        <w:t xml:space="preserve"> with all-cause and cardiovascular mortality</w:t>
      </w:r>
      <w:r>
        <w:rPr>
          <w:rFonts w:hint="eastAsia"/>
          <w:b/>
          <w:bCs/>
          <w:sz w:val="24"/>
          <w:szCs w:val="24"/>
        </w:rPr>
        <w:t xml:space="preserve"> with Sex-specific tertiles of CC</w:t>
      </w:r>
    </w:p>
    <w:p w14:paraId="1C7D02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Figure</w:t>
      </w:r>
      <w:r>
        <w:rPr>
          <w:rFonts w:hint="eastAsia"/>
          <w:b/>
          <w:bCs/>
          <w:sz w:val="24"/>
          <w:szCs w:val="24"/>
        </w:rPr>
        <w:t xml:space="preserve"> S</w:t>
      </w:r>
      <w:r>
        <w:rPr>
          <w:rFonts w:hint="eastAsia"/>
          <w:b/>
          <w:bCs/>
          <w:sz w:val="24"/>
          <w:szCs w:val="24"/>
          <w:lang w:val="en-US" w:eastAsia="zh-CN"/>
        </w:rPr>
        <w:t>1</w:t>
      </w:r>
      <w:r>
        <w:rPr>
          <w:rFonts w:hint="eastAsia"/>
          <w:b/>
          <w:bCs/>
          <w:sz w:val="24"/>
          <w:szCs w:val="24"/>
        </w:rPr>
        <w:t xml:space="preserve">. </w:t>
      </w:r>
      <w:r>
        <w:rPr>
          <w:rFonts w:hint="default"/>
          <w:b/>
          <w:bCs/>
          <w:sz w:val="24"/>
          <w:szCs w:val="24"/>
          <w:lang w:val="en-US" w:eastAsia="zh-CN"/>
        </w:rPr>
        <w:t>Log-log survival plots evaluating the proportional hazards assumption for all-cause and cardiovascular mortality</w:t>
      </w:r>
    </w:p>
    <w:p w14:paraId="26DF87A4">
      <w:pPr>
        <w:widowControl/>
        <w:jc w:val="left"/>
        <w:rPr>
          <w:rFonts w:hint="eastAsia"/>
          <w:b/>
          <w:bCs/>
          <w:sz w:val="24"/>
          <w:szCs w:val="24"/>
        </w:rPr>
      </w:pPr>
    </w:p>
    <w:p w14:paraId="4AC24732">
      <w:pPr>
        <w:widowControl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Table S1</w:t>
      </w:r>
      <w:r>
        <w:rPr>
          <w:b/>
          <w:bCs/>
          <w:sz w:val="24"/>
          <w:szCs w:val="24"/>
        </w:rPr>
        <w:t xml:space="preserve">. </w:t>
      </w:r>
    </w:p>
    <w:tbl>
      <w:tblPr>
        <w:tblStyle w:val="4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94"/>
        <w:gridCol w:w="1242"/>
        <w:gridCol w:w="2410"/>
        <w:gridCol w:w="2410"/>
        <w:gridCol w:w="2410"/>
        <w:gridCol w:w="2182"/>
      </w:tblGrid>
      <w:tr w14:paraId="795E2021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tcBorders>
              <w:top w:val="single" w:color="auto" w:sz="12" w:space="0"/>
              <w:bottom w:val="nil"/>
            </w:tcBorders>
            <w:vAlign w:val="center"/>
          </w:tcPr>
          <w:p w14:paraId="46F8C837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bookmarkStart w:id="0" w:name="_Hlk141128758"/>
          </w:p>
        </w:tc>
        <w:tc>
          <w:tcPr>
            <w:tcW w:w="1212" w:type="dxa"/>
            <w:tcBorders>
              <w:top w:val="single" w:color="auto" w:sz="12" w:space="0"/>
              <w:bottom w:val="nil"/>
            </w:tcBorders>
          </w:tcPr>
          <w:p w14:paraId="5125C19E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367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81A9DC">
            <w:pPr>
              <w:widowControl/>
              <w:jc w:val="center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HR (95% CI)</w:t>
            </w:r>
          </w:p>
        </w:tc>
      </w:tr>
      <w:tr w14:paraId="7192D99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vAlign w:val="center"/>
          </w:tcPr>
          <w:p w14:paraId="2B038F92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12" w:type="dxa"/>
          </w:tcPr>
          <w:p w14:paraId="42A79800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No. of Events</w:t>
            </w:r>
          </w:p>
        </w:tc>
        <w:tc>
          <w:tcPr>
            <w:tcW w:w="2380" w:type="dxa"/>
            <w:vAlign w:val="center"/>
          </w:tcPr>
          <w:p w14:paraId="327F082D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Model 1</w:t>
            </w:r>
          </w:p>
        </w:tc>
        <w:tc>
          <w:tcPr>
            <w:tcW w:w="2380" w:type="dxa"/>
            <w:vAlign w:val="center"/>
          </w:tcPr>
          <w:p w14:paraId="4E696776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Model 2</w:t>
            </w:r>
          </w:p>
        </w:tc>
        <w:tc>
          <w:tcPr>
            <w:tcW w:w="2380" w:type="dxa"/>
            <w:vAlign w:val="center"/>
          </w:tcPr>
          <w:p w14:paraId="3CB2EDCA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Model 3</w:t>
            </w:r>
          </w:p>
        </w:tc>
        <w:tc>
          <w:tcPr>
            <w:tcW w:w="2137" w:type="dxa"/>
          </w:tcPr>
          <w:p w14:paraId="375922A5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Model 4</w:t>
            </w:r>
          </w:p>
        </w:tc>
      </w:tr>
      <w:tr w14:paraId="574BF567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tcBorders>
              <w:top w:val="single" w:color="auto" w:sz="12" w:space="0"/>
              <w:bottom w:val="nil"/>
            </w:tcBorders>
            <w:vAlign w:val="center"/>
          </w:tcPr>
          <w:p w14:paraId="29B3A61E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All-cause mortality</w:t>
            </w:r>
          </w:p>
        </w:tc>
        <w:tc>
          <w:tcPr>
            <w:tcW w:w="1212" w:type="dxa"/>
            <w:tcBorders>
              <w:top w:val="single" w:color="auto" w:sz="12" w:space="0"/>
              <w:bottom w:val="nil"/>
            </w:tcBorders>
          </w:tcPr>
          <w:p w14:paraId="6BF8A264">
            <w:pPr>
              <w:widowControl/>
              <w:jc w:val="left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color="auto" w:sz="12" w:space="0"/>
              <w:bottom w:val="nil"/>
            </w:tcBorders>
            <w:vAlign w:val="center"/>
          </w:tcPr>
          <w:p w14:paraId="3C7AB9D5">
            <w:pPr>
              <w:widowControl/>
              <w:jc w:val="left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color="auto" w:sz="12" w:space="0"/>
              <w:bottom w:val="nil"/>
            </w:tcBorders>
            <w:vAlign w:val="center"/>
          </w:tcPr>
          <w:p w14:paraId="4B38029C">
            <w:pPr>
              <w:widowControl/>
              <w:jc w:val="left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color="auto" w:sz="12" w:space="0"/>
              <w:bottom w:val="nil"/>
            </w:tcBorders>
            <w:vAlign w:val="center"/>
          </w:tcPr>
          <w:p w14:paraId="3EC8F988">
            <w:pPr>
              <w:widowControl/>
              <w:jc w:val="left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color="auto" w:sz="12" w:space="0"/>
              <w:bottom w:val="nil"/>
            </w:tcBorders>
          </w:tcPr>
          <w:p w14:paraId="3F19AE99">
            <w:pPr>
              <w:widowControl/>
              <w:jc w:val="left"/>
              <w:rPr>
                <w:rFonts w:eastAsia="宋体"/>
                <w:kern w:val="0"/>
                <w:sz w:val="22"/>
                <w:szCs w:val="22"/>
              </w:rPr>
            </w:pPr>
          </w:p>
        </w:tc>
      </w:tr>
      <w:tr w14:paraId="798CF932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vAlign w:val="center"/>
          </w:tcPr>
          <w:p w14:paraId="726038FA">
            <w:pPr>
              <w:widowControl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Calf circumference</w:t>
            </w:r>
            <w:r>
              <w:rPr>
                <w:rFonts w:eastAsia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eastAsia="宋体"/>
                <w:kern w:val="0"/>
                <w:sz w:val="22"/>
                <w:szCs w:val="22"/>
              </w:rPr>
              <w:t>Tertile</w:t>
            </w:r>
          </w:p>
        </w:tc>
        <w:tc>
          <w:tcPr>
            <w:tcW w:w="1212" w:type="dxa"/>
          </w:tcPr>
          <w:p w14:paraId="7076BB8A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16058C8E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6DEDDAF5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58F5CBC2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</w:tcPr>
          <w:p w14:paraId="6896BAE6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62D338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vAlign w:val="center"/>
          </w:tcPr>
          <w:p w14:paraId="3040E5BB">
            <w:pPr>
              <w:widowControl/>
              <w:ind w:firstLine="220" w:firstLineChars="100"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Tertile 1</w:t>
            </w:r>
          </w:p>
        </w:tc>
        <w:tc>
          <w:tcPr>
            <w:tcW w:w="1212" w:type="dxa"/>
          </w:tcPr>
          <w:p w14:paraId="44BA066F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2380" w:type="dxa"/>
            <w:vAlign w:val="center"/>
          </w:tcPr>
          <w:p w14:paraId="2F959F73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2.60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2.21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3.09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2380" w:type="dxa"/>
            <w:vAlign w:val="center"/>
          </w:tcPr>
          <w:p w14:paraId="1A12D16D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1.63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1.38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1.93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2380" w:type="dxa"/>
            <w:vAlign w:val="center"/>
          </w:tcPr>
          <w:p w14:paraId="5EF9037C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1.93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1.37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2.73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2137" w:type="dxa"/>
            <w:vAlign w:val="center"/>
          </w:tcPr>
          <w:p w14:paraId="1207916E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1.91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1.35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2.69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</w:tr>
      <w:tr w14:paraId="4E8ABD0D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" w:hRule="atLeast"/>
          <w:tblCellSpacing w:w="15" w:type="dxa"/>
        </w:trPr>
        <w:tc>
          <w:tcPr>
            <w:tcW w:w="3249" w:type="dxa"/>
            <w:vAlign w:val="center"/>
          </w:tcPr>
          <w:p w14:paraId="354DF644">
            <w:pPr>
              <w:widowControl/>
              <w:ind w:firstLine="220" w:firstLineChars="100"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Tertile 2</w:t>
            </w:r>
          </w:p>
        </w:tc>
        <w:tc>
          <w:tcPr>
            <w:tcW w:w="1212" w:type="dxa"/>
          </w:tcPr>
          <w:p w14:paraId="0AED7043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2380" w:type="dxa"/>
          </w:tcPr>
          <w:p w14:paraId="51F880D9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1.66 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1.36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2.02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80" w:type="dxa"/>
          </w:tcPr>
          <w:p w14:paraId="4573DBC0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1.25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1.07 1.45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80" w:type="dxa"/>
            <w:vAlign w:val="center"/>
          </w:tcPr>
          <w:p w14:paraId="08C22334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1.59 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1.20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2.11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37" w:type="dxa"/>
          </w:tcPr>
          <w:p w14:paraId="1ACD3C30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1.55 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1.16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2.07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06D4542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" w:hRule="atLeast"/>
          <w:tblCellSpacing w:w="15" w:type="dxa"/>
        </w:trPr>
        <w:tc>
          <w:tcPr>
            <w:tcW w:w="3249" w:type="dxa"/>
            <w:vAlign w:val="center"/>
          </w:tcPr>
          <w:p w14:paraId="3B837DBB">
            <w:pPr>
              <w:widowControl/>
              <w:ind w:firstLine="220" w:firstLineChars="100"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Tertile 3</w:t>
            </w:r>
          </w:p>
        </w:tc>
        <w:tc>
          <w:tcPr>
            <w:tcW w:w="1212" w:type="dxa"/>
          </w:tcPr>
          <w:p w14:paraId="3E7B38E3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2380" w:type="dxa"/>
            <w:vAlign w:val="center"/>
          </w:tcPr>
          <w:p w14:paraId="18424105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380" w:type="dxa"/>
            <w:vAlign w:val="center"/>
          </w:tcPr>
          <w:p w14:paraId="40C52D84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380" w:type="dxa"/>
            <w:vAlign w:val="center"/>
          </w:tcPr>
          <w:p w14:paraId="676FEC7B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137" w:type="dxa"/>
          </w:tcPr>
          <w:p w14:paraId="4BD0081E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66D135B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vAlign w:val="center"/>
          </w:tcPr>
          <w:p w14:paraId="6B60596F">
            <w:pPr>
              <w:widowControl/>
              <w:jc w:val="left"/>
              <w:rPr>
                <w:rFonts w:eastAsia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Cardiovascular</w:t>
            </w:r>
            <w:r>
              <w:rPr>
                <w:rFonts w:hint="eastAsia" w:eastAsia="宋体"/>
                <w:b/>
                <w:bCs/>
                <w:kern w:val="0"/>
                <w:sz w:val="22"/>
                <w:szCs w:val="22"/>
              </w:rPr>
              <w:t xml:space="preserve"> m</w:t>
            </w:r>
            <w:r>
              <w:rPr>
                <w:rFonts w:eastAsia="宋体"/>
                <w:b/>
                <w:bCs/>
                <w:kern w:val="0"/>
                <w:sz w:val="22"/>
                <w:szCs w:val="22"/>
              </w:rPr>
              <w:t>ortality</w:t>
            </w:r>
          </w:p>
        </w:tc>
        <w:tc>
          <w:tcPr>
            <w:tcW w:w="1212" w:type="dxa"/>
          </w:tcPr>
          <w:p w14:paraId="6A53E04C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2ED0AFE2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16F836A3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4B54D445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</w:tcPr>
          <w:p w14:paraId="106038BB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908683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vAlign w:val="center"/>
          </w:tcPr>
          <w:p w14:paraId="771228B8">
            <w:pPr>
              <w:widowControl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Calf circumference</w:t>
            </w:r>
            <w:r>
              <w:rPr>
                <w:rFonts w:eastAsia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eastAsia="宋体"/>
                <w:kern w:val="0"/>
                <w:sz w:val="22"/>
                <w:szCs w:val="22"/>
              </w:rPr>
              <w:t>Tertile</w:t>
            </w:r>
          </w:p>
        </w:tc>
        <w:tc>
          <w:tcPr>
            <w:tcW w:w="1212" w:type="dxa"/>
          </w:tcPr>
          <w:p w14:paraId="0EB11787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3AE0531C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4AE1346F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0" w:type="dxa"/>
            <w:vAlign w:val="center"/>
          </w:tcPr>
          <w:p w14:paraId="3CA5694E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7" w:type="dxa"/>
          </w:tcPr>
          <w:p w14:paraId="30C5AD27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4B153A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vAlign w:val="center"/>
          </w:tcPr>
          <w:p w14:paraId="05852529">
            <w:pPr>
              <w:widowControl/>
              <w:ind w:firstLine="220" w:firstLineChars="100"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Tertile 1</w:t>
            </w:r>
          </w:p>
        </w:tc>
        <w:tc>
          <w:tcPr>
            <w:tcW w:w="1212" w:type="dxa"/>
          </w:tcPr>
          <w:p w14:paraId="5FEF5A01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2380" w:type="dxa"/>
          </w:tcPr>
          <w:p w14:paraId="7C5CB678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1.82 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1.15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2.87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80" w:type="dxa"/>
          </w:tcPr>
          <w:p w14:paraId="0BD11F32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1.10 (0.70, 1.73)</w:t>
            </w:r>
          </w:p>
        </w:tc>
        <w:tc>
          <w:tcPr>
            <w:tcW w:w="2380" w:type="dxa"/>
          </w:tcPr>
          <w:p w14:paraId="70A66F8B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1.26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0.58,2.74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37" w:type="dxa"/>
          </w:tcPr>
          <w:p w14:paraId="3C12120B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1.28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0.59,2.81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166FB246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49" w:type="dxa"/>
            <w:vAlign w:val="center"/>
          </w:tcPr>
          <w:p w14:paraId="077A14C3">
            <w:pPr>
              <w:widowControl/>
              <w:ind w:firstLine="220" w:firstLineChars="100"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Tertile 2</w:t>
            </w:r>
          </w:p>
        </w:tc>
        <w:tc>
          <w:tcPr>
            <w:tcW w:w="1212" w:type="dxa"/>
          </w:tcPr>
          <w:p w14:paraId="717B2346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2380" w:type="dxa"/>
          </w:tcPr>
          <w:p w14:paraId="1C053B9A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1.30 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0.86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1.96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80" w:type="dxa"/>
          </w:tcPr>
          <w:p w14:paraId="0FCC5080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0.94 (0.64, 1.39)</w:t>
            </w:r>
          </w:p>
        </w:tc>
        <w:tc>
          <w:tcPr>
            <w:tcW w:w="2380" w:type="dxa"/>
          </w:tcPr>
          <w:p w14:paraId="2C38F1E7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1.12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0.60, 2.09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37" w:type="dxa"/>
          </w:tcPr>
          <w:p w14:paraId="1FA4F5A0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1.16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0.61, 2.21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7CFB1F44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2" w:hRule="atLeast"/>
          <w:tblCellSpacing w:w="15" w:type="dxa"/>
        </w:trPr>
        <w:tc>
          <w:tcPr>
            <w:tcW w:w="3249" w:type="dxa"/>
            <w:vAlign w:val="center"/>
          </w:tcPr>
          <w:p w14:paraId="5616F547">
            <w:pPr>
              <w:widowControl/>
              <w:ind w:firstLine="220" w:firstLineChars="100"/>
              <w:jc w:val="left"/>
              <w:rPr>
                <w:rFonts w:eastAsia="宋体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Tertile 3</w:t>
            </w:r>
          </w:p>
        </w:tc>
        <w:tc>
          <w:tcPr>
            <w:tcW w:w="1212" w:type="dxa"/>
          </w:tcPr>
          <w:p w14:paraId="49CC9A6E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2380" w:type="dxa"/>
          </w:tcPr>
          <w:p w14:paraId="494D4E8B">
            <w:pPr>
              <w:widowControl/>
              <w:jc w:val="left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</w:p>
        </w:tc>
        <w:tc>
          <w:tcPr>
            <w:tcW w:w="2380" w:type="dxa"/>
          </w:tcPr>
          <w:p w14:paraId="35CB0982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</w:p>
        </w:tc>
        <w:tc>
          <w:tcPr>
            <w:tcW w:w="2380" w:type="dxa"/>
          </w:tcPr>
          <w:p w14:paraId="49387FFE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</w:p>
        </w:tc>
        <w:tc>
          <w:tcPr>
            <w:tcW w:w="2137" w:type="dxa"/>
          </w:tcPr>
          <w:p w14:paraId="1792FCDB">
            <w:pPr>
              <w:widowControl/>
              <w:jc w:val="left"/>
              <w:rPr>
                <w:rFonts w:eastAsia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(reference)</w:t>
            </w:r>
          </w:p>
        </w:tc>
      </w:tr>
      <w:bookmarkEnd w:id="0"/>
    </w:tbl>
    <w:p w14:paraId="2E6E6596">
      <w:pPr>
        <w:rPr>
          <w:rFonts w:eastAsia="宋体"/>
          <w:kern w:val="0"/>
          <w:sz w:val="22"/>
          <w:szCs w:val="22"/>
        </w:rPr>
      </w:pPr>
      <w:r>
        <w:t xml:space="preserve">Values are n or weighted HR (95% CI). Model 1 is unadjusted; Model 2 is adjusted for: </w:t>
      </w:r>
      <w:r>
        <w:rPr>
          <w:rFonts w:hint="eastAsia"/>
        </w:rPr>
        <w:t>a</w:t>
      </w:r>
      <w:r>
        <w:t xml:space="preserve">ge, </w:t>
      </w:r>
      <w:r>
        <w:rPr>
          <w:rFonts w:hint="eastAsia"/>
        </w:rPr>
        <w:t>s</w:t>
      </w:r>
      <w:r>
        <w:t xml:space="preserve">ex and </w:t>
      </w:r>
      <w:r>
        <w:rPr>
          <w:rFonts w:hint="eastAsia"/>
        </w:rPr>
        <w:t>r</w:t>
      </w:r>
      <w:r>
        <w:t xml:space="preserve">ace; Model 3 is adjusted for: model 2 </w:t>
      </w:r>
      <w:r>
        <w:rPr>
          <w:rFonts w:hint="eastAsia"/>
        </w:rPr>
        <w:t>plus</w:t>
      </w:r>
      <w:r>
        <w:t xml:space="preserve"> </w:t>
      </w:r>
      <w:r>
        <w:rPr>
          <w:rFonts w:hint="eastAsia"/>
        </w:rPr>
        <w:t>a</w:t>
      </w:r>
      <w:r>
        <w:t xml:space="preserve">lcohol intake, </w:t>
      </w:r>
      <w:r>
        <w:rPr>
          <w:rFonts w:hint="eastAsia"/>
        </w:rPr>
        <w:t>s</w:t>
      </w:r>
      <w:r>
        <w:t xml:space="preserve">moking status, </w:t>
      </w:r>
      <w:r>
        <w:rPr>
          <w:rFonts w:hint="eastAsia"/>
        </w:rPr>
        <w:t>bmi</w:t>
      </w:r>
      <w:r>
        <w:t xml:space="preserve">, </w:t>
      </w:r>
      <w:r>
        <w:rPr>
          <w:rFonts w:hint="eastAsia"/>
        </w:rPr>
        <w:t>r</w:t>
      </w:r>
      <w:r>
        <w:t xml:space="preserve">atio of family income to poverty, </w:t>
      </w:r>
      <w:r>
        <w:rPr>
          <w:rFonts w:hint="eastAsia"/>
        </w:rPr>
        <w:t>e</w:t>
      </w:r>
      <w:r>
        <w:t xml:space="preserve">ducation level; Model 4 is adjusted for: model 3 plus </w:t>
      </w:r>
      <w:r>
        <w:rPr>
          <w:rFonts w:hint="eastAsia"/>
        </w:rPr>
        <w:t>d</w:t>
      </w:r>
      <w:r>
        <w:t xml:space="preserve">iabetes, </w:t>
      </w:r>
      <w:r>
        <w:rPr>
          <w:rFonts w:hint="eastAsia"/>
        </w:rPr>
        <w:t>h</w:t>
      </w:r>
      <w:r>
        <w:t xml:space="preserve">ypertension, </w:t>
      </w:r>
      <w:r>
        <w:rPr>
          <w:rFonts w:hint="eastAsia"/>
        </w:rPr>
        <w:t>d</w:t>
      </w:r>
      <w:r>
        <w:t>yslipidemia</w:t>
      </w:r>
      <w:r>
        <w:rPr>
          <w:rFonts w:hint="eastAsia"/>
        </w:rPr>
        <w:t xml:space="preserve">. </w:t>
      </w:r>
      <w:r>
        <w:rPr>
          <w:rFonts w:hint="eastAsia" w:eastAsia="宋体"/>
          <w:kern w:val="0"/>
          <w:sz w:val="22"/>
          <w:szCs w:val="22"/>
        </w:rPr>
        <w:t>Tertile 1 was defined as CC&lt;35.7 for man and &lt;34.5for women, Tertile 2 was defined as 35.7&lt;CC&lt;38.8 for man and 34.5&lt;CC&lt;38.2 for women, and Tertile 3 was defined as CC&gt;38.8 for man and CC&gt;38.2 for women.</w:t>
      </w:r>
    </w:p>
    <w:p w14:paraId="0CFD1B9F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Figure</w:t>
      </w:r>
      <w:r>
        <w:rPr>
          <w:rFonts w:hint="eastAsia"/>
          <w:b/>
          <w:bCs/>
          <w:sz w:val="24"/>
          <w:szCs w:val="24"/>
        </w:rPr>
        <w:t xml:space="preserve"> S</w:t>
      </w:r>
      <w:r>
        <w:rPr>
          <w:rFonts w:hint="eastAsia"/>
          <w:b/>
          <w:bCs/>
          <w:sz w:val="24"/>
          <w:szCs w:val="24"/>
          <w:lang w:val="en-US" w:eastAsia="zh-CN"/>
        </w:rPr>
        <w:t>1.</w:t>
      </w:r>
    </w:p>
    <w:p w14:paraId="22BD907D">
      <w:pPr>
        <w:rPr>
          <w:rFonts w:hint="eastAsia"/>
          <w:b/>
          <w:bCs/>
          <w:sz w:val="24"/>
          <w:szCs w:val="24"/>
          <w:lang w:val="en-US" w:eastAsia="zh-CN"/>
        </w:rPr>
      </w:pPr>
    </w:p>
    <w:p w14:paraId="07D53FBC">
      <w:r>
        <w:drawing>
          <wp:inline distT="0" distB="0" distL="0" distR="0">
            <wp:extent cx="8863330" cy="2931795"/>
            <wp:effectExtent l="0" t="0" r="0" b="1905"/>
            <wp:docPr id="694381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8167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1C68">
      <w:pPr>
        <w:rPr>
          <w:rFonts w:eastAsia="宋体"/>
        </w:rPr>
      </w:pPr>
    </w:p>
    <w:p w14:paraId="0A8EA69E">
      <w:pPr>
        <w:rPr>
          <w:rFonts w:hint="eastAsia" w:eastAsiaTheme="minorEastAsia"/>
          <w:lang w:val="en-US" w:eastAsia="zh-CN"/>
        </w:rPr>
      </w:pPr>
      <w:r>
        <w:t xml:space="preserve">Figure </w:t>
      </w:r>
      <w:r>
        <w:rPr>
          <w:rFonts w:hint="eastAsia"/>
          <w:lang w:val="en-US" w:eastAsia="zh-CN"/>
        </w:rPr>
        <w:t>S</w:t>
      </w:r>
      <w:r>
        <w:t xml:space="preserve">1. </w:t>
      </w:r>
      <w:r>
        <w:rPr>
          <w:rFonts w:hint="eastAsia"/>
        </w:rPr>
        <w:t>Log-log survival plots evaluating the proportional hazards assumption for all-cause and cardiovascular mortality. (A)all-cause mortality; (B) cardiovascular mortality. X-axis represents log-transformed follow-up time, and the y-axis is log(−log(S(t)))</w:t>
      </w:r>
      <w:r>
        <w:rPr>
          <w:rFonts w:hint="eastAsia"/>
          <w:lang w:val="en-US" w:eastAsia="zh-CN"/>
        </w:rPr>
        <w:t>.</w:t>
      </w:r>
      <w:bookmarkStart w:id="1" w:name="_GoBack"/>
      <w:bookmarkEnd w:id="1"/>
    </w:p>
    <w:p w14:paraId="504AEF08">
      <w:pPr>
        <w:jc w:val="center"/>
        <w:rPr>
          <w:rFonts w:eastAsia="宋体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K0NDI3NDU3NjextDRX0lEKTi0uzszPAykwNKgFAJHmgjotAAAA"/>
    <w:docVar w:name="commondata" w:val="eyJoZGlkIjoiOTA2OGMxYThiMDQ0MTU5ODNlMTk2MjVhZmQ2MzdiMWIifQ=="/>
  </w:docVars>
  <w:rsids>
    <w:rsidRoot w:val="00374349"/>
    <w:rsid w:val="00006039"/>
    <w:rsid w:val="0001263F"/>
    <w:rsid w:val="00021970"/>
    <w:rsid w:val="000414DE"/>
    <w:rsid w:val="00073E5D"/>
    <w:rsid w:val="000B1E86"/>
    <w:rsid w:val="000B3903"/>
    <w:rsid w:val="000E65E5"/>
    <w:rsid w:val="000E6A34"/>
    <w:rsid w:val="00105C53"/>
    <w:rsid w:val="00165DB5"/>
    <w:rsid w:val="00180837"/>
    <w:rsid w:val="00180DD9"/>
    <w:rsid w:val="00195D2C"/>
    <w:rsid w:val="00200A59"/>
    <w:rsid w:val="00242095"/>
    <w:rsid w:val="0026279F"/>
    <w:rsid w:val="00273F44"/>
    <w:rsid w:val="002D39E7"/>
    <w:rsid w:val="002D4E0E"/>
    <w:rsid w:val="002F776E"/>
    <w:rsid w:val="00305420"/>
    <w:rsid w:val="003214A6"/>
    <w:rsid w:val="003352B5"/>
    <w:rsid w:val="003427FC"/>
    <w:rsid w:val="0034645C"/>
    <w:rsid w:val="00374349"/>
    <w:rsid w:val="00380DA9"/>
    <w:rsid w:val="0039584D"/>
    <w:rsid w:val="003C59EA"/>
    <w:rsid w:val="003D30D4"/>
    <w:rsid w:val="003D6DE5"/>
    <w:rsid w:val="003D7B02"/>
    <w:rsid w:val="003F0ED6"/>
    <w:rsid w:val="00473031"/>
    <w:rsid w:val="00475528"/>
    <w:rsid w:val="004A1CF5"/>
    <w:rsid w:val="004A3FEF"/>
    <w:rsid w:val="004A711D"/>
    <w:rsid w:val="004C2983"/>
    <w:rsid w:val="004F77E3"/>
    <w:rsid w:val="005628AD"/>
    <w:rsid w:val="00566ED6"/>
    <w:rsid w:val="005D168C"/>
    <w:rsid w:val="005E0A56"/>
    <w:rsid w:val="00606931"/>
    <w:rsid w:val="00624041"/>
    <w:rsid w:val="00654AA3"/>
    <w:rsid w:val="00693F2D"/>
    <w:rsid w:val="006E1392"/>
    <w:rsid w:val="006E69B8"/>
    <w:rsid w:val="00702E19"/>
    <w:rsid w:val="00711B39"/>
    <w:rsid w:val="007237DD"/>
    <w:rsid w:val="00734563"/>
    <w:rsid w:val="00740088"/>
    <w:rsid w:val="007403BF"/>
    <w:rsid w:val="00756E5B"/>
    <w:rsid w:val="0076059F"/>
    <w:rsid w:val="007702D2"/>
    <w:rsid w:val="0078104F"/>
    <w:rsid w:val="007A3A17"/>
    <w:rsid w:val="007A4316"/>
    <w:rsid w:val="007A48D2"/>
    <w:rsid w:val="007B58FA"/>
    <w:rsid w:val="007C11D5"/>
    <w:rsid w:val="007E14C8"/>
    <w:rsid w:val="008055B3"/>
    <w:rsid w:val="00814633"/>
    <w:rsid w:val="00816ACA"/>
    <w:rsid w:val="0082720B"/>
    <w:rsid w:val="00837F65"/>
    <w:rsid w:val="008B175C"/>
    <w:rsid w:val="008B3A37"/>
    <w:rsid w:val="008C6332"/>
    <w:rsid w:val="008D3888"/>
    <w:rsid w:val="008F3143"/>
    <w:rsid w:val="00916F91"/>
    <w:rsid w:val="0093127A"/>
    <w:rsid w:val="00935C85"/>
    <w:rsid w:val="00941418"/>
    <w:rsid w:val="00946256"/>
    <w:rsid w:val="00954E0B"/>
    <w:rsid w:val="00955731"/>
    <w:rsid w:val="00971018"/>
    <w:rsid w:val="00971C1A"/>
    <w:rsid w:val="00996777"/>
    <w:rsid w:val="009C6F8C"/>
    <w:rsid w:val="009F2674"/>
    <w:rsid w:val="00A44604"/>
    <w:rsid w:val="00A70F8B"/>
    <w:rsid w:val="00A817BE"/>
    <w:rsid w:val="00A9638C"/>
    <w:rsid w:val="00AA07D2"/>
    <w:rsid w:val="00AB3B6B"/>
    <w:rsid w:val="00AC4EFA"/>
    <w:rsid w:val="00AE4CFC"/>
    <w:rsid w:val="00AF7DDB"/>
    <w:rsid w:val="00B27093"/>
    <w:rsid w:val="00B67928"/>
    <w:rsid w:val="00B70003"/>
    <w:rsid w:val="00B92B39"/>
    <w:rsid w:val="00BC3CB9"/>
    <w:rsid w:val="00BE4C98"/>
    <w:rsid w:val="00C17CD4"/>
    <w:rsid w:val="00C21253"/>
    <w:rsid w:val="00C23501"/>
    <w:rsid w:val="00C369BA"/>
    <w:rsid w:val="00C47C4E"/>
    <w:rsid w:val="00C602F3"/>
    <w:rsid w:val="00C85A7C"/>
    <w:rsid w:val="00C96159"/>
    <w:rsid w:val="00C9628A"/>
    <w:rsid w:val="00CA5D8F"/>
    <w:rsid w:val="00CB79F0"/>
    <w:rsid w:val="00CD1DE3"/>
    <w:rsid w:val="00CD371A"/>
    <w:rsid w:val="00D078AF"/>
    <w:rsid w:val="00D57E4B"/>
    <w:rsid w:val="00D97C82"/>
    <w:rsid w:val="00DB6009"/>
    <w:rsid w:val="00DF6620"/>
    <w:rsid w:val="00E03732"/>
    <w:rsid w:val="00E25B25"/>
    <w:rsid w:val="00E30E15"/>
    <w:rsid w:val="00E31857"/>
    <w:rsid w:val="00E31E46"/>
    <w:rsid w:val="00E5261F"/>
    <w:rsid w:val="00E63C66"/>
    <w:rsid w:val="00E65A37"/>
    <w:rsid w:val="00E65C6F"/>
    <w:rsid w:val="00E77884"/>
    <w:rsid w:val="00EA1FAB"/>
    <w:rsid w:val="00EE35D5"/>
    <w:rsid w:val="00EF0ABD"/>
    <w:rsid w:val="00F063E9"/>
    <w:rsid w:val="00F3028F"/>
    <w:rsid w:val="00F45FF4"/>
    <w:rsid w:val="00F47B81"/>
    <w:rsid w:val="00F57035"/>
    <w:rsid w:val="00FC2E65"/>
    <w:rsid w:val="00FD611D"/>
    <w:rsid w:val="00FE53C0"/>
    <w:rsid w:val="00FF095A"/>
    <w:rsid w:val="00FF32B6"/>
    <w:rsid w:val="0146457F"/>
    <w:rsid w:val="026003DA"/>
    <w:rsid w:val="091268D2"/>
    <w:rsid w:val="0A984BB5"/>
    <w:rsid w:val="0E1A3F6D"/>
    <w:rsid w:val="12C549B5"/>
    <w:rsid w:val="140D5DB5"/>
    <w:rsid w:val="145F2F3D"/>
    <w:rsid w:val="15D052A2"/>
    <w:rsid w:val="16ED3D2A"/>
    <w:rsid w:val="17D15BAA"/>
    <w:rsid w:val="184E71FB"/>
    <w:rsid w:val="18D3475C"/>
    <w:rsid w:val="1BC11A92"/>
    <w:rsid w:val="1F4629DA"/>
    <w:rsid w:val="214D18A4"/>
    <w:rsid w:val="24170CB7"/>
    <w:rsid w:val="2524556B"/>
    <w:rsid w:val="25495A04"/>
    <w:rsid w:val="267C4F33"/>
    <w:rsid w:val="289A5C6F"/>
    <w:rsid w:val="2BC63B60"/>
    <w:rsid w:val="2D3B0D9F"/>
    <w:rsid w:val="30B359F5"/>
    <w:rsid w:val="31C81974"/>
    <w:rsid w:val="322E7A29"/>
    <w:rsid w:val="32E934DF"/>
    <w:rsid w:val="34162F82"/>
    <w:rsid w:val="34FD36E3"/>
    <w:rsid w:val="39A851B9"/>
    <w:rsid w:val="3CDB255C"/>
    <w:rsid w:val="41C4415F"/>
    <w:rsid w:val="47DA5E4E"/>
    <w:rsid w:val="4A445E6D"/>
    <w:rsid w:val="4A4E1B6D"/>
    <w:rsid w:val="4CD53CB9"/>
    <w:rsid w:val="4F166E38"/>
    <w:rsid w:val="4F9842DC"/>
    <w:rsid w:val="538240AC"/>
    <w:rsid w:val="53CA4C80"/>
    <w:rsid w:val="551E29DA"/>
    <w:rsid w:val="57255445"/>
    <w:rsid w:val="5B53650A"/>
    <w:rsid w:val="5C411E3E"/>
    <w:rsid w:val="5E2F08FC"/>
    <w:rsid w:val="5FAF653C"/>
    <w:rsid w:val="603663C3"/>
    <w:rsid w:val="63F7561D"/>
    <w:rsid w:val="6A4A457C"/>
    <w:rsid w:val="6B2A362F"/>
    <w:rsid w:val="6F5222A2"/>
    <w:rsid w:val="6FA62587"/>
    <w:rsid w:val="74035919"/>
    <w:rsid w:val="7A7E03EF"/>
    <w:rsid w:val="7B895529"/>
    <w:rsid w:val="7CD267D0"/>
    <w:rsid w:val="7FD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1383</Characters>
  <Lines>12</Lines>
  <Paragraphs>3</Paragraphs>
  <TotalTime>0</TotalTime>
  <ScaleCrop>false</ScaleCrop>
  <LinksUpToDate>false</LinksUpToDate>
  <CharactersWithSpaces>1587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2025-06-21T08:30:00Z</dcterms:created>
  <dc:creator>3721</dc:creator>
  <cp:lastModifiedBy>老夫子</cp:lastModifiedBy>
  <dcterms:modified xsi:type="dcterms:W3CDTF">2025-06-22T01:48:59Z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92a822b8e98d60ac1da7c63e399fc0871eeeba83d896c22a990bdd00c40604be</vt:lpwstr>
  </property>
  <property fmtid="{D5CDD505-2E9C-101B-9397-08002B2CF9AE}" pid="3" name="KSOProductBuildVer">
    <vt:lpwstr>2052-12.1.0.21541</vt:lpwstr>
  </property>
  <property fmtid="{D5CDD505-2E9C-101B-9397-08002B2CF9AE}" pid="4" name="ICV">
    <vt:lpwstr>C0F8146A0F954337B756C1582278825A_12</vt:lpwstr>
  </property>
  <property fmtid="{D5CDD505-2E9C-101B-9397-08002B2CF9AE}" pid="5" name="KSOTemplateDocerSaveRecord">
    <vt:lpwstr>eyJoZGlkIjoiOTA2OGMxYThiMDQ0MTU5ODNlMTk2MjVhZmQ2MzdiMWIiLCJ1c2VySWQiOiIxMDc4MDMzNzYzIn0=</vt:lpwstr>
  </property>
</Properties>
</file>