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8BB" w:rsidRPr="00133E72" w:rsidRDefault="008E18BB" w:rsidP="008E18BB">
      <w:pPr>
        <w:widowControl w:val="0"/>
        <w:autoSpaceDE w:val="0"/>
        <w:autoSpaceDN w:val="0"/>
        <w:adjustRightInd w:val="0"/>
        <w:spacing w:line="480" w:lineRule="auto"/>
        <w:ind w:left="284" w:right="-893"/>
        <w:jc w:val="both"/>
        <w:rPr>
          <w:rFonts w:ascii="Times New Roman" w:hAnsi="Times New Roman" w:cs="Times New Roman"/>
          <w:b/>
          <w:bCs/>
          <w:noProof/>
          <w:sz w:val="24"/>
          <w:szCs w:val="24"/>
        </w:rPr>
      </w:pPr>
      <w:bookmarkStart w:id="0" w:name="_GoBack"/>
      <w:r w:rsidRPr="00133E72">
        <w:rPr>
          <w:rFonts w:ascii="Times New Roman" w:hAnsi="Times New Roman" w:cs="Times New Roman"/>
          <w:b/>
          <w:bCs/>
          <w:noProof/>
          <w:sz w:val="24"/>
          <w:szCs w:val="24"/>
        </w:rPr>
        <w:t>Supplementary Data</w:t>
      </w:r>
    </w:p>
    <w:p w:rsidR="008E18BB" w:rsidRPr="00133E72" w:rsidRDefault="008E18BB" w:rsidP="008E18BB">
      <w:pPr>
        <w:widowControl w:val="0"/>
        <w:autoSpaceDE w:val="0"/>
        <w:autoSpaceDN w:val="0"/>
        <w:adjustRightInd w:val="0"/>
        <w:spacing w:line="480" w:lineRule="auto"/>
        <w:ind w:left="284" w:right="-893" w:hanging="640"/>
        <w:jc w:val="both"/>
        <w:rPr>
          <w:rFonts w:ascii="Times New Roman" w:hAnsi="Times New Roman" w:cs="Times New Roman"/>
          <w:b/>
          <w:bCs/>
          <w:noProof/>
          <w:sz w:val="24"/>
          <w:szCs w:val="24"/>
        </w:rPr>
      </w:pPr>
      <w:r w:rsidRPr="00133E72">
        <w:rPr>
          <w:rFonts w:ascii="Times New Roman" w:hAnsi="Times New Roman" w:cs="Times New Roman"/>
          <w:b/>
          <w:bCs/>
          <w:noProof/>
          <w:sz w:val="24"/>
          <w:szCs w:val="24"/>
        </w:rPr>
        <w:t>Supplementary Figures:</w:t>
      </w:r>
    </w:p>
    <w:p w:rsidR="008E18BB" w:rsidRPr="00133E72" w:rsidRDefault="008E18BB" w:rsidP="008E18BB">
      <w:pPr>
        <w:spacing w:before="240" w:after="240" w:line="480" w:lineRule="auto"/>
        <w:ind w:left="284" w:right="-893"/>
        <w:jc w:val="both"/>
        <w:rPr>
          <w:rFonts w:ascii="Times New Roman" w:eastAsia="Times New Roman" w:hAnsi="Times New Roman" w:cs="Times New Roman"/>
          <w:sz w:val="24"/>
          <w:szCs w:val="24"/>
        </w:rPr>
      </w:pPr>
      <w:r w:rsidRPr="00133E72">
        <w:rPr>
          <w:rFonts w:ascii="Times New Roman" w:eastAsia="Times New Roman" w:hAnsi="Times New Roman" w:cs="Times New Roman"/>
          <w:b/>
          <w:sz w:val="24"/>
          <w:szCs w:val="24"/>
        </w:rPr>
        <w:t>Supplementary Fig. 1</w:t>
      </w:r>
      <w:r w:rsidRPr="00133E72">
        <w:rPr>
          <w:rFonts w:ascii="Times New Roman" w:eastAsia="Times New Roman" w:hAnsi="Times New Roman" w:cs="Times New Roman"/>
          <w:sz w:val="24"/>
          <w:szCs w:val="24"/>
        </w:rPr>
        <w:t xml:space="preserve"> </w:t>
      </w:r>
      <w:r w:rsidRPr="00133E72">
        <w:rPr>
          <w:rFonts w:ascii="Times New Roman" w:eastAsia="Times New Roman" w:hAnsi="Times New Roman" w:cs="Times New Roman"/>
          <w:b/>
          <w:bCs/>
          <w:sz w:val="24"/>
          <w:szCs w:val="24"/>
        </w:rPr>
        <w:t>Measurement of cell death in zebrafish liver by Annexin V binding and Propidium Iodide uptake</w:t>
      </w:r>
      <w:r w:rsidRPr="00133E72">
        <w:rPr>
          <w:rFonts w:ascii="Times New Roman" w:eastAsia="Times New Roman" w:hAnsi="Times New Roman" w:cs="Times New Roman"/>
          <w:sz w:val="24"/>
          <w:szCs w:val="24"/>
        </w:rPr>
        <w:t>. Representative flow cytometry dot plots of cells isolated from whole zebrafish livers of (A) control and (B) PA-fed group for Annexin V-PI counterstaining (</w:t>
      </w:r>
      <w:r w:rsidRPr="00133E72">
        <w:rPr>
          <w:rFonts w:ascii="Times New Roman" w:eastAsia="Times New Roman" w:hAnsi="Times New Roman" w:cs="Times New Roman"/>
          <w:i/>
          <w:sz w:val="24"/>
          <w:szCs w:val="24"/>
        </w:rPr>
        <w:t>n</w:t>
      </w:r>
      <w:r w:rsidRPr="00133E72">
        <w:rPr>
          <w:rFonts w:ascii="Times New Roman" w:eastAsia="Times New Roman" w:hAnsi="Times New Roman" w:cs="Times New Roman"/>
          <w:sz w:val="24"/>
          <w:szCs w:val="24"/>
        </w:rPr>
        <w:t>=3). (C) Flow cytometric analysis of percent apoptotic cells in adult zebrafish liver upon PA-supplementation (</w:t>
      </w:r>
      <w:r w:rsidRPr="00133E72">
        <w:rPr>
          <w:rFonts w:ascii="Times New Roman" w:eastAsia="Times New Roman" w:hAnsi="Times New Roman" w:cs="Times New Roman"/>
          <w:i/>
          <w:sz w:val="24"/>
          <w:szCs w:val="24"/>
        </w:rPr>
        <w:t>n</w:t>
      </w:r>
      <w:r w:rsidRPr="00133E72">
        <w:rPr>
          <w:rFonts w:ascii="Times New Roman" w:eastAsia="Times New Roman" w:hAnsi="Times New Roman" w:cs="Times New Roman"/>
          <w:sz w:val="24"/>
          <w:szCs w:val="24"/>
        </w:rPr>
        <w:t>=3) Values are given as mean ± SEM. Student’s t test was performed to determine statistical significance. ***</w:t>
      </w:r>
      <w:r w:rsidRPr="00133E72">
        <w:rPr>
          <w:rFonts w:ascii="Times New Roman" w:eastAsia="Times New Roman" w:hAnsi="Times New Roman" w:cs="Times New Roman"/>
          <w:i/>
          <w:sz w:val="24"/>
          <w:szCs w:val="24"/>
        </w:rPr>
        <w:t>p</w:t>
      </w:r>
      <w:r w:rsidRPr="00133E72">
        <w:rPr>
          <w:rFonts w:ascii="Times New Roman" w:eastAsia="Times New Roman" w:hAnsi="Times New Roman" w:cs="Times New Roman"/>
          <w:sz w:val="24"/>
          <w:szCs w:val="24"/>
        </w:rPr>
        <w:t> &lt; 0.001.</w:t>
      </w:r>
    </w:p>
    <w:p w:rsidR="008E18BB" w:rsidRPr="00133E72" w:rsidRDefault="008E18BB" w:rsidP="008E18BB">
      <w:pPr>
        <w:spacing w:line="480" w:lineRule="auto"/>
        <w:ind w:left="284" w:right="-893"/>
        <w:rPr>
          <w:rFonts w:ascii="Times New Roman" w:eastAsia="Times New Roman" w:hAnsi="Times New Roman" w:cs="Times New Roman"/>
          <w:b/>
          <w:bCs/>
          <w:sz w:val="24"/>
          <w:szCs w:val="24"/>
        </w:rPr>
      </w:pPr>
      <w:r w:rsidRPr="00133E72">
        <w:rPr>
          <w:rFonts w:ascii="Times New Roman" w:eastAsia="Times New Roman" w:hAnsi="Times New Roman" w:cs="Times New Roman"/>
          <w:b/>
          <w:sz w:val="24"/>
          <w:szCs w:val="24"/>
        </w:rPr>
        <w:t>Supplementary Fig. 2A</w:t>
      </w:r>
      <w:r w:rsidRPr="00133E72">
        <w:rPr>
          <w:rFonts w:ascii="Times New Roman" w:eastAsia="Times New Roman" w:hAnsi="Times New Roman" w:cs="Times New Roman"/>
          <w:sz w:val="24"/>
          <w:szCs w:val="24"/>
        </w:rPr>
        <w:t xml:space="preserve"> </w:t>
      </w:r>
      <w:r w:rsidRPr="00133E72">
        <w:rPr>
          <w:rFonts w:ascii="Times New Roman" w:eastAsia="Times New Roman" w:hAnsi="Times New Roman" w:cs="Times New Roman"/>
          <w:b/>
          <w:bCs/>
          <w:sz w:val="24"/>
          <w:szCs w:val="24"/>
        </w:rPr>
        <w:t>Assessment of cell proliferation upon ingestion of PA-supplemented diet.</w:t>
      </w:r>
      <w:r w:rsidRPr="00133E72">
        <w:rPr>
          <w:rFonts w:ascii="Times New Roman" w:eastAsia="Times New Roman" w:hAnsi="Times New Roman" w:cs="Times New Roman"/>
          <w:sz w:val="24"/>
          <w:szCs w:val="24"/>
        </w:rPr>
        <w:t xml:space="preserve"> Western blot analysis for (A) cell proliferation marker PCNA with (B) beta-actin as loading control with liver samples from control and PA-fed groups. (C) The bar graph represents densitometric analysis for relative change in expression of PCNA in control and PA-fed groups (</w:t>
      </w:r>
      <w:r w:rsidRPr="00133E72">
        <w:rPr>
          <w:rFonts w:ascii="Times New Roman" w:eastAsia="Times New Roman" w:hAnsi="Times New Roman" w:cs="Times New Roman"/>
          <w:i/>
          <w:sz w:val="24"/>
          <w:szCs w:val="24"/>
        </w:rPr>
        <w:t xml:space="preserve">n </w:t>
      </w:r>
      <w:r w:rsidRPr="00133E72">
        <w:rPr>
          <w:rFonts w:ascii="Times New Roman" w:eastAsia="Times New Roman" w:hAnsi="Times New Roman" w:cs="Times New Roman"/>
          <w:sz w:val="24"/>
          <w:szCs w:val="24"/>
        </w:rPr>
        <w:t xml:space="preserve">= 4). Values are given as mean ± SEM. Full blots for both PCNA and Beta-actin are provided in </w:t>
      </w:r>
      <w:r w:rsidRPr="00133E72">
        <w:rPr>
          <w:rFonts w:ascii="Times New Roman" w:eastAsia="Times New Roman" w:hAnsi="Times New Roman" w:cs="Times New Roman"/>
          <w:b/>
          <w:bCs/>
          <w:sz w:val="24"/>
          <w:szCs w:val="24"/>
        </w:rPr>
        <w:t>Supplementary figure 2B</w:t>
      </w:r>
      <w:r w:rsidRPr="00133E72">
        <w:rPr>
          <w:rFonts w:ascii="Times New Roman" w:eastAsia="Times New Roman" w:hAnsi="Times New Roman" w:cs="Times New Roman"/>
          <w:sz w:val="24"/>
          <w:szCs w:val="24"/>
        </w:rPr>
        <w:t>.</w:t>
      </w:r>
    </w:p>
    <w:p w:rsidR="008E18BB" w:rsidRPr="00133E72" w:rsidRDefault="008E18BB" w:rsidP="008E18BB">
      <w:pPr>
        <w:spacing w:line="480" w:lineRule="auto"/>
        <w:ind w:left="284" w:right="-893"/>
        <w:jc w:val="both"/>
        <w:rPr>
          <w:rFonts w:ascii="Times New Roman" w:eastAsia="Times New Roman" w:hAnsi="Times New Roman" w:cs="Times New Roman"/>
          <w:sz w:val="24"/>
          <w:szCs w:val="24"/>
        </w:rPr>
      </w:pPr>
      <w:bookmarkStart w:id="1" w:name="_Hlk202185274"/>
      <w:bookmarkStart w:id="2" w:name="_Hlk184224994"/>
      <w:r w:rsidRPr="00133E72">
        <w:rPr>
          <w:rFonts w:ascii="Times New Roman" w:eastAsia="Times New Roman" w:hAnsi="Times New Roman" w:cs="Times New Roman"/>
          <w:b/>
          <w:sz w:val="24"/>
          <w:szCs w:val="24"/>
        </w:rPr>
        <w:t>Supplementary Fig. 3A</w:t>
      </w:r>
      <w:r w:rsidRPr="00133E72">
        <w:rPr>
          <w:rFonts w:ascii="Times New Roman" w:eastAsia="Times New Roman" w:hAnsi="Times New Roman" w:cs="Times New Roman"/>
          <w:sz w:val="24"/>
          <w:szCs w:val="24"/>
        </w:rPr>
        <w:t xml:space="preserve"> </w:t>
      </w:r>
      <w:r w:rsidRPr="00133E72">
        <w:rPr>
          <w:rFonts w:ascii="Times New Roman" w:eastAsia="Times New Roman" w:hAnsi="Times New Roman" w:cs="Times New Roman"/>
          <w:b/>
          <w:bCs/>
          <w:sz w:val="24"/>
          <w:szCs w:val="24"/>
        </w:rPr>
        <w:t>PA-supplemented diet leads to progressive increase in ER lipotoxicity.</w:t>
      </w:r>
      <w:r w:rsidRPr="00133E72">
        <w:rPr>
          <w:rFonts w:ascii="Times New Roman" w:eastAsia="Times New Roman" w:hAnsi="Times New Roman" w:cs="Times New Roman"/>
          <w:sz w:val="24"/>
          <w:szCs w:val="24"/>
        </w:rPr>
        <w:t xml:space="preserve"> Fluorescence of NBD-Oct dye increases from (A) control to (B) 1-month PA-fed group and (C) 2-months PA-fed group. Scale Bar: 20</w:t>
      </w:r>
      <w:r w:rsidRPr="00133E72">
        <w:rPr>
          <w:rFonts w:ascii="Calibri" w:eastAsia="Times New Roman" w:hAnsi="Calibri" w:cs="Calibri"/>
          <w:sz w:val="24"/>
          <w:szCs w:val="24"/>
        </w:rPr>
        <w:t>μ</w:t>
      </w:r>
      <w:r w:rsidRPr="00133E72">
        <w:rPr>
          <w:rFonts w:ascii="Times New Roman" w:eastAsia="Times New Roman" w:hAnsi="Times New Roman" w:cs="Times New Roman"/>
          <w:sz w:val="24"/>
          <w:szCs w:val="24"/>
        </w:rPr>
        <w:t>m. (D) Bar graph shows significant increase in fluorescence intensity with continued PA-supplementation as compared to control (</w:t>
      </w:r>
      <w:r w:rsidRPr="00133E72">
        <w:rPr>
          <w:rFonts w:ascii="Times New Roman" w:eastAsia="Times New Roman" w:hAnsi="Times New Roman" w:cs="Times New Roman"/>
          <w:i/>
          <w:iCs/>
          <w:sz w:val="24"/>
          <w:szCs w:val="24"/>
        </w:rPr>
        <w:t>n=4</w:t>
      </w:r>
      <w:r w:rsidRPr="00133E72">
        <w:rPr>
          <w:rFonts w:ascii="Times New Roman" w:eastAsia="Times New Roman" w:hAnsi="Times New Roman" w:cs="Times New Roman"/>
          <w:sz w:val="24"/>
          <w:szCs w:val="24"/>
        </w:rPr>
        <w:t>). Values are represented as mean ± SEM. Student’s t test was performed to determine statistical significance. ***</w:t>
      </w:r>
      <w:r w:rsidRPr="00133E72">
        <w:rPr>
          <w:rFonts w:ascii="Times New Roman" w:eastAsia="Times New Roman" w:hAnsi="Times New Roman" w:cs="Times New Roman"/>
          <w:i/>
          <w:sz w:val="24"/>
          <w:szCs w:val="24"/>
        </w:rPr>
        <w:t>p</w:t>
      </w:r>
      <w:r w:rsidRPr="00133E72">
        <w:rPr>
          <w:rFonts w:ascii="Times New Roman" w:eastAsia="Times New Roman" w:hAnsi="Times New Roman" w:cs="Times New Roman"/>
          <w:sz w:val="24"/>
          <w:szCs w:val="24"/>
        </w:rPr>
        <w:t> &lt; 0.001, ****</w:t>
      </w:r>
      <w:r w:rsidRPr="00133E72">
        <w:rPr>
          <w:rFonts w:ascii="Times New Roman" w:eastAsia="Times New Roman" w:hAnsi="Times New Roman" w:cs="Times New Roman"/>
          <w:i/>
          <w:sz w:val="24"/>
          <w:szCs w:val="24"/>
        </w:rPr>
        <w:t>p</w:t>
      </w:r>
      <w:r w:rsidRPr="00133E72">
        <w:rPr>
          <w:rFonts w:ascii="Times New Roman" w:eastAsia="Times New Roman" w:hAnsi="Times New Roman" w:cs="Times New Roman"/>
          <w:sz w:val="24"/>
          <w:szCs w:val="24"/>
        </w:rPr>
        <w:t> &lt; 0.0001.</w:t>
      </w:r>
    </w:p>
    <w:bookmarkEnd w:id="1"/>
    <w:p w:rsidR="008E18BB" w:rsidRPr="00133E72" w:rsidRDefault="008E18BB" w:rsidP="008E18BB">
      <w:pPr>
        <w:pBdr>
          <w:top w:val="nil"/>
          <w:left w:val="nil"/>
          <w:bottom w:val="nil"/>
          <w:right w:val="nil"/>
          <w:between w:val="nil"/>
        </w:pBdr>
        <w:spacing w:after="0" w:line="480" w:lineRule="auto"/>
        <w:ind w:left="284" w:right="-893"/>
        <w:jc w:val="both"/>
        <w:rPr>
          <w:rFonts w:ascii="Times New Roman" w:eastAsia="Times New Roman" w:hAnsi="Times New Roman" w:cs="Times New Roman"/>
          <w:sz w:val="24"/>
          <w:szCs w:val="24"/>
        </w:rPr>
      </w:pPr>
      <w:r w:rsidRPr="00133E72">
        <w:rPr>
          <w:rFonts w:ascii="Times New Roman" w:eastAsia="Times New Roman" w:hAnsi="Times New Roman" w:cs="Times New Roman"/>
          <w:b/>
          <w:sz w:val="24"/>
          <w:szCs w:val="24"/>
        </w:rPr>
        <w:t xml:space="preserve">Supplementary Fig 3B: PA-supplementation leads to alterations in expression of proteins involved in regulating hepatic lipid and glucose metabolism and mitochondrial oxidative phosphorylation. </w:t>
      </w:r>
      <w:r w:rsidRPr="00133E72">
        <w:rPr>
          <w:rFonts w:ascii="Times New Roman" w:eastAsia="Times New Roman" w:hAnsi="Times New Roman" w:cs="Times New Roman"/>
          <w:bCs/>
          <w:sz w:val="24"/>
          <w:szCs w:val="24"/>
        </w:rPr>
        <w:t xml:space="preserve">PA-supplementation leads to significant increase in expression of (A)SIRT1, </w:t>
      </w:r>
      <w:r w:rsidRPr="00133E72">
        <w:rPr>
          <w:rFonts w:ascii="Times New Roman" w:eastAsia="Times New Roman" w:hAnsi="Times New Roman" w:cs="Times New Roman"/>
          <w:bCs/>
          <w:sz w:val="24"/>
          <w:szCs w:val="24"/>
        </w:rPr>
        <w:lastRenderedPageBreak/>
        <w:t>(B)SREBP-1c, (C)PGC1</w:t>
      </w:r>
      <w:r w:rsidRPr="00133E72">
        <w:rPr>
          <w:rFonts w:ascii="Calibri" w:eastAsia="Times New Roman" w:hAnsi="Calibri" w:cs="Calibri"/>
          <w:bCs/>
          <w:sz w:val="24"/>
          <w:szCs w:val="24"/>
        </w:rPr>
        <w:t>α</w:t>
      </w:r>
      <w:r w:rsidRPr="00133E72">
        <w:rPr>
          <w:rFonts w:ascii="Times New Roman" w:eastAsia="Times New Roman" w:hAnsi="Times New Roman" w:cs="Times New Roman"/>
          <w:bCs/>
          <w:sz w:val="24"/>
          <w:szCs w:val="24"/>
        </w:rPr>
        <w:t>, (D)CEBPA and (E)mitochondrial OXPHOS complex protein levels as seen by immunoblotting(</w:t>
      </w:r>
      <w:r w:rsidRPr="00133E72">
        <w:rPr>
          <w:rFonts w:ascii="Times New Roman" w:eastAsia="Times New Roman" w:hAnsi="Times New Roman" w:cs="Times New Roman"/>
          <w:bCs/>
          <w:i/>
          <w:iCs/>
          <w:sz w:val="24"/>
          <w:szCs w:val="24"/>
        </w:rPr>
        <w:t>n=3</w:t>
      </w:r>
      <w:r w:rsidRPr="00133E72">
        <w:rPr>
          <w:rFonts w:ascii="Times New Roman" w:eastAsia="Times New Roman" w:hAnsi="Times New Roman" w:cs="Times New Roman"/>
          <w:bCs/>
          <w:sz w:val="24"/>
          <w:szCs w:val="24"/>
        </w:rPr>
        <w:t xml:space="preserve">). </w:t>
      </w:r>
      <w:r w:rsidRPr="00133E72">
        <w:rPr>
          <w:rFonts w:ascii="Calibri" w:eastAsia="Times New Roman" w:hAnsi="Calibri" w:cs="Calibri"/>
          <w:bCs/>
          <w:sz w:val="24"/>
          <w:szCs w:val="24"/>
        </w:rPr>
        <w:t>β</w:t>
      </w:r>
      <w:r w:rsidRPr="00133E72">
        <w:rPr>
          <w:rFonts w:ascii="Times New Roman" w:eastAsia="Times New Roman" w:hAnsi="Times New Roman" w:cs="Times New Roman"/>
          <w:bCs/>
          <w:sz w:val="24"/>
          <w:szCs w:val="24"/>
        </w:rPr>
        <w:t xml:space="preserve">-actin used as loading control. Uncropped blots are presented here. </w:t>
      </w:r>
      <w:bookmarkEnd w:id="2"/>
    </w:p>
    <w:p w:rsidR="008E18BB" w:rsidRPr="00133E72" w:rsidRDefault="008E18BB" w:rsidP="008E18BB">
      <w:pPr>
        <w:spacing w:line="480" w:lineRule="auto"/>
        <w:ind w:left="284" w:right="-893"/>
        <w:jc w:val="both"/>
        <w:rPr>
          <w:rFonts w:ascii="Times New Roman" w:hAnsi="Times New Roman" w:cs="Times New Roman"/>
          <w:spacing w:val="1"/>
          <w:sz w:val="24"/>
          <w:szCs w:val="24"/>
        </w:rPr>
      </w:pPr>
      <w:r w:rsidRPr="00133E72">
        <w:rPr>
          <w:rFonts w:ascii="Times New Roman" w:eastAsia="Times New Roman" w:hAnsi="Times New Roman" w:cs="Times New Roman"/>
          <w:b/>
          <w:bCs/>
          <w:sz w:val="24"/>
          <w:szCs w:val="24"/>
        </w:rPr>
        <w:t>Supplementary Fig. 4</w:t>
      </w:r>
      <w:r w:rsidRPr="00133E72">
        <w:rPr>
          <w:rFonts w:ascii="Times New Roman" w:hAnsi="Times New Roman" w:cs="Times New Roman"/>
          <w:b/>
          <w:bCs/>
          <w:spacing w:val="1"/>
          <w:sz w:val="24"/>
          <w:szCs w:val="24"/>
        </w:rPr>
        <w:t xml:space="preserve"> Comparison between </w:t>
      </w:r>
      <w:bookmarkStart w:id="3" w:name="_Hlk172499091"/>
      <w:r w:rsidRPr="00133E72">
        <w:rPr>
          <w:rFonts w:ascii="Times New Roman" w:hAnsi="Times New Roman" w:cs="Times New Roman"/>
          <w:b/>
          <w:bCs/>
          <w:spacing w:val="1"/>
          <w:sz w:val="24"/>
          <w:szCs w:val="24"/>
        </w:rPr>
        <w:t>palmitic acid- and fructose-based MAFLD model</w:t>
      </w:r>
      <w:bookmarkEnd w:id="3"/>
      <w:r w:rsidRPr="00133E72">
        <w:rPr>
          <w:rFonts w:ascii="Times New Roman" w:hAnsi="Times New Roman" w:cs="Times New Roman"/>
          <w:b/>
          <w:bCs/>
          <w:spacing w:val="1"/>
          <w:sz w:val="24"/>
          <w:szCs w:val="24"/>
        </w:rPr>
        <w:t xml:space="preserve">: </w:t>
      </w:r>
      <w:r w:rsidRPr="00133E72">
        <w:rPr>
          <w:rFonts w:ascii="Times New Roman" w:hAnsi="Times New Roman" w:cs="Times New Roman"/>
          <w:spacing w:val="1"/>
          <w:sz w:val="24"/>
          <w:szCs w:val="24"/>
        </w:rPr>
        <w:t>The dot plots depict the overlap between the categories regulation of cellular activities, membrane transport, cell adhesion and migration, receptor activity, binding activity, immune system response, development, maintenance, and organization, signaling pathways, transporter activity and regulatory activity in palmitic acid- and fructose-based MAFLD model. The vertical items are the names of GO terms, and the length of horizontal graph represents the gene ratio. The depth of the colour represents the adjusted p-value. The area of circle in the graph means gene counts. Constructed with ggplot2 in R package tidyverse (</w:t>
      </w:r>
      <w:hyperlink r:id="rId6" w:history="1">
        <w:r w:rsidRPr="00133E72">
          <w:rPr>
            <w:rStyle w:val="Hyperlink"/>
            <w:rFonts w:ascii="Times New Roman" w:hAnsi="Times New Roman" w:cs="Times New Roman"/>
            <w:spacing w:val="1"/>
            <w:sz w:val="24"/>
            <w:szCs w:val="24"/>
          </w:rPr>
          <w:t>https://www.tidyverse.org/</w:t>
        </w:r>
      </w:hyperlink>
      <w:r w:rsidRPr="00133E72">
        <w:rPr>
          <w:rFonts w:ascii="Times New Roman" w:hAnsi="Times New Roman" w:cs="Times New Roman"/>
          <w:spacing w:val="1"/>
          <w:sz w:val="24"/>
          <w:szCs w:val="24"/>
        </w:rPr>
        <w:t>).</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
          <w:sz w:val="24"/>
          <w:szCs w:val="24"/>
        </w:rPr>
        <w:t>Supplementary Data 1</w:t>
      </w:r>
      <w:r w:rsidRPr="00133E72">
        <w:rPr>
          <w:rFonts w:ascii="Times New Roman" w:eastAsia="Times New Roman" w:hAnsi="Times New Roman" w:cs="Times New Roman"/>
          <w:bCs/>
          <w:sz w:val="24"/>
          <w:szCs w:val="24"/>
        </w:rPr>
        <w:t xml:space="preserve"> Dysregulated genes associated with palmitic acid (PA) fed zebrafish (Sheet 1). Gene Set Enrichment analysis (GSEA) for Gene Ontology (Sheet 2) and GSEA for KEGG pathways (Sheet 3).</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
          <w:sz w:val="24"/>
          <w:szCs w:val="24"/>
        </w:rPr>
        <w:t>Supplementary Data 2</w:t>
      </w:r>
      <w:r w:rsidRPr="00133E72">
        <w:rPr>
          <w:rFonts w:ascii="Times New Roman" w:eastAsia="Times New Roman" w:hAnsi="Times New Roman" w:cs="Times New Roman"/>
          <w:bCs/>
          <w:sz w:val="24"/>
          <w:szCs w:val="24"/>
        </w:rPr>
        <w:t xml:space="preserve"> Dysregulated genes associated with high fat diet fructose mouse model (Sheet 1). Comparison between Fructose and Palmitic models for the categories (Sheet 2-15):</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Cs/>
          <w:sz w:val="24"/>
          <w:szCs w:val="24"/>
        </w:rPr>
        <w:t>Lipid metabolism and regulation</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Cs/>
          <w:sz w:val="24"/>
          <w:szCs w:val="24"/>
        </w:rPr>
        <w:t>Metabolic process</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Cs/>
          <w:sz w:val="24"/>
          <w:szCs w:val="24"/>
        </w:rPr>
        <w:t>Cellular component and KEGG</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Cs/>
          <w:sz w:val="24"/>
          <w:szCs w:val="24"/>
        </w:rPr>
        <w:t>Enzyme activity</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Cs/>
          <w:sz w:val="24"/>
          <w:szCs w:val="24"/>
        </w:rPr>
        <w:t>Regulation of cellular activity</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Cs/>
          <w:sz w:val="24"/>
          <w:szCs w:val="24"/>
        </w:rPr>
        <w:t>Membrane transport</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Cs/>
          <w:sz w:val="24"/>
          <w:szCs w:val="24"/>
        </w:rPr>
        <w:t>Cell adhesion</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Cs/>
          <w:sz w:val="24"/>
          <w:szCs w:val="24"/>
        </w:rPr>
        <w:lastRenderedPageBreak/>
        <w:t>Receptor activity</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Cs/>
          <w:sz w:val="24"/>
          <w:szCs w:val="24"/>
        </w:rPr>
        <w:t>Binding activity</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Cs/>
          <w:sz w:val="24"/>
          <w:szCs w:val="24"/>
        </w:rPr>
        <w:t>Immune system response</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Cs/>
          <w:sz w:val="24"/>
          <w:szCs w:val="24"/>
        </w:rPr>
        <w:t>Development</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Cs/>
          <w:sz w:val="24"/>
          <w:szCs w:val="24"/>
        </w:rPr>
        <w:t>Signalling pathways</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Cs/>
          <w:sz w:val="24"/>
          <w:szCs w:val="24"/>
        </w:rPr>
        <w:t>Transporter activity</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Cs/>
          <w:sz w:val="24"/>
          <w:szCs w:val="24"/>
        </w:rPr>
        <w:t>Regulatory activity</w:t>
      </w:r>
    </w:p>
    <w:p w:rsidR="008E18BB" w:rsidRPr="00133E72"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
          <w:sz w:val="24"/>
          <w:szCs w:val="24"/>
        </w:rPr>
        <w:t xml:space="preserve">Supplementary Data 3: </w:t>
      </w:r>
      <w:r w:rsidRPr="00133E72">
        <w:rPr>
          <w:rFonts w:ascii="Times New Roman" w:eastAsia="Times New Roman" w:hAnsi="Times New Roman" w:cs="Times New Roman"/>
          <w:bCs/>
          <w:sz w:val="24"/>
          <w:szCs w:val="24"/>
        </w:rPr>
        <w:t>List of all overlapping dysregulated genes between high fat diet</w:t>
      </w:r>
      <w:r w:rsidRPr="00133E72">
        <w:rPr>
          <w:rFonts w:ascii="Times New Roman" w:eastAsia="Times New Roman" w:hAnsi="Times New Roman" w:cs="Times New Roman"/>
          <w:b/>
          <w:sz w:val="24"/>
          <w:szCs w:val="24"/>
        </w:rPr>
        <w:t xml:space="preserve"> </w:t>
      </w:r>
      <w:r w:rsidRPr="00133E72">
        <w:rPr>
          <w:rFonts w:ascii="Times New Roman" w:eastAsia="Times New Roman" w:hAnsi="Times New Roman" w:cs="Times New Roman"/>
          <w:bCs/>
          <w:sz w:val="24"/>
          <w:szCs w:val="24"/>
        </w:rPr>
        <w:t xml:space="preserve">fructose and palmitic models (Sheet 1). List of overlapping dysregulated genes with </w:t>
      </w:r>
      <w:r w:rsidRPr="00133E72">
        <w:rPr>
          <w:rFonts w:ascii="Times New Roman" w:eastAsia="Times New Roman" w:hAnsi="Times New Roman" w:cs="Times New Roman"/>
          <w:sz w:val="24"/>
          <w:szCs w:val="24"/>
        </w:rPr>
        <w:t>log2FC ≥ 1.0 or ≤ –1.0 (</w:t>
      </w:r>
      <w:r w:rsidRPr="00133E72">
        <w:rPr>
          <w:rFonts w:ascii="Times New Roman" w:eastAsia="Times New Roman" w:hAnsi="Times New Roman" w:cs="Times New Roman"/>
          <w:bCs/>
          <w:sz w:val="24"/>
          <w:szCs w:val="24"/>
        </w:rPr>
        <w:t>Sheet 2)</w:t>
      </w:r>
      <w:r w:rsidRPr="00133E72">
        <w:rPr>
          <w:rFonts w:ascii="Times New Roman" w:eastAsia="Times New Roman" w:hAnsi="Times New Roman" w:cs="Times New Roman"/>
          <w:sz w:val="24"/>
          <w:szCs w:val="24"/>
        </w:rPr>
        <w:t>.</w:t>
      </w:r>
    </w:p>
    <w:p w:rsidR="008E18BB" w:rsidRPr="00A038FB" w:rsidRDefault="008E18BB" w:rsidP="008E18BB">
      <w:pPr>
        <w:spacing w:line="480" w:lineRule="auto"/>
        <w:ind w:left="284" w:right="-893"/>
        <w:jc w:val="both"/>
        <w:rPr>
          <w:rFonts w:ascii="Times New Roman" w:eastAsia="Times New Roman" w:hAnsi="Times New Roman" w:cs="Times New Roman"/>
          <w:bCs/>
          <w:sz w:val="24"/>
          <w:szCs w:val="24"/>
        </w:rPr>
      </w:pPr>
      <w:r w:rsidRPr="00133E72">
        <w:rPr>
          <w:rFonts w:ascii="Times New Roman" w:eastAsia="Times New Roman" w:hAnsi="Times New Roman" w:cs="Times New Roman"/>
          <w:b/>
          <w:sz w:val="24"/>
          <w:szCs w:val="24"/>
        </w:rPr>
        <w:t>Supplementary Data 4:</w:t>
      </w:r>
      <w:r w:rsidRPr="00133E72">
        <w:rPr>
          <w:rFonts w:ascii="Times New Roman" w:eastAsia="Times New Roman" w:hAnsi="Times New Roman" w:cs="Times New Roman"/>
          <w:bCs/>
          <w:sz w:val="24"/>
          <w:szCs w:val="24"/>
        </w:rPr>
        <w:t xml:space="preserve"> Dysregulated genes associated with human MAFLD dataset (Sheet 1). Common upregulated genes (Sheet 2) and downregulated genes (Sheet 3) between human and zebrafish model (Sheet 2). GO enrichment analysis for common upregulated genes (Sheet 4) and downregulated genes (Sheet 5).</w:t>
      </w:r>
    </w:p>
    <w:p w:rsidR="008E18BB" w:rsidRDefault="008E18BB" w:rsidP="008E18BB">
      <w:pPr>
        <w:spacing w:line="480" w:lineRule="auto"/>
        <w:ind w:left="284" w:right="-893"/>
        <w:jc w:val="both"/>
        <w:rPr>
          <w:rFonts w:ascii="Times New Roman" w:eastAsia="Times New Roman" w:hAnsi="Times New Roman" w:cs="Times New Roman"/>
          <w:b/>
          <w:sz w:val="24"/>
          <w:szCs w:val="24"/>
        </w:rPr>
      </w:pPr>
    </w:p>
    <w:bookmarkEnd w:id="0"/>
    <w:p w:rsidR="005F7E33" w:rsidRDefault="005F7E33"/>
    <w:sectPr w:rsidR="005F7E33" w:rsidSect="00513A0E">
      <w:footerReference w:type="default" r:id="rId7"/>
      <w:pgSz w:w="11910" w:h="16840" w:code="9"/>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13A0E">
      <w:pPr>
        <w:spacing w:after="0" w:line="240" w:lineRule="auto"/>
      </w:pPr>
      <w:r>
        <w:separator/>
      </w:r>
    </w:p>
  </w:endnote>
  <w:endnote w:type="continuationSeparator" w:id="0">
    <w:p w:rsidR="00000000" w:rsidRDefault="00513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4681975"/>
      <w:docPartObj>
        <w:docPartGallery w:val="Page Numbers (Bottom of Page)"/>
        <w:docPartUnique/>
      </w:docPartObj>
    </w:sdtPr>
    <w:sdtEndPr>
      <w:rPr>
        <w:noProof/>
      </w:rPr>
    </w:sdtEndPr>
    <w:sdtContent>
      <w:p w:rsidR="000B4662" w:rsidRDefault="008E18BB">
        <w:pPr>
          <w:pStyle w:val="Footer"/>
          <w:jc w:val="right"/>
        </w:pPr>
        <w:r>
          <w:fldChar w:fldCharType="begin"/>
        </w:r>
        <w:r>
          <w:instrText xml:space="preserve"> PAGE   \* MERGEFORMAT </w:instrText>
        </w:r>
        <w:r>
          <w:fldChar w:fldCharType="separate"/>
        </w:r>
        <w:r w:rsidR="00513A0E">
          <w:rPr>
            <w:noProof/>
          </w:rPr>
          <w:t>1</w:t>
        </w:r>
        <w:r>
          <w:rPr>
            <w:noProof/>
          </w:rPr>
          <w:fldChar w:fldCharType="end"/>
        </w:r>
      </w:p>
    </w:sdtContent>
  </w:sdt>
  <w:p w:rsidR="000B4662" w:rsidRDefault="00513A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13A0E">
      <w:pPr>
        <w:spacing w:after="0" w:line="240" w:lineRule="auto"/>
      </w:pPr>
      <w:r>
        <w:separator/>
      </w:r>
    </w:p>
  </w:footnote>
  <w:footnote w:type="continuationSeparator" w:id="0">
    <w:p w:rsidR="00000000" w:rsidRDefault="00513A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8BB"/>
    <w:rsid w:val="00001EBE"/>
    <w:rsid w:val="0000648B"/>
    <w:rsid w:val="0001210D"/>
    <w:rsid w:val="000137E8"/>
    <w:rsid w:val="00015451"/>
    <w:rsid w:val="00020275"/>
    <w:rsid w:val="00033B53"/>
    <w:rsid w:val="00034C45"/>
    <w:rsid w:val="00042BEF"/>
    <w:rsid w:val="0004414D"/>
    <w:rsid w:val="00045C0F"/>
    <w:rsid w:val="00050EA3"/>
    <w:rsid w:val="00061FFC"/>
    <w:rsid w:val="0006645C"/>
    <w:rsid w:val="00074505"/>
    <w:rsid w:val="0008228D"/>
    <w:rsid w:val="00083547"/>
    <w:rsid w:val="000A6563"/>
    <w:rsid w:val="000B28C2"/>
    <w:rsid w:val="000C60EC"/>
    <w:rsid w:val="000D1189"/>
    <w:rsid w:val="000E1EC5"/>
    <w:rsid w:val="000F19DA"/>
    <w:rsid w:val="000F1A82"/>
    <w:rsid w:val="00102DE3"/>
    <w:rsid w:val="001219CE"/>
    <w:rsid w:val="00131D71"/>
    <w:rsid w:val="00135FB1"/>
    <w:rsid w:val="00140202"/>
    <w:rsid w:val="00151462"/>
    <w:rsid w:val="0016653F"/>
    <w:rsid w:val="00166A0A"/>
    <w:rsid w:val="00166BD0"/>
    <w:rsid w:val="00177058"/>
    <w:rsid w:val="00182934"/>
    <w:rsid w:val="00186CE4"/>
    <w:rsid w:val="001878E0"/>
    <w:rsid w:val="001C7DF1"/>
    <w:rsid w:val="001D1BA9"/>
    <w:rsid w:val="001E2E68"/>
    <w:rsid w:val="001E31F2"/>
    <w:rsid w:val="001E75EA"/>
    <w:rsid w:val="001F6106"/>
    <w:rsid w:val="00202214"/>
    <w:rsid w:val="00210301"/>
    <w:rsid w:val="00214B21"/>
    <w:rsid w:val="002158DE"/>
    <w:rsid w:val="00223576"/>
    <w:rsid w:val="00241743"/>
    <w:rsid w:val="0025283E"/>
    <w:rsid w:val="002537C4"/>
    <w:rsid w:val="00253A0F"/>
    <w:rsid w:val="002624B3"/>
    <w:rsid w:val="00263952"/>
    <w:rsid w:val="00265C50"/>
    <w:rsid w:val="002667E7"/>
    <w:rsid w:val="0027089E"/>
    <w:rsid w:val="00282F5E"/>
    <w:rsid w:val="0028609C"/>
    <w:rsid w:val="002955CB"/>
    <w:rsid w:val="002A3744"/>
    <w:rsid w:val="002A505B"/>
    <w:rsid w:val="002B104B"/>
    <w:rsid w:val="002C5984"/>
    <w:rsid w:val="002C7AB0"/>
    <w:rsid w:val="002D15D0"/>
    <w:rsid w:val="002D31C6"/>
    <w:rsid w:val="002D727F"/>
    <w:rsid w:val="002E1193"/>
    <w:rsid w:val="002E3074"/>
    <w:rsid w:val="002E4478"/>
    <w:rsid w:val="002F1285"/>
    <w:rsid w:val="00303589"/>
    <w:rsid w:val="003040EB"/>
    <w:rsid w:val="0031117B"/>
    <w:rsid w:val="00314FB4"/>
    <w:rsid w:val="0031592F"/>
    <w:rsid w:val="00316A89"/>
    <w:rsid w:val="003235C9"/>
    <w:rsid w:val="00327E51"/>
    <w:rsid w:val="00332E30"/>
    <w:rsid w:val="00336C5E"/>
    <w:rsid w:val="003374B2"/>
    <w:rsid w:val="00337928"/>
    <w:rsid w:val="00340776"/>
    <w:rsid w:val="003500BE"/>
    <w:rsid w:val="00352017"/>
    <w:rsid w:val="00357C80"/>
    <w:rsid w:val="00360E9D"/>
    <w:rsid w:val="00367915"/>
    <w:rsid w:val="0038114B"/>
    <w:rsid w:val="00393A05"/>
    <w:rsid w:val="00393A61"/>
    <w:rsid w:val="00393CE7"/>
    <w:rsid w:val="00395B37"/>
    <w:rsid w:val="003A4128"/>
    <w:rsid w:val="003F0FAB"/>
    <w:rsid w:val="0040517F"/>
    <w:rsid w:val="004110B2"/>
    <w:rsid w:val="00413BCF"/>
    <w:rsid w:val="00425680"/>
    <w:rsid w:val="00440F60"/>
    <w:rsid w:val="00441760"/>
    <w:rsid w:val="004530AC"/>
    <w:rsid w:val="0045611F"/>
    <w:rsid w:val="00460050"/>
    <w:rsid w:val="00460552"/>
    <w:rsid w:val="00463D29"/>
    <w:rsid w:val="004806C3"/>
    <w:rsid w:val="00483A4D"/>
    <w:rsid w:val="00484F4C"/>
    <w:rsid w:val="004A427A"/>
    <w:rsid w:val="004C1303"/>
    <w:rsid w:val="004D114B"/>
    <w:rsid w:val="004D7554"/>
    <w:rsid w:val="004E0505"/>
    <w:rsid w:val="004E38BE"/>
    <w:rsid w:val="004F2D40"/>
    <w:rsid w:val="0050337C"/>
    <w:rsid w:val="00511206"/>
    <w:rsid w:val="00513A0E"/>
    <w:rsid w:val="00523D68"/>
    <w:rsid w:val="00523E8B"/>
    <w:rsid w:val="00527500"/>
    <w:rsid w:val="00536D30"/>
    <w:rsid w:val="00537691"/>
    <w:rsid w:val="00544EA5"/>
    <w:rsid w:val="00555637"/>
    <w:rsid w:val="00573294"/>
    <w:rsid w:val="00592D3A"/>
    <w:rsid w:val="005A455E"/>
    <w:rsid w:val="005B0BB2"/>
    <w:rsid w:val="005C0388"/>
    <w:rsid w:val="005C2786"/>
    <w:rsid w:val="005C2CCC"/>
    <w:rsid w:val="005C2F40"/>
    <w:rsid w:val="005C65B6"/>
    <w:rsid w:val="005C709E"/>
    <w:rsid w:val="005D34E7"/>
    <w:rsid w:val="005D370D"/>
    <w:rsid w:val="005D7FA1"/>
    <w:rsid w:val="005E1F68"/>
    <w:rsid w:val="005F6B14"/>
    <w:rsid w:val="005F7778"/>
    <w:rsid w:val="005F7E33"/>
    <w:rsid w:val="00601F5B"/>
    <w:rsid w:val="00602EC1"/>
    <w:rsid w:val="00605BF4"/>
    <w:rsid w:val="00610E74"/>
    <w:rsid w:val="00613228"/>
    <w:rsid w:val="00614DA2"/>
    <w:rsid w:val="00615C13"/>
    <w:rsid w:val="00635DF0"/>
    <w:rsid w:val="006529F8"/>
    <w:rsid w:val="00654A10"/>
    <w:rsid w:val="00656319"/>
    <w:rsid w:val="00656872"/>
    <w:rsid w:val="0066071E"/>
    <w:rsid w:val="00664AE9"/>
    <w:rsid w:val="00665C55"/>
    <w:rsid w:val="006726F9"/>
    <w:rsid w:val="00677C64"/>
    <w:rsid w:val="00682001"/>
    <w:rsid w:val="00694A23"/>
    <w:rsid w:val="006A1501"/>
    <w:rsid w:val="006B115E"/>
    <w:rsid w:val="006B15A9"/>
    <w:rsid w:val="006C4CBB"/>
    <w:rsid w:val="006E0AA6"/>
    <w:rsid w:val="006E4A21"/>
    <w:rsid w:val="006E79E0"/>
    <w:rsid w:val="00701244"/>
    <w:rsid w:val="00706661"/>
    <w:rsid w:val="007160AB"/>
    <w:rsid w:val="007225F8"/>
    <w:rsid w:val="00723D97"/>
    <w:rsid w:val="00723ED9"/>
    <w:rsid w:val="0072685E"/>
    <w:rsid w:val="007412ED"/>
    <w:rsid w:val="00743D86"/>
    <w:rsid w:val="00750E33"/>
    <w:rsid w:val="00772F88"/>
    <w:rsid w:val="007A0407"/>
    <w:rsid w:val="007C0A58"/>
    <w:rsid w:val="007D5C04"/>
    <w:rsid w:val="007D6AA2"/>
    <w:rsid w:val="007E6FB4"/>
    <w:rsid w:val="007F0EC4"/>
    <w:rsid w:val="007F1903"/>
    <w:rsid w:val="008102CD"/>
    <w:rsid w:val="00816AE4"/>
    <w:rsid w:val="00822F1C"/>
    <w:rsid w:val="00852054"/>
    <w:rsid w:val="0086257B"/>
    <w:rsid w:val="00865B68"/>
    <w:rsid w:val="00873E99"/>
    <w:rsid w:val="00874AB6"/>
    <w:rsid w:val="00882379"/>
    <w:rsid w:val="0088552A"/>
    <w:rsid w:val="00895D32"/>
    <w:rsid w:val="0089716B"/>
    <w:rsid w:val="008A03AC"/>
    <w:rsid w:val="008C5F05"/>
    <w:rsid w:val="008D2658"/>
    <w:rsid w:val="008D29A9"/>
    <w:rsid w:val="008D5285"/>
    <w:rsid w:val="008E18BB"/>
    <w:rsid w:val="008F07E0"/>
    <w:rsid w:val="008F0A81"/>
    <w:rsid w:val="008F5F0B"/>
    <w:rsid w:val="00904727"/>
    <w:rsid w:val="00911A39"/>
    <w:rsid w:val="009239ED"/>
    <w:rsid w:val="009248C1"/>
    <w:rsid w:val="0092696B"/>
    <w:rsid w:val="009302C8"/>
    <w:rsid w:val="009410B4"/>
    <w:rsid w:val="0095143C"/>
    <w:rsid w:val="00962013"/>
    <w:rsid w:val="00970537"/>
    <w:rsid w:val="009748B3"/>
    <w:rsid w:val="00993AFB"/>
    <w:rsid w:val="00995ED7"/>
    <w:rsid w:val="00997439"/>
    <w:rsid w:val="009A160E"/>
    <w:rsid w:val="009A6E1A"/>
    <w:rsid w:val="009C7142"/>
    <w:rsid w:val="009E111B"/>
    <w:rsid w:val="00A04848"/>
    <w:rsid w:val="00A1465B"/>
    <w:rsid w:val="00A16530"/>
    <w:rsid w:val="00A23BD0"/>
    <w:rsid w:val="00A26816"/>
    <w:rsid w:val="00A32D75"/>
    <w:rsid w:val="00A34761"/>
    <w:rsid w:val="00A35C3D"/>
    <w:rsid w:val="00A40F2B"/>
    <w:rsid w:val="00A42AF8"/>
    <w:rsid w:val="00A613C0"/>
    <w:rsid w:val="00A717C4"/>
    <w:rsid w:val="00A72375"/>
    <w:rsid w:val="00A76F66"/>
    <w:rsid w:val="00A86488"/>
    <w:rsid w:val="00A8687B"/>
    <w:rsid w:val="00A96B83"/>
    <w:rsid w:val="00AA04C2"/>
    <w:rsid w:val="00AA35AA"/>
    <w:rsid w:val="00AA55F9"/>
    <w:rsid w:val="00AB05A4"/>
    <w:rsid w:val="00B06600"/>
    <w:rsid w:val="00B1485B"/>
    <w:rsid w:val="00B300FC"/>
    <w:rsid w:val="00B31E7E"/>
    <w:rsid w:val="00B42921"/>
    <w:rsid w:val="00B46DCC"/>
    <w:rsid w:val="00B54D87"/>
    <w:rsid w:val="00B57048"/>
    <w:rsid w:val="00B57D75"/>
    <w:rsid w:val="00B63931"/>
    <w:rsid w:val="00B705D7"/>
    <w:rsid w:val="00B84CC8"/>
    <w:rsid w:val="00B86C7D"/>
    <w:rsid w:val="00B91D50"/>
    <w:rsid w:val="00BA187E"/>
    <w:rsid w:val="00BA534B"/>
    <w:rsid w:val="00BA711E"/>
    <w:rsid w:val="00BB5ECA"/>
    <w:rsid w:val="00BC16A3"/>
    <w:rsid w:val="00BC5A7F"/>
    <w:rsid w:val="00BD0341"/>
    <w:rsid w:val="00BD125D"/>
    <w:rsid w:val="00BD1809"/>
    <w:rsid w:val="00BF2C5E"/>
    <w:rsid w:val="00C00F30"/>
    <w:rsid w:val="00C25AC4"/>
    <w:rsid w:val="00C47F76"/>
    <w:rsid w:val="00C6027F"/>
    <w:rsid w:val="00C874D7"/>
    <w:rsid w:val="00C96B8D"/>
    <w:rsid w:val="00CA1323"/>
    <w:rsid w:val="00CA31D6"/>
    <w:rsid w:val="00CD6ED9"/>
    <w:rsid w:val="00CD7135"/>
    <w:rsid w:val="00CE2C31"/>
    <w:rsid w:val="00CE2FFF"/>
    <w:rsid w:val="00D01C57"/>
    <w:rsid w:val="00D14D2D"/>
    <w:rsid w:val="00D35265"/>
    <w:rsid w:val="00D3713B"/>
    <w:rsid w:val="00D606F6"/>
    <w:rsid w:val="00D61C55"/>
    <w:rsid w:val="00D65CC1"/>
    <w:rsid w:val="00D75CF7"/>
    <w:rsid w:val="00D76461"/>
    <w:rsid w:val="00D80C60"/>
    <w:rsid w:val="00D9258D"/>
    <w:rsid w:val="00D973F6"/>
    <w:rsid w:val="00DA0AE9"/>
    <w:rsid w:val="00DA7A1B"/>
    <w:rsid w:val="00DB2E1B"/>
    <w:rsid w:val="00DC1DDE"/>
    <w:rsid w:val="00DD2E3F"/>
    <w:rsid w:val="00DE0C67"/>
    <w:rsid w:val="00DE15D1"/>
    <w:rsid w:val="00DE455F"/>
    <w:rsid w:val="00DE4D48"/>
    <w:rsid w:val="00E02B65"/>
    <w:rsid w:val="00E06CFE"/>
    <w:rsid w:val="00E118E0"/>
    <w:rsid w:val="00E237FC"/>
    <w:rsid w:val="00E30E1A"/>
    <w:rsid w:val="00E36F14"/>
    <w:rsid w:val="00E40D5A"/>
    <w:rsid w:val="00E55CEA"/>
    <w:rsid w:val="00E605FC"/>
    <w:rsid w:val="00E63FAB"/>
    <w:rsid w:val="00E671EF"/>
    <w:rsid w:val="00E73E0C"/>
    <w:rsid w:val="00E743EA"/>
    <w:rsid w:val="00E74C52"/>
    <w:rsid w:val="00E758C4"/>
    <w:rsid w:val="00E82E10"/>
    <w:rsid w:val="00E93A84"/>
    <w:rsid w:val="00EA03D9"/>
    <w:rsid w:val="00EC0777"/>
    <w:rsid w:val="00EC53B4"/>
    <w:rsid w:val="00ED574B"/>
    <w:rsid w:val="00ED6291"/>
    <w:rsid w:val="00EE11A9"/>
    <w:rsid w:val="00EE5A54"/>
    <w:rsid w:val="00EE6FF4"/>
    <w:rsid w:val="00EF54DF"/>
    <w:rsid w:val="00EF66E3"/>
    <w:rsid w:val="00F20871"/>
    <w:rsid w:val="00F2418C"/>
    <w:rsid w:val="00F42670"/>
    <w:rsid w:val="00F46DEA"/>
    <w:rsid w:val="00F6506F"/>
    <w:rsid w:val="00F875BE"/>
    <w:rsid w:val="00F90817"/>
    <w:rsid w:val="00F97E25"/>
    <w:rsid w:val="00FA4672"/>
    <w:rsid w:val="00FB63CF"/>
    <w:rsid w:val="00FD3410"/>
    <w:rsid w:val="00FD542B"/>
    <w:rsid w:val="00FE00DB"/>
    <w:rsid w:val="00FF29A4"/>
    <w:rsid w:val="00FF7B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5BC4C0-25F2-40F5-891B-CDC7CB439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18BB"/>
    <w:rPr>
      <w:color w:val="0000FF"/>
      <w:u w:val="single"/>
    </w:rPr>
  </w:style>
  <w:style w:type="paragraph" w:styleId="Footer">
    <w:name w:val="footer"/>
    <w:basedOn w:val="Normal"/>
    <w:link w:val="FooterChar"/>
    <w:uiPriority w:val="99"/>
    <w:unhideWhenUsed/>
    <w:rsid w:val="008E18BB"/>
    <w:pPr>
      <w:tabs>
        <w:tab w:val="center" w:pos="4513"/>
        <w:tab w:val="right" w:pos="9026"/>
      </w:tabs>
      <w:spacing w:after="0" w:line="240" w:lineRule="auto"/>
    </w:pPr>
    <w:rPr>
      <w:kern w:val="2"/>
      <w14:ligatures w14:val="standardContextual"/>
    </w:rPr>
  </w:style>
  <w:style w:type="character" w:customStyle="1" w:styleId="FooterChar">
    <w:name w:val="Footer Char"/>
    <w:basedOn w:val="DefaultParagraphFont"/>
    <w:link w:val="Footer"/>
    <w:uiPriority w:val="99"/>
    <w:rsid w:val="008E18BB"/>
    <w:rPr>
      <w:kern w:val="2"/>
      <w14:ligatures w14:val="standardContextual"/>
    </w:rPr>
  </w:style>
  <w:style w:type="character" w:styleId="LineNumber">
    <w:name w:val="line number"/>
    <w:basedOn w:val="DefaultParagraphFont"/>
    <w:uiPriority w:val="99"/>
    <w:semiHidden/>
    <w:unhideWhenUsed/>
    <w:rsid w:val="008E1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idyverse.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589</Words>
  <Characters>3361</Characters>
  <Application>Microsoft Office Word</Application>
  <DocSecurity>0</DocSecurity>
  <Lines>28</Lines>
  <Paragraphs>7</Paragraphs>
  <ScaleCrop>false</ScaleCrop>
  <Company/>
  <LinksUpToDate>false</LinksUpToDate>
  <CharactersWithSpaces>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Priyadharshini  Muruganantham</dc:creator>
  <cp:keywords/>
  <dc:description/>
  <cp:lastModifiedBy>Sri Priyadharshini  Muruganantham</cp:lastModifiedBy>
  <cp:revision>2</cp:revision>
  <dcterms:created xsi:type="dcterms:W3CDTF">2025-07-28T04:34:00Z</dcterms:created>
  <dcterms:modified xsi:type="dcterms:W3CDTF">2025-07-29T01:07:00Z</dcterms:modified>
</cp:coreProperties>
</file>