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8D137" w14:textId="5586A224" w:rsidR="00B95B81" w:rsidRPr="0038649C" w:rsidRDefault="00B95B81" w:rsidP="24745044">
      <w:pPr>
        <w:spacing w:line="276" w:lineRule="auto"/>
        <w:rPr>
          <w:rFonts w:ascii="Arial" w:eastAsia="Arial" w:hAnsi="Arial" w:cs="Arial"/>
          <w:b/>
          <w:bCs/>
          <w:sz w:val="22"/>
          <w:szCs w:val="22"/>
        </w:rPr>
      </w:pPr>
      <w:r w:rsidRPr="0038649C">
        <w:rPr>
          <w:rFonts w:ascii="Arial" w:eastAsia="Arial" w:hAnsi="Arial" w:cs="Arial"/>
          <w:b/>
          <w:bCs/>
          <w:sz w:val="22"/>
          <w:szCs w:val="22"/>
        </w:rPr>
        <w:t>Supplementary Figures</w:t>
      </w:r>
    </w:p>
    <w:p w14:paraId="5C340267" w14:textId="77777777" w:rsidR="00B95B81" w:rsidRPr="0038649C" w:rsidRDefault="00B95B81" w:rsidP="24745044">
      <w:pPr>
        <w:pStyle w:val="Title"/>
        <w:rPr>
          <w:rFonts w:ascii="Arial" w:hAnsi="Arial" w:cs="Arial"/>
          <w:sz w:val="22"/>
          <w:szCs w:val="22"/>
        </w:rPr>
      </w:pPr>
      <w:r w:rsidRPr="0038649C">
        <w:rPr>
          <w:rFonts w:ascii="Arial" w:hAnsi="Arial" w:cs="Arial"/>
          <w:sz w:val="22"/>
          <w:szCs w:val="22"/>
        </w:rPr>
        <w:t>Miniaturized Scalable Arrayed CRISPR Screening in Primary Cells Enables Discovery at the Single Donor Resolution</w:t>
      </w:r>
    </w:p>
    <w:p w14:paraId="524CFE76" w14:textId="77777777" w:rsidR="00B95B81" w:rsidRPr="0038649C" w:rsidRDefault="00B95B81" w:rsidP="24745044">
      <w:pPr>
        <w:spacing w:line="276" w:lineRule="auto"/>
        <w:rPr>
          <w:rFonts w:ascii="Arial" w:eastAsia="Arial" w:hAnsi="Arial" w:cs="Arial"/>
          <w:b/>
          <w:bCs/>
          <w:sz w:val="22"/>
          <w:szCs w:val="22"/>
        </w:rPr>
      </w:pPr>
    </w:p>
    <w:p w14:paraId="6ECAD4EC" w14:textId="77777777" w:rsidR="00B95B81" w:rsidRPr="0038649C" w:rsidRDefault="00B95B81" w:rsidP="24745044">
      <w:pPr>
        <w:pStyle w:val="Heading1"/>
        <w:rPr>
          <w:rFonts w:ascii="Arial" w:hAnsi="Arial" w:cs="Arial"/>
          <w:color w:val="auto"/>
          <w:sz w:val="22"/>
          <w:szCs w:val="22"/>
        </w:rPr>
      </w:pPr>
      <w:r w:rsidRPr="0038649C">
        <w:rPr>
          <w:rFonts w:ascii="Arial" w:hAnsi="Arial" w:cs="Arial"/>
          <w:color w:val="auto"/>
          <w:sz w:val="22"/>
          <w:szCs w:val="22"/>
        </w:rPr>
        <w:t>Authors</w:t>
      </w:r>
    </w:p>
    <w:p w14:paraId="33CF315A" w14:textId="226AA0F6" w:rsidR="00890640" w:rsidRPr="0038649C" w:rsidRDefault="00890640" w:rsidP="00890640">
      <w:pPr>
        <w:spacing w:line="276" w:lineRule="auto"/>
        <w:rPr>
          <w:rFonts w:ascii="Arial" w:eastAsia="Arial" w:hAnsi="Arial" w:cs="Arial"/>
          <w:sz w:val="22"/>
          <w:szCs w:val="22"/>
        </w:rPr>
      </w:pPr>
      <w:r w:rsidRPr="0038649C">
        <w:rPr>
          <w:rFonts w:ascii="Arial" w:eastAsia="Arial" w:hAnsi="Arial" w:cs="Arial"/>
          <w:sz w:val="22"/>
          <w:szCs w:val="22"/>
        </w:rPr>
        <w:t xml:space="preserve">Miti A. </w:t>
      </w:r>
      <w:proofErr w:type="gramStart"/>
      <w:r w:rsidRPr="0038649C">
        <w:rPr>
          <w:rFonts w:ascii="Arial" w:eastAsia="Arial" w:hAnsi="Arial" w:cs="Arial"/>
          <w:sz w:val="22"/>
          <w:szCs w:val="22"/>
        </w:rPr>
        <w:t>Patel</w:t>
      </w:r>
      <w:r w:rsidRPr="0038649C">
        <w:rPr>
          <w:rFonts w:ascii="Arial" w:eastAsia="Arial" w:hAnsi="Arial" w:cs="Arial"/>
          <w:sz w:val="22"/>
          <w:szCs w:val="22"/>
          <w:vertAlign w:val="superscript"/>
        </w:rPr>
        <w:t>1†</w:t>
      </w:r>
      <w:r w:rsidRPr="0038649C">
        <w:rPr>
          <w:rFonts w:ascii="Arial" w:eastAsia="Arial" w:hAnsi="Arial" w:cs="Arial"/>
          <w:sz w:val="22"/>
          <w:szCs w:val="22"/>
        </w:rPr>
        <w:t>,</w:t>
      </w:r>
      <w:proofErr w:type="gramEnd"/>
      <w:r w:rsidRPr="0038649C">
        <w:rPr>
          <w:rFonts w:ascii="Arial" w:eastAsia="Arial" w:hAnsi="Arial" w:cs="Arial"/>
          <w:sz w:val="22"/>
          <w:szCs w:val="22"/>
        </w:rPr>
        <w:t xml:space="preserve"> Brittany P. </w:t>
      </w:r>
      <w:proofErr w:type="gramStart"/>
      <w:r w:rsidRPr="0038649C">
        <w:rPr>
          <w:rFonts w:ascii="Arial" w:eastAsia="Arial" w:hAnsi="Arial" w:cs="Arial"/>
          <w:sz w:val="22"/>
          <w:szCs w:val="22"/>
        </w:rPr>
        <w:t>Boribong</w:t>
      </w:r>
      <w:r w:rsidRPr="0038649C">
        <w:rPr>
          <w:rFonts w:ascii="Arial" w:eastAsia="Arial" w:hAnsi="Arial" w:cs="Arial"/>
          <w:sz w:val="22"/>
          <w:szCs w:val="22"/>
          <w:vertAlign w:val="superscript"/>
        </w:rPr>
        <w:t>1†</w:t>
      </w:r>
      <w:r w:rsidRPr="0038649C">
        <w:rPr>
          <w:rFonts w:ascii="Arial" w:eastAsia="Arial" w:hAnsi="Arial" w:cs="Arial"/>
          <w:sz w:val="22"/>
          <w:szCs w:val="22"/>
        </w:rPr>
        <w:t>,</w:t>
      </w:r>
      <w:proofErr w:type="gramEnd"/>
      <w:r w:rsidRPr="0038649C">
        <w:rPr>
          <w:rFonts w:ascii="Arial" w:eastAsia="Arial" w:hAnsi="Arial" w:cs="Arial"/>
          <w:sz w:val="22"/>
          <w:szCs w:val="22"/>
        </w:rPr>
        <w:t xml:space="preserve"> Hugo Sinha</w:t>
      </w:r>
      <w:r w:rsidRPr="0038649C">
        <w:rPr>
          <w:rFonts w:ascii="Arial" w:eastAsia="Arial" w:hAnsi="Arial" w:cs="Arial"/>
          <w:sz w:val="22"/>
          <w:szCs w:val="22"/>
          <w:vertAlign w:val="superscript"/>
        </w:rPr>
        <w:t>1</w:t>
      </w:r>
      <w:r w:rsidRPr="0038649C">
        <w:rPr>
          <w:rFonts w:ascii="Arial" w:eastAsia="Arial" w:hAnsi="Arial" w:cs="Arial"/>
          <w:sz w:val="22"/>
          <w:szCs w:val="22"/>
        </w:rPr>
        <w:t>, Bin Xiao</w:t>
      </w:r>
      <w:r w:rsidRPr="0038649C">
        <w:rPr>
          <w:rFonts w:ascii="Arial" w:eastAsia="Arial" w:hAnsi="Arial" w:cs="Arial"/>
          <w:sz w:val="22"/>
          <w:szCs w:val="22"/>
          <w:vertAlign w:val="superscript"/>
        </w:rPr>
        <w:t>2,3</w:t>
      </w:r>
      <w:r w:rsidRPr="0038649C">
        <w:rPr>
          <w:rFonts w:ascii="Arial" w:eastAsia="Arial" w:hAnsi="Arial" w:cs="Arial"/>
          <w:sz w:val="22"/>
          <w:szCs w:val="22"/>
        </w:rPr>
        <w:t>, Keqiang Xie</w:t>
      </w:r>
      <w:r w:rsidRPr="0038649C">
        <w:rPr>
          <w:rFonts w:ascii="Arial" w:eastAsia="Arial" w:hAnsi="Arial" w:cs="Arial"/>
          <w:sz w:val="22"/>
          <w:szCs w:val="22"/>
          <w:vertAlign w:val="superscript"/>
        </w:rPr>
        <w:t>4</w:t>
      </w:r>
      <w:r w:rsidRPr="0038649C">
        <w:rPr>
          <w:rFonts w:ascii="Arial" w:eastAsia="Arial" w:hAnsi="Arial" w:cs="Arial"/>
          <w:sz w:val="22"/>
          <w:szCs w:val="22"/>
        </w:rPr>
        <w:t>, Philippe Q.N. Vo</w:t>
      </w:r>
      <w:r w:rsidRPr="0038649C">
        <w:rPr>
          <w:rFonts w:ascii="Arial" w:eastAsia="Arial" w:hAnsi="Arial" w:cs="Arial"/>
          <w:sz w:val="22"/>
          <w:szCs w:val="22"/>
          <w:vertAlign w:val="superscript"/>
        </w:rPr>
        <w:t>1</w:t>
      </w:r>
      <w:r w:rsidRPr="0038649C">
        <w:rPr>
          <w:rFonts w:ascii="Arial" w:eastAsia="Arial" w:hAnsi="Arial" w:cs="Arial"/>
          <w:sz w:val="22"/>
          <w:szCs w:val="22"/>
        </w:rPr>
        <w:t>, Andrew B. Chin</w:t>
      </w:r>
      <w:r w:rsidRPr="0038649C">
        <w:rPr>
          <w:rFonts w:ascii="Arial" w:eastAsia="Arial" w:hAnsi="Arial" w:cs="Arial"/>
          <w:sz w:val="22"/>
          <w:szCs w:val="22"/>
          <w:vertAlign w:val="superscript"/>
        </w:rPr>
        <w:t>1</w:t>
      </w:r>
      <w:r w:rsidRPr="0038649C">
        <w:rPr>
          <w:rFonts w:ascii="Arial" w:eastAsia="Arial" w:hAnsi="Arial" w:cs="Arial"/>
          <w:sz w:val="22"/>
          <w:szCs w:val="22"/>
        </w:rPr>
        <w:t>, Ayoub Ellouzi</w:t>
      </w:r>
      <w:r w:rsidRPr="0038649C">
        <w:rPr>
          <w:rFonts w:ascii="Arial" w:eastAsia="Arial" w:hAnsi="Arial" w:cs="Arial"/>
          <w:sz w:val="22"/>
          <w:szCs w:val="22"/>
          <w:vertAlign w:val="superscript"/>
        </w:rPr>
        <w:t>1</w:t>
      </w:r>
      <w:r w:rsidRPr="0038649C">
        <w:rPr>
          <w:rFonts w:ascii="Arial" w:eastAsia="Arial" w:hAnsi="Arial" w:cs="Arial"/>
          <w:sz w:val="22"/>
          <w:szCs w:val="22"/>
        </w:rPr>
        <w:t>, Samuel R. Little</w:t>
      </w:r>
      <w:r w:rsidRPr="0038649C">
        <w:rPr>
          <w:rFonts w:ascii="Arial" w:eastAsia="Arial" w:hAnsi="Arial" w:cs="Arial"/>
          <w:sz w:val="22"/>
          <w:szCs w:val="22"/>
          <w:vertAlign w:val="superscript"/>
        </w:rPr>
        <w:t>5,6</w:t>
      </w:r>
      <w:r w:rsidRPr="0038649C">
        <w:rPr>
          <w:rFonts w:ascii="Arial" w:eastAsia="Arial" w:hAnsi="Arial" w:cs="Arial"/>
          <w:sz w:val="22"/>
          <w:szCs w:val="22"/>
        </w:rPr>
        <w:t>, Steve</w:t>
      </w:r>
      <w:r w:rsidR="006C69D0">
        <w:rPr>
          <w:rFonts w:ascii="Arial" w:eastAsia="Arial" w:hAnsi="Arial" w:cs="Arial"/>
          <w:sz w:val="22"/>
          <w:szCs w:val="22"/>
        </w:rPr>
        <w:t xml:space="preserve"> C.C.</w:t>
      </w:r>
      <w:r w:rsidRPr="0038649C">
        <w:rPr>
          <w:rFonts w:ascii="Arial" w:eastAsia="Arial" w:hAnsi="Arial" w:cs="Arial"/>
          <w:sz w:val="22"/>
          <w:szCs w:val="22"/>
        </w:rPr>
        <w:t xml:space="preserve"> Shih</w:t>
      </w:r>
      <w:r w:rsidRPr="0038649C">
        <w:rPr>
          <w:rFonts w:ascii="Arial" w:eastAsia="Arial" w:hAnsi="Arial" w:cs="Arial"/>
          <w:sz w:val="22"/>
          <w:szCs w:val="22"/>
          <w:vertAlign w:val="superscript"/>
        </w:rPr>
        <w:t>5,6,7</w:t>
      </w:r>
      <w:r w:rsidRPr="0038649C">
        <w:rPr>
          <w:rFonts w:ascii="Arial" w:eastAsia="Arial" w:hAnsi="Arial" w:cs="Arial"/>
          <w:sz w:val="22"/>
          <w:szCs w:val="22"/>
        </w:rPr>
        <w:t>, Hao Wu</w:t>
      </w:r>
      <w:r w:rsidRPr="0038649C">
        <w:rPr>
          <w:rFonts w:ascii="Arial" w:eastAsia="Arial" w:hAnsi="Arial" w:cs="Arial"/>
          <w:sz w:val="22"/>
          <w:szCs w:val="22"/>
          <w:vertAlign w:val="superscript"/>
        </w:rPr>
        <w:t>4</w:t>
      </w:r>
      <w:r w:rsidRPr="0038649C">
        <w:rPr>
          <w:rFonts w:ascii="Arial" w:eastAsia="Arial" w:hAnsi="Arial" w:cs="Arial"/>
          <w:sz w:val="22"/>
          <w:szCs w:val="22"/>
        </w:rPr>
        <w:t>, William J. Muller</w:t>
      </w:r>
      <w:r w:rsidRPr="0038649C">
        <w:rPr>
          <w:rFonts w:ascii="Arial" w:eastAsia="Arial" w:hAnsi="Arial" w:cs="Arial"/>
          <w:sz w:val="22"/>
          <w:szCs w:val="22"/>
          <w:vertAlign w:val="superscript"/>
        </w:rPr>
        <w:t>2,3</w:t>
      </w:r>
      <w:r w:rsidRPr="0038649C">
        <w:rPr>
          <w:rFonts w:ascii="Arial" w:eastAsia="Arial" w:hAnsi="Arial" w:cs="Arial"/>
          <w:sz w:val="22"/>
          <w:szCs w:val="22"/>
        </w:rPr>
        <w:t>, Alison Hirukawa</w:t>
      </w:r>
      <w:r w:rsidRPr="0038649C">
        <w:rPr>
          <w:rFonts w:ascii="Arial" w:eastAsia="Arial" w:hAnsi="Arial" w:cs="Arial"/>
          <w:sz w:val="22"/>
          <w:szCs w:val="22"/>
          <w:vertAlign w:val="superscript"/>
        </w:rPr>
        <w:t>1*</w:t>
      </w:r>
    </w:p>
    <w:p w14:paraId="2EA51C45" w14:textId="77777777" w:rsidR="00890640" w:rsidRPr="0038649C" w:rsidRDefault="00890640" w:rsidP="00890640">
      <w:pPr>
        <w:spacing w:line="276" w:lineRule="auto"/>
        <w:rPr>
          <w:rFonts w:ascii="Arial" w:eastAsia="Arial" w:hAnsi="Arial" w:cs="Arial"/>
          <w:sz w:val="22"/>
          <w:szCs w:val="22"/>
          <w:u w:val="single"/>
        </w:rPr>
      </w:pPr>
      <w:r w:rsidRPr="0038649C">
        <w:rPr>
          <w:rFonts w:ascii="Arial" w:eastAsia="Arial" w:hAnsi="Arial" w:cs="Arial"/>
          <w:sz w:val="22"/>
          <w:szCs w:val="22"/>
          <w:u w:val="single"/>
          <w:vertAlign w:val="superscript"/>
        </w:rPr>
        <w:t>†</w:t>
      </w:r>
      <w:proofErr w:type="gramStart"/>
      <w:r w:rsidRPr="0038649C">
        <w:rPr>
          <w:rFonts w:ascii="Arial" w:eastAsia="Arial" w:hAnsi="Arial" w:cs="Arial"/>
          <w:sz w:val="22"/>
          <w:szCs w:val="22"/>
          <w:u w:val="single"/>
        </w:rPr>
        <w:t>authors</w:t>
      </w:r>
      <w:proofErr w:type="gramEnd"/>
      <w:r w:rsidRPr="0038649C">
        <w:rPr>
          <w:rFonts w:ascii="Arial" w:eastAsia="Arial" w:hAnsi="Arial" w:cs="Arial"/>
          <w:sz w:val="22"/>
          <w:szCs w:val="22"/>
          <w:u w:val="single"/>
        </w:rPr>
        <w:t xml:space="preserve"> contributed equally </w:t>
      </w:r>
      <w:r w:rsidRPr="0038649C">
        <w:rPr>
          <w:rFonts w:ascii="Arial" w:eastAsia="Arial" w:hAnsi="Arial" w:cs="Arial"/>
          <w:sz w:val="22"/>
          <w:szCs w:val="22"/>
          <w:u w:val="single"/>
          <w:vertAlign w:val="superscript"/>
        </w:rPr>
        <w:t>*</w:t>
      </w:r>
      <w:r w:rsidRPr="0038649C">
        <w:rPr>
          <w:rFonts w:ascii="Arial" w:eastAsia="Arial" w:hAnsi="Arial" w:cs="Arial"/>
          <w:sz w:val="22"/>
          <w:szCs w:val="22"/>
          <w:u w:val="single"/>
        </w:rPr>
        <w:t>corresponding author’s email: alison@drop-genie.com</w:t>
      </w:r>
    </w:p>
    <w:p w14:paraId="5E908DE9" w14:textId="77777777" w:rsidR="00B95B81" w:rsidRPr="0038649C" w:rsidRDefault="00B95B81" w:rsidP="24745044">
      <w:pPr>
        <w:pStyle w:val="Heading1"/>
        <w:rPr>
          <w:color w:val="auto"/>
          <w:sz w:val="22"/>
          <w:szCs w:val="22"/>
        </w:rPr>
      </w:pPr>
      <w:r w:rsidRPr="0038649C">
        <w:rPr>
          <w:color w:val="auto"/>
          <w:sz w:val="22"/>
          <w:szCs w:val="22"/>
        </w:rPr>
        <w:t>Affiliations</w:t>
      </w:r>
    </w:p>
    <w:p w14:paraId="6AA100DA" w14:textId="77777777" w:rsidR="00B95B81" w:rsidRPr="0038649C" w:rsidRDefault="00B95B81" w:rsidP="24745044">
      <w:pPr>
        <w:spacing w:line="276" w:lineRule="auto"/>
        <w:rPr>
          <w:rFonts w:ascii="Arial" w:eastAsia="Arial" w:hAnsi="Arial" w:cs="Arial"/>
          <w:sz w:val="22"/>
          <w:szCs w:val="22"/>
        </w:rPr>
      </w:pPr>
      <w:r w:rsidRPr="0038649C">
        <w:rPr>
          <w:rFonts w:ascii="Arial" w:eastAsia="Arial" w:hAnsi="Arial" w:cs="Arial"/>
          <w:sz w:val="22"/>
          <w:szCs w:val="22"/>
          <w:vertAlign w:val="superscript"/>
        </w:rPr>
        <w:t>1</w:t>
      </w:r>
      <w:r w:rsidRPr="0038649C">
        <w:rPr>
          <w:rFonts w:ascii="Arial" w:eastAsia="Arial" w:hAnsi="Arial" w:cs="Arial"/>
          <w:sz w:val="22"/>
          <w:szCs w:val="22"/>
        </w:rPr>
        <w:t>DropGenie, Cambridge, Massachusetts, USA</w:t>
      </w:r>
    </w:p>
    <w:p w14:paraId="3DAAA9E6" w14:textId="77777777" w:rsidR="00B95B81" w:rsidRPr="0038649C" w:rsidRDefault="00B95B81" w:rsidP="24745044">
      <w:pPr>
        <w:spacing w:line="276" w:lineRule="auto"/>
        <w:rPr>
          <w:rFonts w:ascii="Arial" w:eastAsia="Arial" w:hAnsi="Arial" w:cs="Arial"/>
          <w:sz w:val="22"/>
          <w:szCs w:val="22"/>
        </w:rPr>
      </w:pPr>
      <w:r w:rsidRPr="0038649C">
        <w:rPr>
          <w:rFonts w:ascii="Arial" w:eastAsia="Arial" w:hAnsi="Arial" w:cs="Arial"/>
          <w:sz w:val="22"/>
          <w:szCs w:val="22"/>
          <w:vertAlign w:val="superscript"/>
        </w:rPr>
        <w:t>2</w:t>
      </w:r>
      <w:r w:rsidRPr="0038649C">
        <w:rPr>
          <w:rFonts w:ascii="Arial" w:eastAsia="Arial" w:hAnsi="Arial" w:cs="Arial"/>
          <w:sz w:val="22"/>
          <w:szCs w:val="22"/>
        </w:rPr>
        <w:t>Department of Biochemistry, McGill University, Canada</w:t>
      </w:r>
    </w:p>
    <w:p w14:paraId="5744BC50" w14:textId="77777777" w:rsidR="00B95B81" w:rsidRPr="0038649C" w:rsidRDefault="00B95B81" w:rsidP="24745044">
      <w:pPr>
        <w:spacing w:line="276" w:lineRule="auto"/>
        <w:rPr>
          <w:rFonts w:ascii="Arial" w:eastAsia="Arial" w:hAnsi="Arial" w:cs="Arial"/>
          <w:sz w:val="22"/>
          <w:szCs w:val="22"/>
        </w:rPr>
      </w:pPr>
      <w:r w:rsidRPr="0038649C">
        <w:rPr>
          <w:rFonts w:ascii="Arial" w:eastAsia="Arial" w:hAnsi="Arial" w:cs="Arial"/>
          <w:sz w:val="22"/>
          <w:szCs w:val="22"/>
          <w:vertAlign w:val="superscript"/>
        </w:rPr>
        <w:t>3</w:t>
      </w:r>
      <w:r w:rsidRPr="0038649C">
        <w:rPr>
          <w:rFonts w:ascii="Arial" w:eastAsia="Arial" w:hAnsi="Arial" w:cs="Arial"/>
          <w:sz w:val="22"/>
          <w:szCs w:val="22"/>
        </w:rPr>
        <w:t>Rosalind and Morris Goodman Cancer Institute, McGill University, Canada</w:t>
      </w:r>
    </w:p>
    <w:p w14:paraId="02F92827" w14:textId="77777777" w:rsidR="00B95B81" w:rsidRPr="0038649C" w:rsidRDefault="00B95B81" w:rsidP="24745044">
      <w:pPr>
        <w:spacing w:line="276" w:lineRule="auto"/>
        <w:rPr>
          <w:rFonts w:ascii="Arial" w:eastAsia="Arial" w:hAnsi="Arial" w:cs="Arial"/>
          <w:sz w:val="22"/>
          <w:szCs w:val="22"/>
        </w:rPr>
      </w:pPr>
      <w:r w:rsidRPr="0038649C">
        <w:rPr>
          <w:rFonts w:ascii="Arial" w:eastAsia="Arial" w:hAnsi="Arial" w:cs="Arial"/>
          <w:sz w:val="22"/>
          <w:szCs w:val="22"/>
          <w:vertAlign w:val="superscript"/>
        </w:rPr>
        <w:t>4</w:t>
      </w:r>
      <w:r w:rsidRPr="0038649C">
        <w:rPr>
          <w:rFonts w:ascii="Arial" w:eastAsia="Arial" w:hAnsi="Arial" w:cs="Arial"/>
          <w:sz w:val="22"/>
          <w:szCs w:val="22"/>
        </w:rPr>
        <w:t>Full Circles Therapeutics, Cambridge, Massachusetts, USA</w:t>
      </w:r>
    </w:p>
    <w:p w14:paraId="2B86008A" w14:textId="77777777" w:rsidR="00B95B81" w:rsidRPr="0038649C" w:rsidRDefault="00B95B81" w:rsidP="24745044">
      <w:pPr>
        <w:spacing w:line="276" w:lineRule="auto"/>
        <w:rPr>
          <w:rFonts w:ascii="Arial" w:eastAsia="Arial" w:hAnsi="Arial" w:cs="Arial"/>
          <w:sz w:val="22"/>
          <w:szCs w:val="22"/>
        </w:rPr>
      </w:pPr>
      <w:r w:rsidRPr="0038649C">
        <w:rPr>
          <w:rFonts w:ascii="Arial" w:eastAsia="Arial" w:hAnsi="Arial" w:cs="Arial"/>
          <w:sz w:val="22"/>
          <w:szCs w:val="22"/>
          <w:vertAlign w:val="superscript"/>
        </w:rPr>
        <w:t>5</w:t>
      </w:r>
      <w:r w:rsidRPr="0038649C">
        <w:rPr>
          <w:rFonts w:ascii="Arial" w:eastAsia="Arial" w:hAnsi="Arial" w:cs="Arial"/>
          <w:sz w:val="22"/>
          <w:szCs w:val="22"/>
        </w:rPr>
        <w:t>Department of Electrical and Computer Engineering, Concordia University, Montréal, Québec, Canada</w:t>
      </w:r>
    </w:p>
    <w:p w14:paraId="4ECF7398" w14:textId="77777777" w:rsidR="00B95B81" w:rsidRPr="0038649C" w:rsidRDefault="00B95B81" w:rsidP="24745044">
      <w:pPr>
        <w:spacing w:line="276" w:lineRule="auto"/>
        <w:rPr>
          <w:rFonts w:ascii="Arial" w:eastAsia="Arial" w:hAnsi="Arial" w:cs="Arial"/>
          <w:sz w:val="22"/>
          <w:szCs w:val="22"/>
        </w:rPr>
      </w:pPr>
      <w:r w:rsidRPr="0038649C">
        <w:rPr>
          <w:rFonts w:ascii="Arial" w:eastAsia="Arial" w:hAnsi="Arial" w:cs="Arial"/>
          <w:sz w:val="22"/>
          <w:szCs w:val="22"/>
          <w:vertAlign w:val="superscript"/>
        </w:rPr>
        <w:t>6</w:t>
      </w:r>
      <w:r w:rsidRPr="0038649C">
        <w:rPr>
          <w:rFonts w:ascii="Arial" w:eastAsia="Arial" w:hAnsi="Arial" w:cs="Arial"/>
          <w:sz w:val="22"/>
          <w:szCs w:val="22"/>
        </w:rPr>
        <w:t>Centre for Applied Synthetic Biology, Concordia University, Montréal, Québec, Canada</w:t>
      </w:r>
    </w:p>
    <w:p w14:paraId="7D00E968" w14:textId="25D3FC6D" w:rsidR="4287DD27" w:rsidRPr="0038649C" w:rsidRDefault="00B95B81" w:rsidP="24745044">
      <w:pPr>
        <w:spacing w:line="276" w:lineRule="auto"/>
        <w:rPr>
          <w:rFonts w:ascii="Arial" w:eastAsia="Arial" w:hAnsi="Arial" w:cs="Arial"/>
          <w:sz w:val="22"/>
          <w:szCs w:val="22"/>
        </w:rPr>
      </w:pPr>
      <w:r w:rsidRPr="0038649C">
        <w:rPr>
          <w:rFonts w:ascii="Arial" w:eastAsia="Arial" w:hAnsi="Arial" w:cs="Arial"/>
          <w:sz w:val="22"/>
          <w:szCs w:val="22"/>
          <w:vertAlign w:val="superscript"/>
        </w:rPr>
        <w:t>7</w:t>
      </w:r>
      <w:r w:rsidRPr="0038649C">
        <w:rPr>
          <w:rFonts w:ascii="Arial" w:eastAsia="Arial" w:hAnsi="Arial" w:cs="Arial"/>
          <w:sz w:val="22"/>
          <w:szCs w:val="22"/>
        </w:rPr>
        <w:t>Department of Biology, Concordia University, Montréal, Québec, Canada</w:t>
      </w:r>
      <w:r w:rsidRPr="0038649C">
        <w:br w:type="page"/>
      </w:r>
    </w:p>
    <w:p w14:paraId="2D6D7BD2" w14:textId="3C5946EB" w:rsidR="00B95B81" w:rsidRPr="0038649C" w:rsidRDefault="21792744" w:rsidP="24745044">
      <w:pPr>
        <w:spacing w:line="276" w:lineRule="auto"/>
        <w:rPr>
          <w:rFonts w:ascii="Arial" w:eastAsia="Arial" w:hAnsi="Arial" w:cs="Arial"/>
          <w:b/>
          <w:bCs/>
          <w:sz w:val="22"/>
          <w:szCs w:val="22"/>
        </w:rPr>
      </w:pPr>
      <w:r w:rsidRPr="0038649C">
        <w:rPr>
          <w:rFonts w:ascii="Arial" w:eastAsia="Arial" w:hAnsi="Arial" w:cs="Arial"/>
          <w:b/>
          <w:bCs/>
          <w:sz w:val="22"/>
          <w:szCs w:val="22"/>
        </w:rPr>
        <w:lastRenderedPageBreak/>
        <w:t xml:space="preserve">Supplementary Figure 1. </w:t>
      </w:r>
    </w:p>
    <w:p w14:paraId="68638664" w14:textId="49044448" w:rsidR="3D8D265E" w:rsidRPr="0038649C" w:rsidRDefault="00E93F4A" w:rsidP="24745044">
      <w:r w:rsidRPr="0038649C">
        <w:rPr>
          <w:noProof/>
        </w:rPr>
        <w:drawing>
          <wp:inline distT="0" distB="0" distL="0" distR="0" wp14:anchorId="43BC5500" wp14:editId="487F0B0D">
            <wp:extent cx="5943600" cy="5779772"/>
            <wp:effectExtent l="0" t="0" r="0" b="0"/>
            <wp:docPr id="1745149455" name="Picture 7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79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BCC3B" w14:textId="2709E138" w:rsidR="00C536BD" w:rsidRPr="0038649C" w:rsidRDefault="00C536BD" w:rsidP="24745044">
      <w:pPr>
        <w:spacing w:line="276" w:lineRule="auto"/>
        <w:rPr>
          <w:rFonts w:ascii="Arial" w:eastAsia="Arial" w:hAnsi="Arial" w:cs="Arial"/>
          <w:b/>
          <w:bCs/>
          <w:sz w:val="22"/>
          <w:szCs w:val="22"/>
        </w:rPr>
      </w:pPr>
    </w:p>
    <w:p w14:paraId="6F6ED351" w14:textId="5E3736BD" w:rsidR="009C2F09" w:rsidRPr="0038649C" w:rsidRDefault="00C536BD" w:rsidP="24745044">
      <w:pPr>
        <w:spacing w:line="276" w:lineRule="auto"/>
        <w:rPr>
          <w:rFonts w:ascii="Arial" w:eastAsia="Arial" w:hAnsi="Arial" w:cs="Arial"/>
          <w:sz w:val="22"/>
          <w:szCs w:val="22"/>
        </w:rPr>
      </w:pPr>
      <w:r w:rsidRPr="0038649C">
        <w:rPr>
          <w:rFonts w:ascii="Arial" w:eastAsia="Arial" w:hAnsi="Arial" w:cs="Arial"/>
          <w:b/>
          <w:bCs/>
          <w:sz w:val="22"/>
          <w:szCs w:val="22"/>
        </w:rPr>
        <w:t>(</w:t>
      </w:r>
      <w:r w:rsidR="009C2F09" w:rsidRPr="0038649C">
        <w:rPr>
          <w:rFonts w:ascii="Arial" w:eastAsia="Arial" w:hAnsi="Arial" w:cs="Arial"/>
          <w:b/>
          <w:bCs/>
          <w:sz w:val="22"/>
          <w:szCs w:val="22"/>
        </w:rPr>
        <w:t>A)</w:t>
      </w:r>
      <w:r w:rsidR="009C2F09" w:rsidRPr="0038649C">
        <w:rPr>
          <w:rFonts w:ascii="Arial" w:eastAsia="Arial" w:hAnsi="Arial" w:cs="Arial"/>
          <w:sz w:val="22"/>
          <w:szCs w:val="22"/>
        </w:rPr>
        <w:t xml:space="preserve"> </w:t>
      </w:r>
      <w:r w:rsidR="00B241DB" w:rsidRPr="0038649C">
        <w:rPr>
          <w:rFonts w:ascii="Arial" w:eastAsia="Arial" w:hAnsi="Arial" w:cs="Arial"/>
          <w:sz w:val="22"/>
          <w:szCs w:val="22"/>
        </w:rPr>
        <w:t>Sch</w:t>
      </w:r>
      <w:r w:rsidR="00AF577A" w:rsidRPr="0038649C">
        <w:rPr>
          <w:rFonts w:ascii="Arial" w:eastAsia="Arial" w:hAnsi="Arial" w:cs="Arial"/>
          <w:sz w:val="22"/>
          <w:szCs w:val="22"/>
        </w:rPr>
        <w:t>ematic</w:t>
      </w:r>
      <w:r w:rsidRPr="0038649C">
        <w:rPr>
          <w:rFonts w:ascii="Arial" w:eastAsia="Arial" w:hAnsi="Arial" w:cs="Arial"/>
          <w:sz w:val="22"/>
          <w:szCs w:val="22"/>
        </w:rPr>
        <w:t xml:space="preserve"> </w:t>
      </w:r>
      <w:r w:rsidR="003933B9" w:rsidRPr="0038649C">
        <w:rPr>
          <w:rFonts w:ascii="Arial" w:eastAsia="Arial" w:hAnsi="Arial" w:cs="Arial"/>
          <w:sz w:val="22"/>
          <w:szCs w:val="22"/>
        </w:rPr>
        <w:t>illust</w:t>
      </w:r>
      <w:r w:rsidR="00C41B7D" w:rsidRPr="0038649C">
        <w:rPr>
          <w:rFonts w:ascii="Arial" w:eastAsia="Arial" w:hAnsi="Arial" w:cs="Arial"/>
          <w:sz w:val="22"/>
          <w:szCs w:val="22"/>
        </w:rPr>
        <w:t>rating</w:t>
      </w:r>
      <w:r w:rsidRPr="0038649C">
        <w:rPr>
          <w:rFonts w:ascii="Arial" w:eastAsia="Arial" w:hAnsi="Arial" w:cs="Arial"/>
          <w:sz w:val="22"/>
          <w:szCs w:val="22"/>
        </w:rPr>
        <w:t xml:space="preserve"> the tri-drop structure utilized to electroporate </w:t>
      </w:r>
      <w:r w:rsidR="00D34E46" w:rsidRPr="0038649C">
        <w:rPr>
          <w:rFonts w:ascii="Arial" w:eastAsia="Arial" w:hAnsi="Arial" w:cs="Arial"/>
          <w:sz w:val="22"/>
          <w:szCs w:val="22"/>
        </w:rPr>
        <w:t>c</w:t>
      </w:r>
      <w:r w:rsidR="00385C82" w:rsidRPr="0038649C">
        <w:rPr>
          <w:rFonts w:ascii="Arial" w:eastAsia="Arial" w:hAnsi="Arial" w:cs="Arial"/>
          <w:sz w:val="22"/>
          <w:szCs w:val="22"/>
        </w:rPr>
        <w:t>ells</w:t>
      </w:r>
      <w:r w:rsidR="001C3C6F" w:rsidRPr="0038649C">
        <w:rPr>
          <w:rFonts w:ascii="Arial" w:eastAsia="Arial" w:hAnsi="Arial" w:cs="Arial"/>
          <w:sz w:val="22"/>
          <w:szCs w:val="22"/>
        </w:rPr>
        <w:t xml:space="preserve"> with th</w:t>
      </w:r>
      <w:r w:rsidR="00953757" w:rsidRPr="0038649C">
        <w:rPr>
          <w:rFonts w:ascii="Arial" w:eastAsia="Arial" w:hAnsi="Arial" w:cs="Arial"/>
          <w:sz w:val="22"/>
          <w:szCs w:val="22"/>
        </w:rPr>
        <w:t>e included</w:t>
      </w:r>
      <w:r w:rsidR="005D5C7D" w:rsidRPr="0038649C">
        <w:rPr>
          <w:rFonts w:ascii="Arial" w:eastAsia="Arial" w:hAnsi="Arial" w:cs="Arial"/>
          <w:sz w:val="22"/>
          <w:szCs w:val="22"/>
        </w:rPr>
        <w:t xml:space="preserve"> p</w:t>
      </w:r>
      <w:r w:rsidR="00F3680C" w:rsidRPr="0038649C">
        <w:rPr>
          <w:rFonts w:ascii="Arial" w:eastAsia="Arial" w:hAnsi="Arial" w:cs="Arial"/>
          <w:sz w:val="22"/>
          <w:szCs w:val="22"/>
        </w:rPr>
        <w:t>ayload withi</w:t>
      </w:r>
      <w:r w:rsidR="001E507B" w:rsidRPr="0038649C">
        <w:rPr>
          <w:rFonts w:ascii="Arial" w:eastAsia="Arial" w:hAnsi="Arial" w:cs="Arial"/>
          <w:sz w:val="22"/>
          <w:szCs w:val="22"/>
        </w:rPr>
        <w:t>n the samp</w:t>
      </w:r>
      <w:r w:rsidR="002D2E3B" w:rsidRPr="0038649C">
        <w:rPr>
          <w:rFonts w:ascii="Arial" w:eastAsia="Arial" w:hAnsi="Arial" w:cs="Arial"/>
          <w:sz w:val="22"/>
          <w:szCs w:val="22"/>
        </w:rPr>
        <w:t>le</w:t>
      </w:r>
      <w:r w:rsidRPr="0038649C">
        <w:rPr>
          <w:rFonts w:ascii="Arial" w:eastAsia="Arial" w:hAnsi="Arial" w:cs="Arial"/>
          <w:sz w:val="22"/>
          <w:szCs w:val="22"/>
        </w:rPr>
        <w:t xml:space="preserve">. </w:t>
      </w:r>
      <w:r w:rsidR="00C45DDA" w:rsidRPr="0038649C">
        <w:rPr>
          <w:rFonts w:ascii="Arial" w:eastAsia="Arial" w:hAnsi="Arial" w:cs="Arial"/>
          <w:sz w:val="22"/>
          <w:szCs w:val="22"/>
        </w:rPr>
        <w:t>Trans</w:t>
      </w:r>
      <w:r w:rsidR="00335B92" w:rsidRPr="0038649C">
        <w:rPr>
          <w:rFonts w:ascii="Arial" w:eastAsia="Arial" w:hAnsi="Arial" w:cs="Arial"/>
          <w:sz w:val="22"/>
          <w:szCs w:val="22"/>
        </w:rPr>
        <w:t>fecti</w:t>
      </w:r>
      <w:r w:rsidR="00027DF8" w:rsidRPr="0038649C">
        <w:rPr>
          <w:rFonts w:ascii="Arial" w:eastAsia="Arial" w:hAnsi="Arial" w:cs="Arial"/>
          <w:sz w:val="22"/>
          <w:szCs w:val="22"/>
        </w:rPr>
        <w:t>on buf</w:t>
      </w:r>
      <w:r w:rsidR="00F67A78" w:rsidRPr="0038649C">
        <w:rPr>
          <w:rFonts w:ascii="Arial" w:eastAsia="Arial" w:hAnsi="Arial" w:cs="Arial"/>
          <w:sz w:val="22"/>
          <w:szCs w:val="22"/>
        </w:rPr>
        <w:t>fer</w:t>
      </w:r>
      <w:r w:rsidRPr="0038649C">
        <w:rPr>
          <w:rFonts w:ascii="Arial" w:eastAsia="Arial" w:hAnsi="Arial" w:cs="Arial"/>
          <w:sz w:val="22"/>
          <w:szCs w:val="22"/>
        </w:rPr>
        <w:t xml:space="preserve"> </w:t>
      </w:r>
      <w:r w:rsidR="00FB5B70" w:rsidRPr="0038649C">
        <w:rPr>
          <w:rFonts w:ascii="Arial" w:eastAsia="Arial" w:hAnsi="Arial" w:cs="Arial"/>
          <w:sz w:val="22"/>
          <w:szCs w:val="22"/>
        </w:rPr>
        <w:t xml:space="preserve">is moved over the anodes and cathodes on the </w:t>
      </w:r>
      <w:r w:rsidR="00463583" w:rsidRPr="0038649C">
        <w:rPr>
          <w:rFonts w:ascii="Arial" w:eastAsia="Arial" w:hAnsi="Arial" w:cs="Arial"/>
          <w:sz w:val="22"/>
          <w:szCs w:val="22"/>
        </w:rPr>
        <w:t>sub</w:t>
      </w:r>
      <w:r w:rsidR="003004FD" w:rsidRPr="0038649C">
        <w:rPr>
          <w:rFonts w:ascii="Arial" w:eastAsia="Arial" w:hAnsi="Arial" w:cs="Arial"/>
          <w:sz w:val="22"/>
          <w:szCs w:val="22"/>
        </w:rPr>
        <w:t>strate</w:t>
      </w:r>
      <w:r w:rsidR="00FB5B70" w:rsidRPr="0038649C">
        <w:rPr>
          <w:rFonts w:ascii="Arial" w:eastAsia="Arial" w:hAnsi="Arial" w:cs="Arial"/>
          <w:sz w:val="22"/>
          <w:szCs w:val="22"/>
        </w:rPr>
        <w:t xml:space="preserve">, sandwiching the </w:t>
      </w:r>
      <w:r w:rsidR="00A37557" w:rsidRPr="0038649C">
        <w:rPr>
          <w:rFonts w:ascii="Arial" w:eastAsia="Arial" w:hAnsi="Arial" w:cs="Arial"/>
          <w:sz w:val="22"/>
          <w:szCs w:val="22"/>
        </w:rPr>
        <w:t>cells</w:t>
      </w:r>
      <w:r w:rsidR="00FB5B70" w:rsidRPr="0038649C">
        <w:rPr>
          <w:rFonts w:ascii="Arial" w:eastAsia="Arial" w:hAnsi="Arial" w:cs="Arial"/>
          <w:sz w:val="22"/>
          <w:szCs w:val="22"/>
        </w:rPr>
        <w:t xml:space="preserve"> with payload prior to electroporation. Post</w:t>
      </w:r>
      <w:r w:rsidR="001A1548" w:rsidRPr="0038649C">
        <w:rPr>
          <w:rFonts w:ascii="Arial" w:eastAsia="Arial" w:hAnsi="Arial" w:cs="Arial"/>
          <w:sz w:val="22"/>
          <w:szCs w:val="22"/>
        </w:rPr>
        <w:t>-</w:t>
      </w:r>
      <w:r w:rsidR="00FB5B70" w:rsidRPr="0038649C">
        <w:rPr>
          <w:rFonts w:ascii="Arial" w:eastAsia="Arial" w:hAnsi="Arial" w:cs="Arial"/>
          <w:sz w:val="22"/>
          <w:szCs w:val="22"/>
        </w:rPr>
        <w:t>electroporation, the entire tri-drop</w:t>
      </w:r>
      <w:r w:rsidR="00DF6F68" w:rsidRPr="0038649C">
        <w:rPr>
          <w:rFonts w:ascii="Arial" w:eastAsia="Arial" w:hAnsi="Arial" w:cs="Arial"/>
          <w:sz w:val="22"/>
          <w:szCs w:val="22"/>
        </w:rPr>
        <w:t>, inclu</w:t>
      </w:r>
      <w:r w:rsidR="001E383D" w:rsidRPr="0038649C">
        <w:rPr>
          <w:rFonts w:ascii="Arial" w:eastAsia="Arial" w:hAnsi="Arial" w:cs="Arial"/>
          <w:sz w:val="22"/>
          <w:szCs w:val="22"/>
        </w:rPr>
        <w:t>ding the cells</w:t>
      </w:r>
      <w:r w:rsidR="001A075C" w:rsidRPr="0038649C">
        <w:rPr>
          <w:rFonts w:ascii="Arial" w:eastAsia="Arial" w:hAnsi="Arial" w:cs="Arial"/>
          <w:sz w:val="22"/>
          <w:szCs w:val="22"/>
        </w:rPr>
        <w:t>,</w:t>
      </w:r>
      <w:r w:rsidR="00FB5B70" w:rsidRPr="0038649C">
        <w:rPr>
          <w:rFonts w:ascii="Arial" w:eastAsia="Arial" w:hAnsi="Arial" w:cs="Arial"/>
          <w:sz w:val="22"/>
          <w:szCs w:val="22"/>
        </w:rPr>
        <w:t xml:space="preserve"> is </w:t>
      </w:r>
      <w:r w:rsidR="003F7BD5" w:rsidRPr="0038649C">
        <w:rPr>
          <w:rFonts w:ascii="Arial" w:eastAsia="Arial" w:hAnsi="Arial" w:cs="Arial"/>
          <w:sz w:val="22"/>
          <w:szCs w:val="22"/>
        </w:rPr>
        <w:t xml:space="preserve">moved to </w:t>
      </w:r>
      <w:r w:rsidR="002602C4" w:rsidRPr="0038649C">
        <w:rPr>
          <w:rFonts w:ascii="Arial" w:eastAsia="Arial" w:hAnsi="Arial" w:cs="Arial"/>
          <w:sz w:val="22"/>
          <w:szCs w:val="22"/>
        </w:rPr>
        <w:t>the of</w:t>
      </w:r>
      <w:r w:rsidR="003B3A18" w:rsidRPr="0038649C">
        <w:rPr>
          <w:rFonts w:ascii="Arial" w:eastAsia="Arial" w:hAnsi="Arial" w:cs="Arial"/>
          <w:sz w:val="22"/>
          <w:szCs w:val="22"/>
        </w:rPr>
        <w:t xml:space="preserve">floading ports </w:t>
      </w:r>
      <w:r w:rsidR="007641CA" w:rsidRPr="0038649C">
        <w:rPr>
          <w:rFonts w:ascii="Arial" w:eastAsia="Arial" w:hAnsi="Arial" w:cs="Arial"/>
          <w:sz w:val="22"/>
          <w:szCs w:val="22"/>
        </w:rPr>
        <w:t xml:space="preserve">to </w:t>
      </w:r>
      <w:r w:rsidR="00C17D72" w:rsidRPr="0038649C">
        <w:rPr>
          <w:rFonts w:ascii="Arial" w:eastAsia="Arial" w:hAnsi="Arial" w:cs="Arial"/>
          <w:sz w:val="22"/>
          <w:szCs w:val="22"/>
        </w:rPr>
        <w:t>be colle</w:t>
      </w:r>
      <w:r w:rsidR="0045265D" w:rsidRPr="0038649C">
        <w:rPr>
          <w:rFonts w:ascii="Arial" w:eastAsia="Arial" w:hAnsi="Arial" w:cs="Arial"/>
          <w:sz w:val="22"/>
          <w:szCs w:val="22"/>
        </w:rPr>
        <w:t>cted</w:t>
      </w:r>
      <w:r w:rsidR="003F7BD5" w:rsidRPr="0038649C">
        <w:rPr>
          <w:rFonts w:ascii="Arial" w:eastAsia="Arial" w:hAnsi="Arial" w:cs="Arial"/>
          <w:sz w:val="22"/>
          <w:szCs w:val="22"/>
        </w:rPr>
        <w:t xml:space="preserve">. </w:t>
      </w:r>
      <w:r w:rsidR="00FB5B70" w:rsidRPr="0038649C">
        <w:rPr>
          <w:rFonts w:ascii="Arial" w:eastAsia="Arial" w:hAnsi="Arial" w:cs="Arial"/>
          <w:sz w:val="22"/>
          <w:szCs w:val="22"/>
        </w:rPr>
        <w:t xml:space="preserve"> </w:t>
      </w:r>
    </w:p>
    <w:p w14:paraId="3E800BEE" w14:textId="57D5450C" w:rsidR="4287DD27" w:rsidRPr="0038649C" w:rsidRDefault="009C2F09" w:rsidP="24745044">
      <w:pPr>
        <w:spacing w:line="276" w:lineRule="auto"/>
        <w:rPr>
          <w:rFonts w:ascii="Arial" w:eastAsia="Arial" w:hAnsi="Arial" w:cs="Arial"/>
          <w:sz w:val="22"/>
          <w:szCs w:val="22"/>
        </w:rPr>
      </w:pPr>
      <w:r w:rsidRPr="0038649C">
        <w:rPr>
          <w:rFonts w:ascii="Arial" w:eastAsia="Arial" w:hAnsi="Arial" w:cs="Arial"/>
          <w:b/>
          <w:bCs/>
          <w:sz w:val="22"/>
          <w:szCs w:val="22"/>
        </w:rPr>
        <w:t>(B)</w:t>
      </w:r>
      <w:r w:rsidRPr="0038649C">
        <w:rPr>
          <w:rFonts w:ascii="Arial" w:eastAsia="Arial" w:hAnsi="Arial" w:cs="Arial"/>
          <w:sz w:val="22"/>
          <w:szCs w:val="22"/>
        </w:rPr>
        <w:t xml:space="preserve"> </w:t>
      </w:r>
      <w:r w:rsidR="007C60AF" w:rsidRPr="0038649C">
        <w:rPr>
          <w:rFonts w:ascii="Arial" w:eastAsia="Arial" w:hAnsi="Arial" w:cs="Arial"/>
          <w:sz w:val="22"/>
          <w:szCs w:val="22"/>
        </w:rPr>
        <w:t>S</w:t>
      </w:r>
      <w:r w:rsidR="00E77125" w:rsidRPr="0038649C">
        <w:rPr>
          <w:rFonts w:ascii="Arial" w:eastAsia="Arial" w:hAnsi="Arial" w:cs="Arial"/>
          <w:sz w:val="22"/>
          <w:szCs w:val="22"/>
        </w:rPr>
        <w:t>chematic</w:t>
      </w:r>
      <w:r w:rsidR="003F7BD5" w:rsidRPr="0038649C">
        <w:rPr>
          <w:rFonts w:ascii="Arial" w:eastAsia="Arial" w:hAnsi="Arial" w:cs="Arial"/>
          <w:sz w:val="22"/>
          <w:szCs w:val="22"/>
        </w:rPr>
        <w:t xml:space="preserve"> </w:t>
      </w:r>
      <w:r w:rsidR="008760D4" w:rsidRPr="0038649C">
        <w:rPr>
          <w:rFonts w:ascii="Arial" w:eastAsia="Arial" w:hAnsi="Arial" w:cs="Arial"/>
          <w:sz w:val="22"/>
          <w:szCs w:val="22"/>
        </w:rPr>
        <w:t>disp</w:t>
      </w:r>
      <w:r w:rsidR="00204ABA" w:rsidRPr="0038649C">
        <w:rPr>
          <w:rFonts w:ascii="Arial" w:eastAsia="Arial" w:hAnsi="Arial" w:cs="Arial"/>
          <w:sz w:val="22"/>
          <w:szCs w:val="22"/>
        </w:rPr>
        <w:t>laying</w:t>
      </w:r>
      <w:r w:rsidR="003F7BD5" w:rsidRPr="0038649C">
        <w:rPr>
          <w:rFonts w:ascii="Arial" w:eastAsia="Arial" w:hAnsi="Arial" w:cs="Arial"/>
          <w:sz w:val="22"/>
          <w:szCs w:val="22"/>
        </w:rPr>
        <w:t xml:space="preserve"> the location of the guide RNA spots placed on the </w:t>
      </w:r>
      <w:r w:rsidR="00E76C31" w:rsidRPr="0038649C">
        <w:rPr>
          <w:rFonts w:ascii="Arial" w:eastAsia="Arial" w:hAnsi="Arial" w:cs="Arial"/>
          <w:sz w:val="22"/>
          <w:szCs w:val="22"/>
        </w:rPr>
        <w:t>subst</w:t>
      </w:r>
      <w:r w:rsidR="00B10CC5" w:rsidRPr="0038649C">
        <w:rPr>
          <w:rFonts w:ascii="Arial" w:eastAsia="Arial" w:hAnsi="Arial" w:cs="Arial"/>
          <w:sz w:val="22"/>
          <w:szCs w:val="22"/>
        </w:rPr>
        <w:t>rate</w:t>
      </w:r>
      <w:r w:rsidR="003F7BD5" w:rsidRPr="0038649C">
        <w:rPr>
          <w:rFonts w:ascii="Arial" w:eastAsia="Arial" w:hAnsi="Arial" w:cs="Arial"/>
          <w:sz w:val="22"/>
          <w:szCs w:val="22"/>
        </w:rPr>
        <w:t>, as marked by the blue stars</w:t>
      </w:r>
      <w:r w:rsidR="006F6AA6" w:rsidRPr="0038649C">
        <w:rPr>
          <w:rFonts w:ascii="Arial" w:eastAsia="Arial" w:hAnsi="Arial" w:cs="Arial"/>
          <w:sz w:val="22"/>
          <w:szCs w:val="22"/>
        </w:rPr>
        <w:t>,</w:t>
      </w:r>
      <w:r w:rsidR="00E271E5" w:rsidRPr="0038649C">
        <w:rPr>
          <w:rFonts w:ascii="Arial" w:eastAsia="Arial" w:hAnsi="Arial" w:cs="Arial"/>
          <w:sz w:val="22"/>
          <w:szCs w:val="22"/>
        </w:rPr>
        <w:t xml:space="preserve"> releva</w:t>
      </w:r>
      <w:r w:rsidR="007B784A" w:rsidRPr="0038649C">
        <w:rPr>
          <w:rFonts w:ascii="Arial" w:eastAsia="Arial" w:hAnsi="Arial" w:cs="Arial"/>
          <w:sz w:val="22"/>
          <w:szCs w:val="22"/>
        </w:rPr>
        <w:t>nt</w:t>
      </w:r>
      <w:r w:rsidR="000A7053" w:rsidRPr="0038649C">
        <w:rPr>
          <w:rFonts w:ascii="Arial" w:eastAsia="Arial" w:hAnsi="Arial" w:cs="Arial"/>
          <w:sz w:val="22"/>
          <w:szCs w:val="22"/>
        </w:rPr>
        <w:t xml:space="preserve"> to </w:t>
      </w:r>
      <w:r w:rsidR="00167784" w:rsidRPr="0038649C">
        <w:rPr>
          <w:rFonts w:ascii="Arial" w:eastAsia="Arial" w:hAnsi="Arial" w:cs="Arial"/>
          <w:sz w:val="22"/>
          <w:szCs w:val="22"/>
        </w:rPr>
        <w:t>t</w:t>
      </w:r>
      <w:r w:rsidR="00F26144" w:rsidRPr="0038649C">
        <w:rPr>
          <w:rFonts w:ascii="Arial" w:eastAsia="Arial" w:hAnsi="Arial" w:cs="Arial"/>
          <w:sz w:val="22"/>
          <w:szCs w:val="22"/>
        </w:rPr>
        <w:t>he locations of the electrodes</w:t>
      </w:r>
      <w:r w:rsidR="00B12D5D" w:rsidRPr="0038649C">
        <w:rPr>
          <w:rFonts w:ascii="Arial" w:eastAsia="Arial" w:hAnsi="Arial" w:cs="Arial"/>
          <w:sz w:val="22"/>
          <w:szCs w:val="22"/>
        </w:rPr>
        <w:t>, mar</w:t>
      </w:r>
      <w:r w:rsidR="009966A3" w:rsidRPr="0038649C">
        <w:rPr>
          <w:rFonts w:ascii="Arial" w:eastAsia="Arial" w:hAnsi="Arial" w:cs="Arial"/>
          <w:sz w:val="22"/>
          <w:szCs w:val="22"/>
        </w:rPr>
        <w:t xml:space="preserve">ked by </w:t>
      </w:r>
      <w:r w:rsidR="005519B1" w:rsidRPr="0038649C">
        <w:rPr>
          <w:rFonts w:ascii="Arial" w:eastAsia="Arial" w:hAnsi="Arial" w:cs="Arial"/>
          <w:sz w:val="22"/>
          <w:szCs w:val="22"/>
        </w:rPr>
        <w:t xml:space="preserve">green and </w:t>
      </w:r>
      <w:r w:rsidR="00EC3B47" w:rsidRPr="0038649C">
        <w:rPr>
          <w:rFonts w:ascii="Arial" w:eastAsia="Arial" w:hAnsi="Arial" w:cs="Arial"/>
          <w:sz w:val="22"/>
          <w:szCs w:val="22"/>
        </w:rPr>
        <w:t>yello</w:t>
      </w:r>
      <w:r w:rsidR="00233F72" w:rsidRPr="0038649C">
        <w:rPr>
          <w:rFonts w:ascii="Arial" w:eastAsia="Arial" w:hAnsi="Arial" w:cs="Arial"/>
          <w:sz w:val="22"/>
          <w:szCs w:val="22"/>
        </w:rPr>
        <w:t>w circl</w:t>
      </w:r>
      <w:r w:rsidR="001020C8" w:rsidRPr="0038649C">
        <w:rPr>
          <w:rFonts w:ascii="Arial" w:eastAsia="Arial" w:hAnsi="Arial" w:cs="Arial"/>
          <w:sz w:val="22"/>
          <w:szCs w:val="22"/>
        </w:rPr>
        <w:t>es</w:t>
      </w:r>
      <w:r w:rsidR="00F26144" w:rsidRPr="0038649C">
        <w:rPr>
          <w:rFonts w:ascii="Arial" w:eastAsia="Arial" w:hAnsi="Arial" w:cs="Arial"/>
          <w:sz w:val="22"/>
          <w:szCs w:val="22"/>
        </w:rPr>
        <w:t xml:space="preserve">. </w:t>
      </w:r>
    </w:p>
    <w:p w14:paraId="45976EDE" w14:textId="77777777" w:rsidR="00225946" w:rsidRPr="0038649C" w:rsidRDefault="00225946" w:rsidP="24745044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3CE8197C" w14:textId="46730519" w:rsidR="699F3164" w:rsidRPr="0038649C" w:rsidRDefault="699F3164" w:rsidP="24745044">
      <w:pPr>
        <w:spacing w:line="276" w:lineRule="auto"/>
        <w:rPr>
          <w:rFonts w:ascii="Arial" w:eastAsia="Arial" w:hAnsi="Arial" w:cs="Arial"/>
          <w:b/>
          <w:bCs/>
          <w:sz w:val="22"/>
          <w:szCs w:val="22"/>
        </w:rPr>
      </w:pPr>
      <w:r w:rsidRPr="0038649C">
        <w:rPr>
          <w:rFonts w:ascii="Arial" w:eastAsia="Arial" w:hAnsi="Arial" w:cs="Arial"/>
          <w:b/>
          <w:bCs/>
          <w:sz w:val="22"/>
          <w:szCs w:val="22"/>
        </w:rPr>
        <w:lastRenderedPageBreak/>
        <w:t xml:space="preserve">Supplementary Figure </w:t>
      </w:r>
      <w:r w:rsidR="00225946" w:rsidRPr="0038649C">
        <w:rPr>
          <w:rFonts w:ascii="Arial" w:eastAsia="Arial" w:hAnsi="Arial" w:cs="Arial"/>
          <w:b/>
          <w:bCs/>
          <w:sz w:val="22"/>
          <w:szCs w:val="22"/>
        </w:rPr>
        <w:t>2</w:t>
      </w:r>
      <w:r w:rsidRPr="0038649C">
        <w:rPr>
          <w:rFonts w:ascii="Arial" w:eastAsia="Arial" w:hAnsi="Arial" w:cs="Arial"/>
          <w:b/>
          <w:bCs/>
          <w:sz w:val="22"/>
          <w:szCs w:val="22"/>
        </w:rPr>
        <w:t>.</w:t>
      </w:r>
    </w:p>
    <w:p w14:paraId="0BD2519A" w14:textId="0EB41049" w:rsidR="32775EDD" w:rsidRPr="0038649C" w:rsidRDefault="32775EDD" w:rsidP="24745044">
      <w:pPr>
        <w:spacing w:line="276" w:lineRule="auto"/>
        <w:rPr>
          <w:rFonts w:ascii="Arial" w:eastAsia="Arial" w:hAnsi="Arial" w:cs="Arial"/>
          <w:b/>
          <w:bCs/>
          <w:sz w:val="22"/>
          <w:szCs w:val="22"/>
        </w:rPr>
      </w:pPr>
    </w:p>
    <w:p w14:paraId="43DB5A05" w14:textId="25456B71" w:rsidR="32775EDD" w:rsidRPr="0038649C" w:rsidRDefault="32775EDD" w:rsidP="24745044">
      <w:pPr>
        <w:spacing w:line="276" w:lineRule="auto"/>
        <w:rPr>
          <w:rFonts w:ascii="Arial" w:eastAsia="Arial" w:hAnsi="Arial" w:cs="Arial"/>
          <w:b/>
          <w:bCs/>
          <w:sz w:val="22"/>
          <w:szCs w:val="22"/>
        </w:rPr>
      </w:pPr>
    </w:p>
    <w:p w14:paraId="17C17E09" w14:textId="6B0A3B71" w:rsidR="00B95B81" w:rsidRPr="0038649C" w:rsidRDefault="00252263" w:rsidP="24745044">
      <w:pPr>
        <w:spacing w:line="276" w:lineRule="auto"/>
        <w:rPr>
          <w:rFonts w:ascii="Arial" w:eastAsia="Arial" w:hAnsi="Arial" w:cs="Arial"/>
          <w:sz w:val="22"/>
          <w:szCs w:val="22"/>
        </w:rPr>
      </w:pPr>
      <w:r w:rsidRPr="0038649C">
        <w:rPr>
          <w:noProof/>
        </w:rPr>
        <w:lastRenderedPageBreak/>
        <w:drawing>
          <wp:inline distT="0" distB="0" distL="0" distR="0" wp14:anchorId="029752F1" wp14:editId="2A41E9AF">
            <wp:extent cx="5817870" cy="8229600"/>
            <wp:effectExtent l="0" t="0" r="0" b="0"/>
            <wp:docPr id="2016929493" name="Picture 8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78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CF0A4" w14:textId="7E0C011D" w:rsidR="00B95B81" w:rsidRPr="0038649C" w:rsidRDefault="00B95B81" w:rsidP="24745044">
      <w:pPr>
        <w:spacing w:line="276" w:lineRule="auto"/>
        <w:rPr>
          <w:rFonts w:ascii="Arial" w:eastAsia="Arial" w:hAnsi="Arial" w:cs="Arial"/>
          <w:sz w:val="22"/>
          <w:szCs w:val="22"/>
        </w:rPr>
      </w:pPr>
      <w:r w:rsidRPr="0038649C">
        <w:rPr>
          <w:rFonts w:ascii="Arial" w:eastAsia="Arial" w:hAnsi="Arial" w:cs="Arial"/>
          <w:b/>
          <w:bCs/>
          <w:sz w:val="22"/>
          <w:szCs w:val="22"/>
        </w:rPr>
        <w:lastRenderedPageBreak/>
        <w:t>(A)</w:t>
      </w:r>
      <w:r w:rsidRPr="0038649C">
        <w:rPr>
          <w:rFonts w:ascii="Arial" w:eastAsia="Arial" w:hAnsi="Arial" w:cs="Arial"/>
          <w:sz w:val="22"/>
          <w:szCs w:val="22"/>
        </w:rPr>
        <w:t xml:space="preserve"> Representative gating strategy for quantification of GFP expression in T cells. FSC/SSC is used to exclude debris and SSC-A/SSC-H is used to select singlets. Live cells were identified using Ghost Dye 450, and CD4+ and CD8+ T cell populations were distinguished based on CD4 AF647 and CD8 PE-Cy7 staining. GFP expression was analyzed within live CD4+ and CD8+ populations. </w:t>
      </w:r>
      <w:r w:rsidRPr="0038649C">
        <w:rPr>
          <w:rFonts w:ascii="Arial" w:eastAsia="Arial" w:hAnsi="Arial" w:cs="Arial"/>
          <w:b/>
          <w:bCs/>
          <w:sz w:val="22"/>
          <w:szCs w:val="22"/>
        </w:rPr>
        <w:t>(</w:t>
      </w:r>
      <w:r w:rsidR="0058772B" w:rsidRPr="0038649C">
        <w:rPr>
          <w:rFonts w:ascii="Arial" w:eastAsia="Arial" w:hAnsi="Arial" w:cs="Arial"/>
          <w:b/>
          <w:bCs/>
          <w:sz w:val="22"/>
          <w:szCs w:val="22"/>
        </w:rPr>
        <w:t>Top</w:t>
      </w:r>
      <w:r w:rsidRPr="0038649C">
        <w:rPr>
          <w:rFonts w:ascii="Arial" w:eastAsia="Arial" w:hAnsi="Arial" w:cs="Arial"/>
          <w:b/>
          <w:bCs/>
          <w:sz w:val="22"/>
          <w:szCs w:val="22"/>
        </w:rPr>
        <w:t>)</w:t>
      </w:r>
      <w:r w:rsidRPr="0038649C">
        <w:rPr>
          <w:rFonts w:ascii="Arial" w:eastAsia="Arial" w:hAnsi="Arial" w:cs="Arial"/>
          <w:sz w:val="22"/>
          <w:szCs w:val="22"/>
        </w:rPr>
        <w:t xml:space="preserve"> GFP+</w:t>
      </w:r>
      <w:r w:rsidR="000B7F74" w:rsidRPr="0038649C">
        <w:rPr>
          <w:rFonts w:ascii="Arial" w:eastAsia="Arial" w:hAnsi="Arial" w:cs="Arial"/>
          <w:sz w:val="22"/>
          <w:szCs w:val="22"/>
        </w:rPr>
        <w:t xml:space="preserve"> </w:t>
      </w:r>
      <w:r w:rsidRPr="0038649C">
        <w:rPr>
          <w:rFonts w:ascii="Arial" w:eastAsia="Arial" w:hAnsi="Arial" w:cs="Arial"/>
          <w:sz w:val="22"/>
          <w:szCs w:val="22"/>
        </w:rPr>
        <w:t xml:space="preserve">cells gated on CD4+ and CD8+ populations are shown in a control sample. </w:t>
      </w:r>
      <w:r w:rsidRPr="0038649C">
        <w:rPr>
          <w:rFonts w:ascii="Arial" w:eastAsia="Arial" w:hAnsi="Arial" w:cs="Arial"/>
          <w:b/>
          <w:bCs/>
          <w:sz w:val="22"/>
          <w:szCs w:val="22"/>
        </w:rPr>
        <w:t>(</w:t>
      </w:r>
      <w:r w:rsidR="00C81654" w:rsidRPr="0038649C">
        <w:rPr>
          <w:rFonts w:ascii="Arial" w:eastAsia="Arial" w:hAnsi="Arial" w:cs="Arial"/>
          <w:b/>
          <w:bCs/>
          <w:sz w:val="22"/>
          <w:szCs w:val="22"/>
        </w:rPr>
        <w:t>Bottom</w:t>
      </w:r>
      <w:r w:rsidRPr="0038649C">
        <w:rPr>
          <w:rFonts w:ascii="Arial" w:eastAsia="Arial" w:hAnsi="Arial" w:cs="Arial"/>
          <w:b/>
          <w:bCs/>
          <w:sz w:val="22"/>
          <w:szCs w:val="22"/>
        </w:rPr>
        <w:t>)</w:t>
      </w:r>
      <w:r w:rsidRPr="0038649C">
        <w:rPr>
          <w:rFonts w:ascii="Arial" w:eastAsia="Arial" w:hAnsi="Arial" w:cs="Arial"/>
          <w:sz w:val="22"/>
          <w:szCs w:val="22"/>
        </w:rPr>
        <w:t xml:space="preserve"> GFP+ cells gated on CD4+ and CD8+ populations are shown in an experimental sample.</w:t>
      </w:r>
    </w:p>
    <w:p w14:paraId="034B275E" w14:textId="024A5C4E" w:rsidR="00904056" w:rsidRPr="0038649C" w:rsidRDefault="00B95B81" w:rsidP="24745044">
      <w:pPr>
        <w:spacing w:line="276" w:lineRule="auto"/>
        <w:rPr>
          <w:rFonts w:ascii="Arial" w:eastAsia="Arial" w:hAnsi="Arial" w:cs="Arial"/>
          <w:sz w:val="22"/>
          <w:szCs w:val="22"/>
        </w:rPr>
      </w:pPr>
      <w:r w:rsidRPr="0038649C">
        <w:rPr>
          <w:rFonts w:ascii="Arial" w:eastAsia="Arial" w:hAnsi="Arial" w:cs="Arial"/>
          <w:b/>
          <w:bCs/>
          <w:sz w:val="22"/>
          <w:szCs w:val="22"/>
        </w:rPr>
        <w:t>(B)</w:t>
      </w:r>
      <w:r w:rsidRPr="0038649C">
        <w:rPr>
          <w:rFonts w:ascii="Arial" w:eastAsia="Arial" w:hAnsi="Arial" w:cs="Arial"/>
          <w:sz w:val="22"/>
          <w:szCs w:val="22"/>
        </w:rPr>
        <w:t xml:space="preserve"> </w:t>
      </w:r>
      <w:r w:rsidRPr="0038649C">
        <w:rPr>
          <w:rFonts w:ascii="Arial" w:eastAsia="Arial" w:hAnsi="Arial" w:cs="Arial"/>
          <w:b/>
          <w:bCs/>
          <w:sz w:val="22"/>
          <w:szCs w:val="22"/>
        </w:rPr>
        <w:t xml:space="preserve">(Left) </w:t>
      </w:r>
      <w:r w:rsidRPr="0038649C">
        <w:rPr>
          <w:rFonts w:ascii="Arial" w:eastAsia="Arial" w:hAnsi="Arial" w:cs="Arial"/>
          <w:sz w:val="22"/>
          <w:szCs w:val="22"/>
        </w:rPr>
        <w:t xml:space="preserve">T cell counts 24 hours post-transfection, showing initial cell input for on-chip samples are &lt;10,000 cells/edit. </w:t>
      </w:r>
      <w:r w:rsidRPr="0038649C">
        <w:rPr>
          <w:rFonts w:ascii="Arial" w:eastAsia="Arial" w:hAnsi="Arial" w:cs="Arial"/>
          <w:b/>
          <w:bCs/>
          <w:sz w:val="22"/>
          <w:szCs w:val="22"/>
        </w:rPr>
        <w:t>(Right)</w:t>
      </w:r>
      <w:r w:rsidRPr="0038649C">
        <w:rPr>
          <w:rFonts w:ascii="Arial" w:eastAsia="Arial" w:hAnsi="Arial" w:cs="Arial"/>
          <w:sz w:val="22"/>
          <w:szCs w:val="22"/>
        </w:rPr>
        <w:t xml:space="preserve"> Viability of T cells 24 hours post-transfection (N=4-15). Statistics were calculated using One-way ANOVA with multiple comparisons. Statistical significance is defined as ns = not significant, </w:t>
      </w:r>
      <w:r w:rsidRPr="0038649C">
        <w:rPr>
          <w:rFonts w:ascii="Cambria Math" w:eastAsia="Arial" w:hAnsi="Cambria Math" w:cs="Cambria Math"/>
          <w:sz w:val="22"/>
          <w:szCs w:val="22"/>
        </w:rPr>
        <w:t>∗</w:t>
      </w:r>
      <w:r w:rsidRPr="0038649C">
        <w:rPr>
          <w:rFonts w:ascii="Arial" w:eastAsia="Arial" w:hAnsi="Arial" w:cs="Arial"/>
          <w:sz w:val="22"/>
          <w:szCs w:val="22"/>
        </w:rPr>
        <w:t xml:space="preserve">p &lt; 0.05, </w:t>
      </w:r>
      <w:r w:rsidRPr="0038649C">
        <w:rPr>
          <w:rFonts w:ascii="Cambria Math" w:eastAsia="Arial" w:hAnsi="Cambria Math" w:cs="Cambria Math"/>
          <w:sz w:val="22"/>
          <w:szCs w:val="22"/>
        </w:rPr>
        <w:t>∗∗</w:t>
      </w:r>
      <w:r w:rsidRPr="0038649C">
        <w:rPr>
          <w:rFonts w:ascii="Arial" w:eastAsia="Arial" w:hAnsi="Arial" w:cs="Arial"/>
          <w:sz w:val="22"/>
          <w:szCs w:val="22"/>
        </w:rPr>
        <w:t xml:space="preserve">p &lt; 0.01, </w:t>
      </w:r>
      <w:r w:rsidRPr="0038649C">
        <w:rPr>
          <w:rFonts w:ascii="Cambria Math" w:eastAsia="Arial" w:hAnsi="Cambria Math" w:cs="Cambria Math"/>
          <w:sz w:val="22"/>
          <w:szCs w:val="22"/>
        </w:rPr>
        <w:t>∗∗∗</w:t>
      </w:r>
      <w:r w:rsidRPr="0038649C">
        <w:rPr>
          <w:rFonts w:ascii="Arial" w:eastAsia="Arial" w:hAnsi="Arial" w:cs="Arial"/>
          <w:sz w:val="22"/>
          <w:szCs w:val="22"/>
        </w:rPr>
        <w:t xml:space="preserve">p &lt; 0.001, and </w:t>
      </w:r>
      <w:r w:rsidRPr="0038649C">
        <w:rPr>
          <w:rFonts w:ascii="Cambria Math" w:eastAsia="Arial" w:hAnsi="Cambria Math" w:cs="Cambria Math"/>
          <w:sz w:val="22"/>
          <w:szCs w:val="22"/>
        </w:rPr>
        <w:t>∗∗∗∗</w:t>
      </w:r>
      <w:r w:rsidRPr="0038649C">
        <w:rPr>
          <w:rFonts w:ascii="Arial" w:eastAsia="Arial" w:hAnsi="Arial" w:cs="Arial"/>
          <w:sz w:val="22"/>
          <w:szCs w:val="22"/>
        </w:rPr>
        <w:t>p &lt; 0.0001. Mean values and SD are presented.</w:t>
      </w:r>
      <w:r w:rsidRPr="0038649C">
        <w:rPr>
          <w:rFonts w:ascii="Arial" w:eastAsia="Arial" w:hAnsi="Arial" w:cs="Arial"/>
          <w:b/>
          <w:bCs/>
          <w:sz w:val="22"/>
          <w:szCs w:val="22"/>
        </w:rPr>
        <w:br w:type="page"/>
      </w:r>
    </w:p>
    <w:p w14:paraId="29898AA8" w14:textId="1FA8A5D8" w:rsidR="00225946" w:rsidRPr="0038649C" w:rsidRDefault="00225946" w:rsidP="24745044">
      <w:pPr>
        <w:spacing w:line="276" w:lineRule="auto"/>
        <w:rPr>
          <w:rFonts w:ascii="Arial" w:eastAsia="Arial" w:hAnsi="Arial" w:cs="Arial"/>
          <w:sz w:val="22"/>
          <w:szCs w:val="22"/>
        </w:rPr>
      </w:pPr>
      <w:r w:rsidRPr="0038649C">
        <w:rPr>
          <w:rFonts w:ascii="Arial" w:eastAsia="Arial" w:hAnsi="Arial" w:cs="Arial"/>
          <w:b/>
          <w:bCs/>
          <w:sz w:val="22"/>
          <w:szCs w:val="22"/>
        </w:rPr>
        <w:lastRenderedPageBreak/>
        <w:t>Supplementary Figure 3.</w:t>
      </w:r>
      <w:r w:rsidR="50D73D51" w:rsidRPr="0038649C">
        <w:rPr>
          <w:rFonts w:ascii="Arial" w:eastAsia="Arial" w:hAnsi="Arial" w:cs="Arial"/>
          <w:b/>
          <w:bCs/>
          <w:sz w:val="22"/>
          <w:szCs w:val="22"/>
        </w:rPr>
        <w:t xml:space="preserve"> Validation of MBNL1 knockout in primary human myoblasts by Western blot.</w:t>
      </w:r>
    </w:p>
    <w:p w14:paraId="29333279" w14:textId="50E7D075" w:rsidR="00B95B81" w:rsidRPr="0038649C" w:rsidRDefault="00B95B81" w:rsidP="24745044">
      <w:pPr>
        <w:spacing w:line="276" w:lineRule="auto"/>
        <w:rPr>
          <w:rFonts w:ascii="Arial" w:eastAsia="Arial" w:hAnsi="Arial" w:cs="Arial"/>
          <w:b/>
          <w:bCs/>
          <w:sz w:val="22"/>
          <w:szCs w:val="22"/>
        </w:rPr>
      </w:pPr>
    </w:p>
    <w:p w14:paraId="23A53E01" w14:textId="3FCBC54A" w:rsidR="00B95B81" w:rsidRPr="0038649C" w:rsidRDefault="3E6A42D4" w:rsidP="24745044">
      <w:pPr>
        <w:spacing w:line="276" w:lineRule="auto"/>
        <w:rPr>
          <w:rFonts w:ascii="Arial" w:eastAsia="Arial" w:hAnsi="Arial" w:cs="Arial"/>
          <w:sz w:val="22"/>
          <w:szCs w:val="22"/>
        </w:rPr>
      </w:pPr>
      <w:r w:rsidRPr="0038649C">
        <w:rPr>
          <w:noProof/>
        </w:rPr>
        <w:drawing>
          <wp:inline distT="0" distB="0" distL="0" distR="0" wp14:anchorId="4364B35A" wp14:editId="006E71E0">
            <wp:extent cx="5943600" cy="4114800"/>
            <wp:effectExtent l="0" t="0" r="0" b="0"/>
            <wp:docPr id="525636471" name="Picture 525636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5B81" w:rsidRPr="0038649C">
        <w:br/>
      </w:r>
      <w:r w:rsidR="6D6FE445" w:rsidRPr="0038649C">
        <w:rPr>
          <w:rFonts w:ascii="Arial" w:eastAsia="Arial" w:hAnsi="Arial" w:cs="Arial"/>
          <w:sz w:val="22"/>
          <w:szCs w:val="22"/>
        </w:rPr>
        <w:t xml:space="preserve"> Western blot analysis of MBNL1 protein levels in CRISPR-edited and control myoblasts. </w:t>
      </w:r>
    </w:p>
    <w:p w14:paraId="77994274" w14:textId="2E2139B6" w:rsidR="00B95B81" w:rsidRPr="0038649C" w:rsidRDefault="6D6FE445" w:rsidP="24745044">
      <w:pPr>
        <w:spacing w:line="276" w:lineRule="auto"/>
        <w:rPr>
          <w:rFonts w:ascii="Arial" w:eastAsia="Arial" w:hAnsi="Arial" w:cs="Arial"/>
          <w:sz w:val="22"/>
          <w:szCs w:val="22"/>
        </w:rPr>
      </w:pPr>
      <w:r w:rsidRPr="0038649C">
        <w:rPr>
          <w:rFonts w:ascii="Arial" w:eastAsia="Arial" w:hAnsi="Arial" w:cs="Arial"/>
          <w:b/>
          <w:bCs/>
          <w:sz w:val="22"/>
          <w:szCs w:val="22"/>
        </w:rPr>
        <w:t>(A)</w:t>
      </w:r>
      <w:r w:rsidRPr="0038649C">
        <w:rPr>
          <w:rFonts w:ascii="Arial" w:eastAsia="Arial" w:hAnsi="Arial" w:cs="Arial"/>
          <w:sz w:val="22"/>
          <w:szCs w:val="22"/>
        </w:rPr>
        <w:t xml:space="preserve"> </w:t>
      </w:r>
      <w:r w:rsidR="1CF5C60C" w:rsidRPr="0038649C">
        <w:rPr>
          <w:rFonts w:ascii="Arial" w:eastAsia="Arial" w:hAnsi="Arial" w:cs="Arial"/>
          <w:b/>
          <w:bCs/>
          <w:sz w:val="22"/>
          <w:szCs w:val="22"/>
        </w:rPr>
        <w:t>Representative Western blot.</w:t>
      </w:r>
      <w:r w:rsidR="1CF5C60C" w:rsidRPr="0038649C">
        <w:rPr>
          <w:rFonts w:ascii="Arial" w:eastAsia="Arial" w:hAnsi="Arial" w:cs="Arial"/>
          <w:sz w:val="22"/>
          <w:szCs w:val="22"/>
        </w:rPr>
        <w:t xml:space="preserve"> Whole-cell lysates from bulk-edited cells (KO) and a donor-matched non-targeting control pool (WT) were resolved by SDS-PAGE and probed with anti-MBNL1. Lysates from three independent electroporations were pooled per lane to obtain sufficient protein. Complete loss of the ~42 kDa MBNL1 band is observed in the KO sample, confirming efficient genome editing. α-Tubulin serves as a loading control.</w:t>
      </w:r>
    </w:p>
    <w:p w14:paraId="4FCA661E" w14:textId="6D4F8571" w:rsidR="00B95B81" w:rsidRPr="0038649C" w:rsidRDefault="6FDD1449" w:rsidP="24745044">
      <w:pPr>
        <w:spacing w:line="276" w:lineRule="auto"/>
        <w:rPr>
          <w:rFonts w:ascii="Arial" w:eastAsia="Arial" w:hAnsi="Arial" w:cs="Arial"/>
          <w:sz w:val="22"/>
          <w:szCs w:val="22"/>
        </w:rPr>
      </w:pPr>
      <w:r w:rsidRPr="0038649C">
        <w:rPr>
          <w:rFonts w:ascii="Arial" w:eastAsia="Arial" w:hAnsi="Arial" w:cs="Arial"/>
          <w:b/>
          <w:bCs/>
          <w:sz w:val="22"/>
          <w:szCs w:val="22"/>
        </w:rPr>
        <w:t>(B)</w:t>
      </w:r>
      <w:r w:rsidR="6166558E" w:rsidRPr="0038649C">
        <w:rPr>
          <w:rFonts w:ascii="Arial" w:eastAsia="Arial" w:hAnsi="Arial" w:cs="Arial"/>
          <w:b/>
          <w:bCs/>
          <w:sz w:val="22"/>
          <w:szCs w:val="22"/>
        </w:rPr>
        <w:t xml:space="preserve"> Densitometric quantification of MBNL1 reduction.</w:t>
      </w:r>
      <w:r w:rsidR="6166558E" w:rsidRPr="0038649C">
        <w:rPr>
          <w:rFonts w:ascii="Arial" w:eastAsia="Arial" w:hAnsi="Arial" w:cs="Arial"/>
          <w:sz w:val="22"/>
          <w:szCs w:val="22"/>
        </w:rPr>
        <w:t xml:space="preserve"> Band intensities were measured in ImageJ, background-subtracted (three blank regions per lane), and normalized to the corresponding tubulin signal. Bars represent the mean ± SD of four independent KO clones (n = 4); the average reduction of MBNL1 (KO) relative to control was 86 ± 12 %.</w:t>
      </w:r>
    </w:p>
    <w:p w14:paraId="4854FC9C" w14:textId="11CE1663" w:rsidR="00B95B81" w:rsidRPr="0038649C" w:rsidRDefault="6D6FE445" w:rsidP="24745044">
      <w:pPr>
        <w:spacing w:line="276" w:lineRule="auto"/>
        <w:rPr>
          <w:rFonts w:ascii="Arial" w:eastAsia="Arial" w:hAnsi="Arial" w:cs="Arial"/>
          <w:sz w:val="22"/>
          <w:szCs w:val="22"/>
        </w:rPr>
      </w:pPr>
      <w:r w:rsidRPr="0038649C">
        <w:rPr>
          <w:rFonts w:ascii="Arial" w:eastAsia="Arial" w:hAnsi="Arial" w:cs="Arial"/>
          <w:b/>
          <w:bCs/>
          <w:sz w:val="22"/>
          <w:szCs w:val="22"/>
        </w:rPr>
        <w:t>(</w:t>
      </w:r>
      <w:r w:rsidR="77F8774D" w:rsidRPr="0038649C">
        <w:rPr>
          <w:rFonts w:ascii="Arial" w:eastAsia="Arial" w:hAnsi="Arial" w:cs="Arial"/>
          <w:b/>
          <w:bCs/>
          <w:sz w:val="22"/>
          <w:szCs w:val="22"/>
        </w:rPr>
        <w:t>C</w:t>
      </w:r>
      <w:r w:rsidRPr="0038649C">
        <w:rPr>
          <w:rFonts w:ascii="Arial" w:eastAsia="Arial" w:hAnsi="Arial" w:cs="Arial"/>
          <w:b/>
          <w:bCs/>
          <w:sz w:val="22"/>
          <w:szCs w:val="22"/>
        </w:rPr>
        <w:t>)</w:t>
      </w:r>
      <w:r w:rsidRPr="0038649C">
        <w:rPr>
          <w:rFonts w:ascii="Arial" w:eastAsia="Arial" w:hAnsi="Arial" w:cs="Arial"/>
          <w:sz w:val="22"/>
          <w:szCs w:val="22"/>
        </w:rPr>
        <w:t xml:space="preserve"> </w:t>
      </w:r>
      <w:r w:rsidR="2A5B2761" w:rsidRPr="0038649C">
        <w:rPr>
          <w:rFonts w:ascii="Arial" w:eastAsia="Arial" w:hAnsi="Arial" w:cs="Arial"/>
          <w:b/>
          <w:bCs/>
          <w:sz w:val="22"/>
          <w:szCs w:val="22"/>
        </w:rPr>
        <w:t>Uncropped blots corresponding to panel A.</w:t>
      </w:r>
      <w:r w:rsidR="2A5B2761" w:rsidRPr="0038649C">
        <w:rPr>
          <w:rFonts w:ascii="Arial" w:eastAsia="Arial" w:hAnsi="Arial" w:cs="Arial"/>
          <w:sz w:val="22"/>
          <w:szCs w:val="22"/>
        </w:rPr>
        <w:t xml:space="preserve"> Full-length membranes for MBNL1 and tubulin are shown; dashed rectangles delineate the regions displayed in panel A. Molecular-weight markers (70 kDa and 55 kDa) are indicated for reference.</w:t>
      </w:r>
    </w:p>
    <w:p w14:paraId="20FCBCC7" w14:textId="2A80B225" w:rsidR="00B95B81" w:rsidRPr="0038649C" w:rsidRDefault="00B95B81" w:rsidP="24745044">
      <w:pPr>
        <w:spacing w:line="276" w:lineRule="auto"/>
        <w:rPr>
          <w:rFonts w:ascii="Arial" w:eastAsia="Arial" w:hAnsi="Arial" w:cs="Arial"/>
          <w:b/>
          <w:bCs/>
          <w:sz w:val="22"/>
          <w:szCs w:val="22"/>
        </w:rPr>
      </w:pPr>
    </w:p>
    <w:p w14:paraId="11E7E72F" w14:textId="77777777" w:rsidR="00291C13" w:rsidRPr="0038649C" w:rsidRDefault="00291C13" w:rsidP="24745044">
      <w:pPr>
        <w:spacing w:line="276" w:lineRule="auto"/>
        <w:rPr>
          <w:rFonts w:ascii="Arial" w:eastAsia="Arial" w:hAnsi="Arial" w:cs="Arial"/>
          <w:b/>
          <w:bCs/>
          <w:sz w:val="22"/>
          <w:szCs w:val="22"/>
        </w:rPr>
      </w:pPr>
    </w:p>
    <w:p w14:paraId="128501C5" w14:textId="798CE112" w:rsidR="00B95B81" w:rsidRPr="0038649C" w:rsidRDefault="00B95B81" w:rsidP="24745044">
      <w:pPr>
        <w:spacing w:line="276" w:lineRule="auto"/>
        <w:rPr>
          <w:rFonts w:ascii="Arial" w:eastAsia="Arial" w:hAnsi="Arial" w:cs="Arial"/>
          <w:b/>
          <w:bCs/>
          <w:sz w:val="22"/>
          <w:szCs w:val="22"/>
        </w:rPr>
      </w:pPr>
      <w:r w:rsidRPr="0038649C">
        <w:rPr>
          <w:rFonts w:ascii="Arial" w:eastAsia="Arial" w:hAnsi="Arial" w:cs="Arial"/>
          <w:b/>
          <w:bCs/>
          <w:sz w:val="22"/>
          <w:szCs w:val="22"/>
        </w:rPr>
        <w:lastRenderedPageBreak/>
        <w:t xml:space="preserve">Supplementary Figure </w:t>
      </w:r>
      <w:r w:rsidR="5A8DF5DA" w:rsidRPr="0038649C">
        <w:rPr>
          <w:rFonts w:ascii="Arial" w:eastAsia="Arial" w:hAnsi="Arial" w:cs="Arial"/>
          <w:b/>
          <w:bCs/>
          <w:sz w:val="22"/>
          <w:szCs w:val="22"/>
        </w:rPr>
        <w:t>4</w:t>
      </w:r>
      <w:r w:rsidRPr="0038649C">
        <w:rPr>
          <w:rFonts w:ascii="Arial" w:eastAsia="Arial" w:hAnsi="Arial" w:cs="Arial"/>
          <w:b/>
          <w:bCs/>
          <w:sz w:val="22"/>
          <w:szCs w:val="22"/>
        </w:rPr>
        <w:t>.</w:t>
      </w:r>
      <w:r w:rsidR="2EA91237" w:rsidRPr="0038649C">
        <w:rPr>
          <w:rFonts w:ascii="Arial" w:eastAsia="Arial" w:hAnsi="Arial" w:cs="Arial"/>
          <w:b/>
          <w:bCs/>
          <w:sz w:val="22"/>
          <w:szCs w:val="22"/>
        </w:rPr>
        <w:t xml:space="preserve"> Representative flow cytometry gating</w:t>
      </w:r>
      <w:r w:rsidR="0E848114" w:rsidRPr="0038649C">
        <w:rPr>
          <w:rFonts w:ascii="Arial" w:eastAsia="Arial" w:hAnsi="Arial" w:cs="Arial"/>
          <w:b/>
          <w:bCs/>
          <w:sz w:val="22"/>
          <w:szCs w:val="22"/>
        </w:rPr>
        <w:t xml:space="preserve"> of primary T-cells.</w:t>
      </w:r>
    </w:p>
    <w:p w14:paraId="5BC03922" w14:textId="002ADD9E" w:rsidR="00A37E80" w:rsidRPr="0038649C" w:rsidRDefault="00882415" w:rsidP="24745044">
      <w:pPr>
        <w:spacing w:line="276" w:lineRule="auto"/>
        <w:rPr>
          <w:rFonts w:ascii="Arial" w:eastAsia="Arial" w:hAnsi="Arial" w:cs="Arial"/>
          <w:b/>
          <w:bCs/>
          <w:sz w:val="22"/>
          <w:szCs w:val="22"/>
        </w:rPr>
      </w:pPr>
      <w:r w:rsidRPr="0038649C">
        <w:rPr>
          <w:noProof/>
        </w:rPr>
        <w:lastRenderedPageBreak/>
        <w:drawing>
          <wp:inline distT="0" distB="0" distL="0" distR="0" wp14:anchorId="078496C5" wp14:editId="76FFB12F">
            <wp:extent cx="5817870" cy="8229600"/>
            <wp:effectExtent l="0" t="0" r="0" b="0"/>
            <wp:docPr id="1950594249" name="Picture 9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78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19931" w14:textId="7025E2E2" w:rsidR="00B95B81" w:rsidRPr="0038649C" w:rsidRDefault="00B95B81" w:rsidP="24745044">
      <w:pPr>
        <w:spacing w:line="276" w:lineRule="auto"/>
        <w:rPr>
          <w:rFonts w:ascii="Arial" w:eastAsia="Arial" w:hAnsi="Arial" w:cs="Arial"/>
          <w:sz w:val="22"/>
          <w:szCs w:val="22"/>
        </w:rPr>
      </w:pPr>
      <w:r w:rsidRPr="0038649C">
        <w:rPr>
          <w:rFonts w:ascii="Arial" w:eastAsia="Arial" w:hAnsi="Arial" w:cs="Arial"/>
          <w:b/>
          <w:bCs/>
          <w:sz w:val="22"/>
          <w:szCs w:val="22"/>
        </w:rPr>
        <w:lastRenderedPageBreak/>
        <w:t xml:space="preserve">(A) </w:t>
      </w:r>
      <w:r w:rsidRPr="0038649C">
        <w:rPr>
          <w:rFonts w:ascii="Arial" w:eastAsia="Arial" w:hAnsi="Arial" w:cs="Arial"/>
          <w:sz w:val="22"/>
          <w:szCs w:val="22"/>
        </w:rPr>
        <w:t>Flow cytometry analysis was performed to</w:t>
      </w:r>
      <w:r w:rsidRPr="0038649C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Pr="0038649C">
        <w:rPr>
          <w:rFonts w:ascii="Arial" w:eastAsia="Arial" w:hAnsi="Arial" w:cs="Arial"/>
          <w:sz w:val="22"/>
          <w:szCs w:val="22"/>
        </w:rPr>
        <w:t xml:space="preserve">evaluate knockout of the TCR α/β. Representative gating strategy is shown, where FSC/SSC is used to exclude debris and SSC-A/SSC-H is used to select singlets. Live cells were identified using Ghost Dye 450, and CD4+ and CD8+ T cell populations were distinguished based on CD4 AF647 and CD8 PE-Cy7 staining. TRAC KO was measured on the PE channel within live CD4+ and CD8+ populations, where percent negative represents percent knock out. </w:t>
      </w:r>
      <w:r w:rsidRPr="0038649C">
        <w:rPr>
          <w:rFonts w:ascii="Arial" w:eastAsia="Arial" w:hAnsi="Arial" w:cs="Arial"/>
          <w:b/>
          <w:bCs/>
          <w:sz w:val="22"/>
          <w:szCs w:val="22"/>
        </w:rPr>
        <w:t>(</w:t>
      </w:r>
      <w:r w:rsidR="00EF667F" w:rsidRPr="0038649C">
        <w:rPr>
          <w:rFonts w:ascii="Arial" w:eastAsia="Arial" w:hAnsi="Arial" w:cs="Arial"/>
          <w:b/>
          <w:bCs/>
          <w:sz w:val="22"/>
          <w:szCs w:val="22"/>
        </w:rPr>
        <w:t>Top</w:t>
      </w:r>
      <w:r w:rsidRPr="0038649C">
        <w:rPr>
          <w:rFonts w:ascii="Arial" w:eastAsia="Arial" w:hAnsi="Arial" w:cs="Arial"/>
          <w:b/>
          <w:bCs/>
          <w:sz w:val="22"/>
          <w:szCs w:val="22"/>
        </w:rPr>
        <w:t>)</w:t>
      </w:r>
      <w:r w:rsidRPr="0038649C">
        <w:rPr>
          <w:rFonts w:ascii="Arial" w:eastAsia="Arial" w:hAnsi="Arial" w:cs="Arial"/>
          <w:sz w:val="22"/>
          <w:szCs w:val="22"/>
        </w:rPr>
        <w:t xml:space="preserve"> TRAC- cells gated on CD4+ and CD8+ populations are shown in a control sample. </w:t>
      </w:r>
      <w:r w:rsidRPr="0038649C">
        <w:rPr>
          <w:rFonts w:ascii="Arial" w:eastAsia="Arial" w:hAnsi="Arial" w:cs="Arial"/>
          <w:b/>
          <w:bCs/>
          <w:sz w:val="22"/>
          <w:szCs w:val="22"/>
        </w:rPr>
        <w:t>(</w:t>
      </w:r>
      <w:r w:rsidR="00EF667F" w:rsidRPr="0038649C">
        <w:rPr>
          <w:rFonts w:ascii="Arial" w:eastAsia="Arial" w:hAnsi="Arial" w:cs="Arial"/>
          <w:b/>
          <w:bCs/>
          <w:sz w:val="22"/>
          <w:szCs w:val="22"/>
        </w:rPr>
        <w:t>Bottom</w:t>
      </w:r>
      <w:r w:rsidRPr="0038649C">
        <w:rPr>
          <w:rFonts w:ascii="Arial" w:eastAsia="Arial" w:hAnsi="Arial" w:cs="Arial"/>
          <w:b/>
          <w:bCs/>
          <w:sz w:val="22"/>
          <w:szCs w:val="22"/>
        </w:rPr>
        <w:t>)</w:t>
      </w:r>
      <w:r w:rsidRPr="0038649C">
        <w:rPr>
          <w:rFonts w:ascii="Arial" w:eastAsia="Arial" w:hAnsi="Arial" w:cs="Arial"/>
          <w:sz w:val="22"/>
          <w:szCs w:val="22"/>
        </w:rPr>
        <w:t xml:space="preserve"> TRAC- cells gated on CD4+ and CD8+ populations are shown in an experimental sample. </w:t>
      </w:r>
    </w:p>
    <w:p w14:paraId="23A493A6" w14:textId="5386254E" w:rsidR="00EF667F" w:rsidRPr="0038649C" w:rsidRDefault="00B95B81" w:rsidP="24745044">
      <w:pPr>
        <w:spacing w:line="276" w:lineRule="auto"/>
        <w:rPr>
          <w:rFonts w:ascii="Arial" w:eastAsia="Arial" w:hAnsi="Arial" w:cs="Arial"/>
          <w:sz w:val="22"/>
          <w:szCs w:val="22"/>
        </w:rPr>
      </w:pPr>
      <w:r w:rsidRPr="0038649C">
        <w:rPr>
          <w:rFonts w:ascii="Arial" w:eastAsia="Arial" w:hAnsi="Arial" w:cs="Arial"/>
          <w:b/>
          <w:bCs/>
          <w:sz w:val="22"/>
          <w:szCs w:val="22"/>
        </w:rPr>
        <w:t>(B)</w:t>
      </w:r>
      <w:r w:rsidRPr="0038649C">
        <w:rPr>
          <w:rFonts w:ascii="Arial" w:eastAsia="Arial" w:hAnsi="Arial" w:cs="Arial"/>
          <w:sz w:val="22"/>
          <w:szCs w:val="22"/>
        </w:rPr>
        <w:t xml:space="preserve"> Flow cytometry analysis was performed to evaluate the proportion of regulatory T cells (Tregs) in the vial received from the donor, 3 days post thaw. In the experimental condition with purified Tregs on the date of the experiment, 74% of cells were live, with 90% of live cells expressing CD4. Among these, 72.8% co-expressed FOXP3 and CD25, confirming Treg identity. These results indicate that 67% of live cells in the donor vial are CD4+CD25+FOXP3+ Tregs, demonstrating a high proportion of Tregs in the experimental sample. </w:t>
      </w:r>
    </w:p>
    <w:p w14:paraId="397EB03D" w14:textId="1753CB02" w:rsidR="00B95B81" w:rsidRPr="0038649C" w:rsidRDefault="00B95B81" w:rsidP="24745044">
      <w:pPr>
        <w:spacing w:line="276" w:lineRule="auto"/>
        <w:rPr>
          <w:rFonts w:ascii="Arial" w:eastAsia="Arial" w:hAnsi="Arial" w:cs="Arial"/>
          <w:sz w:val="22"/>
          <w:szCs w:val="22"/>
        </w:rPr>
      </w:pPr>
      <w:r w:rsidRPr="0038649C">
        <w:rPr>
          <w:rFonts w:ascii="Arial" w:eastAsia="Arial" w:hAnsi="Arial" w:cs="Arial"/>
          <w:b/>
          <w:bCs/>
          <w:sz w:val="22"/>
          <w:szCs w:val="22"/>
        </w:rPr>
        <w:t>(</w:t>
      </w:r>
      <w:r w:rsidR="00EF667F" w:rsidRPr="0038649C">
        <w:rPr>
          <w:rFonts w:ascii="Arial" w:eastAsia="Arial" w:hAnsi="Arial" w:cs="Arial"/>
          <w:b/>
          <w:bCs/>
          <w:sz w:val="22"/>
          <w:szCs w:val="22"/>
        </w:rPr>
        <w:t>C</w:t>
      </w:r>
      <w:r w:rsidRPr="0038649C">
        <w:rPr>
          <w:rFonts w:ascii="Arial" w:eastAsia="Arial" w:hAnsi="Arial" w:cs="Arial"/>
          <w:b/>
          <w:bCs/>
          <w:sz w:val="22"/>
          <w:szCs w:val="22"/>
        </w:rPr>
        <w:t>)</w:t>
      </w:r>
      <w:r w:rsidRPr="0038649C">
        <w:rPr>
          <w:rFonts w:ascii="Arial" w:eastAsia="Arial" w:hAnsi="Arial" w:cs="Arial"/>
          <w:sz w:val="22"/>
          <w:szCs w:val="22"/>
        </w:rPr>
        <w:t xml:space="preserve"> </w:t>
      </w:r>
      <w:r w:rsidR="002315E6" w:rsidRPr="0038649C">
        <w:rPr>
          <w:rFonts w:ascii="Arial" w:eastAsia="Arial" w:hAnsi="Arial" w:cs="Arial"/>
          <w:sz w:val="22"/>
          <w:szCs w:val="22"/>
        </w:rPr>
        <w:t>Flow cytometry analysis was performed to</w:t>
      </w:r>
      <w:r w:rsidR="002315E6" w:rsidRPr="0038649C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2315E6" w:rsidRPr="0038649C">
        <w:rPr>
          <w:rFonts w:ascii="Arial" w:eastAsia="Arial" w:hAnsi="Arial" w:cs="Arial"/>
          <w:sz w:val="22"/>
          <w:szCs w:val="22"/>
        </w:rPr>
        <w:t>evaluate knockout of the TCR α/β. Representative gating strategy is shown, where FSC/SSC is used to exclude debris and SSC-A/SSC-H is used to select singlets. Live cells were identified using Ghost Dye 450, and CD4+ and CD</w:t>
      </w:r>
      <w:r w:rsidR="00A810AC" w:rsidRPr="0038649C">
        <w:rPr>
          <w:rFonts w:ascii="Arial" w:eastAsia="Arial" w:hAnsi="Arial" w:cs="Arial"/>
          <w:sz w:val="22"/>
          <w:szCs w:val="22"/>
        </w:rPr>
        <w:t xml:space="preserve">25+ Treg populations were distinguished based on CD4 AF647 and CD25 PE-Cy7 staining. TRAC KO was measured on the PE channel within live CD4+ and CD8+ populations, where percent negative represents percent knock out. </w:t>
      </w:r>
      <w:r w:rsidR="00A810AC" w:rsidRPr="0038649C">
        <w:rPr>
          <w:rFonts w:ascii="Arial" w:eastAsia="Arial" w:hAnsi="Arial" w:cs="Arial"/>
          <w:b/>
          <w:bCs/>
          <w:sz w:val="22"/>
          <w:szCs w:val="22"/>
        </w:rPr>
        <w:t>(Top)</w:t>
      </w:r>
      <w:r w:rsidR="00A810AC" w:rsidRPr="0038649C">
        <w:rPr>
          <w:rFonts w:ascii="Arial" w:eastAsia="Arial" w:hAnsi="Arial" w:cs="Arial"/>
          <w:sz w:val="22"/>
          <w:szCs w:val="22"/>
        </w:rPr>
        <w:t xml:space="preserve"> TRAC- cells gated on CD4+ and CD25+ populations are shown in a control sample. </w:t>
      </w:r>
      <w:r w:rsidR="00A810AC" w:rsidRPr="0038649C">
        <w:rPr>
          <w:rFonts w:ascii="Arial" w:eastAsia="Arial" w:hAnsi="Arial" w:cs="Arial"/>
          <w:b/>
          <w:bCs/>
          <w:sz w:val="22"/>
          <w:szCs w:val="22"/>
        </w:rPr>
        <w:t>(Bottom)</w:t>
      </w:r>
      <w:r w:rsidR="00A810AC" w:rsidRPr="0038649C">
        <w:rPr>
          <w:rFonts w:ascii="Arial" w:eastAsia="Arial" w:hAnsi="Arial" w:cs="Arial"/>
          <w:sz w:val="22"/>
          <w:szCs w:val="22"/>
        </w:rPr>
        <w:t xml:space="preserve"> TRAC- cells gated on CD4+ and CD25+ populations are shown in an experimental sample.</w:t>
      </w:r>
    </w:p>
    <w:p w14:paraId="4C3BD9EB" w14:textId="4042303A" w:rsidR="00B95B81" w:rsidRPr="0038649C" w:rsidRDefault="00B95B81" w:rsidP="24745044">
      <w:pPr>
        <w:spacing w:line="276" w:lineRule="auto"/>
        <w:rPr>
          <w:rFonts w:ascii="Arial" w:eastAsia="Arial" w:hAnsi="Arial" w:cs="Arial"/>
          <w:b/>
          <w:bCs/>
          <w:sz w:val="22"/>
          <w:szCs w:val="22"/>
        </w:rPr>
      </w:pPr>
      <w:r w:rsidRPr="0038649C">
        <w:rPr>
          <w:rFonts w:ascii="Arial" w:eastAsia="Arial" w:hAnsi="Arial" w:cs="Arial"/>
          <w:b/>
          <w:bCs/>
          <w:sz w:val="22"/>
          <w:szCs w:val="22"/>
        </w:rPr>
        <w:t>(</w:t>
      </w:r>
      <w:r w:rsidR="00EF667F" w:rsidRPr="0038649C">
        <w:rPr>
          <w:rFonts w:ascii="Arial" w:eastAsia="Arial" w:hAnsi="Arial" w:cs="Arial"/>
          <w:b/>
          <w:bCs/>
          <w:sz w:val="22"/>
          <w:szCs w:val="22"/>
        </w:rPr>
        <w:t>D</w:t>
      </w:r>
      <w:r w:rsidRPr="0038649C">
        <w:rPr>
          <w:rFonts w:ascii="Arial" w:eastAsia="Arial" w:hAnsi="Arial" w:cs="Arial"/>
          <w:b/>
          <w:bCs/>
          <w:sz w:val="22"/>
          <w:szCs w:val="22"/>
        </w:rPr>
        <w:t xml:space="preserve">) </w:t>
      </w:r>
      <w:r w:rsidRPr="0038649C">
        <w:rPr>
          <w:rFonts w:ascii="Arial" w:eastAsia="Arial" w:hAnsi="Arial" w:cs="Arial"/>
          <w:sz w:val="22"/>
          <w:szCs w:val="22"/>
        </w:rPr>
        <w:t>Flow cytometry analysis was performed to evaluate GFP-positive cells to determine knock-in efficiency. Representative gating strategy is shown, where FSC/SSC is used to exclude debris and SSC-A/SSC-H is used to select singlets. GFP-positive cells were gated on the singlet population. GFP-positive cells are shown in a (</w:t>
      </w:r>
      <w:r w:rsidR="00EF667F" w:rsidRPr="0038649C">
        <w:rPr>
          <w:rFonts w:ascii="Arial" w:eastAsia="Arial" w:hAnsi="Arial" w:cs="Arial"/>
          <w:b/>
          <w:bCs/>
          <w:sz w:val="22"/>
          <w:szCs w:val="22"/>
        </w:rPr>
        <w:t>Top</w:t>
      </w:r>
      <w:r w:rsidRPr="0038649C">
        <w:rPr>
          <w:rFonts w:ascii="Arial" w:eastAsia="Arial" w:hAnsi="Arial" w:cs="Arial"/>
          <w:sz w:val="22"/>
          <w:szCs w:val="22"/>
        </w:rPr>
        <w:t>) control and (</w:t>
      </w:r>
      <w:r w:rsidR="00EF667F" w:rsidRPr="0038649C">
        <w:rPr>
          <w:rFonts w:ascii="Arial" w:eastAsia="Arial" w:hAnsi="Arial" w:cs="Arial"/>
          <w:b/>
          <w:bCs/>
          <w:sz w:val="22"/>
          <w:szCs w:val="22"/>
        </w:rPr>
        <w:t>Bottom</w:t>
      </w:r>
      <w:r w:rsidRPr="0038649C">
        <w:rPr>
          <w:rFonts w:ascii="Arial" w:eastAsia="Arial" w:hAnsi="Arial" w:cs="Arial"/>
          <w:sz w:val="22"/>
          <w:szCs w:val="22"/>
        </w:rPr>
        <w:t>) experimental sample.</w:t>
      </w:r>
    </w:p>
    <w:p w14:paraId="49A225CF" w14:textId="2FDBC072" w:rsidR="00B95B81" w:rsidRPr="0038649C" w:rsidRDefault="002315E6" w:rsidP="24745044">
      <w:pPr>
        <w:spacing w:line="276" w:lineRule="auto"/>
        <w:rPr>
          <w:rFonts w:ascii="Arial" w:eastAsia="Arial" w:hAnsi="Arial" w:cs="Arial"/>
          <w:b/>
          <w:bCs/>
          <w:sz w:val="22"/>
          <w:szCs w:val="22"/>
        </w:rPr>
      </w:pPr>
      <w:r w:rsidRPr="0038649C">
        <w:rPr>
          <w:rFonts w:ascii="Arial" w:eastAsia="Arial" w:hAnsi="Arial" w:cs="Arial"/>
          <w:b/>
          <w:bCs/>
          <w:sz w:val="22"/>
          <w:szCs w:val="22"/>
        </w:rPr>
        <w:t xml:space="preserve">(E) </w:t>
      </w:r>
      <w:r w:rsidR="00B95B81" w:rsidRPr="0038649C">
        <w:rPr>
          <w:rFonts w:ascii="Arial" w:eastAsia="Arial" w:hAnsi="Arial" w:cs="Arial"/>
          <w:sz w:val="22"/>
          <w:szCs w:val="22"/>
        </w:rPr>
        <w:t>Flow cytometry analysis was performed to evaluate cells expressing Protein L to confirm generation of Anti-HER2 CAR-T cells. Representative gating strategy is shown, where FSC/SSC is used to exclude debris and SSC-A/SSC-H is used to select singlets. Live cells were identified using Ghost Dye 450. Protein L expressing cells were measured on the FITC channel. Protein L expression is shown in a (</w:t>
      </w:r>
      <w:r w:rsidR="00EF667F" w:rsidRPr="0038649C">
        <w:rPr>
          <w:rFonts w:ascii="Arial" w:eastAsia="Arial" w:hAnsi="Arial" w:cs="Arial"/>
          <w:b/>
          <w:bCs/>
          <w:sz w:val="22"/>
          <w:szCs w:val="22"/>
        </w:rPr>
        <w:t>Top</w:t>
      </w:r>
      <w:r w:rsidR="00B95B81" w:rsidRPr="0038649C">
        <w:rPr>
          <w:rFonts w:ascii="Arial" w:eastAsia="Arial" w:hAnsi="Arial" w:cs="Arial"/>
          <w:sz w:val="22"/>
          <w:szCs w:val="22"/>
        </w:rPr>
        <w:t>) control and (</w:t>
      </w:r>
      <w:r w:rsidR="00EF667F" w:rsidRPr="0038649C">
        <w:rPr>
          <w:rFonts w:ascii="Arial" w:eastAsia="Arial" w:hAnsi="Arial" w:cs="Arial"/>
          <w:b/>
          <w:bCs/>
          <w:sz w:val="22"/>
          <w:szCs w:val="22"/>
        </w:rPr>
        <w:t>Bottom</w:t>
      </w:r>
      <w:r w:rsidR="00B95B81" w:rsidRPr="0038649C">
        <w:rPr>
          <w:rFonts w:ascii="Arial" w:eastAsia="Arial" w:hAnsi="Arial" w:cs="Arial"/>
          <w:sz w:val="22"/>
          <w:szCs w:val="22"/>
        </w:rPr>
        <w:t>) experimental sample.</w:t>
      </w:r>
      <w:r w:rsidR="00B95B81" w:rsidRPr="0038649C">
        <w:rPr>
          <w:rFonts w:ascii="Arial" w:eastAsia="Arial" w:hAnsi="Arial" w:cs="Arial"/>
          <w:b/>
          <w:bCs/>
          <w:sz w:val="22"/>
          <w:szCs w:val="22"/>
        </w:rPr>
        <w:br w:type="page"/>
      </w:r>
      <w:r w:rsidR="00B95B81" w:rsidRPr="0038649C">
        <w:rPr>
          <w:rFonts w:ascii="Arial" w:eastAsia="Arial" w:hAnsi="Arial" w:cs="Arial"/>
          <w:b/>
          <w:bCs/>
          <w:sz w:val="22"/>
          <w:szCs w:val="22"/>
        </w:rPr>
        <w:lastRenderedPageBreak/>
        <w:t xml:space="preserve">Supplementary Figure </w:t>
      </w:r>
      <w:r w:rsidR="39A5FF88" w:rsidRPr="0038649C">
        <w:rPr>
          <w:rFonts w:ascii="Arial" w:eastAsia="Arial" w:hAnsi="Arial" w:cs="Arial"/>
          <w:b/>
          <w:bCs/>
          <w:sz w:val="22"/>
          <w:szCs w:val="22"/>
        </w:rPr>
        <w:t>5</w:t>
      </w:r>
      <w:r w:rsidR="00B95B81" w:rsidRPr="0038649C">
        <w:rPr>
          <w:rFonts w:ascii="Arial" w:eastAsia="Arial" w:hAnsi="Arial" w:cs="Arial"/>
          <w:b/>
          <w:bCs/>
          <w:sz w:val="22"/>
          <w:szCs w:val="22"/>
        </w:rPr>
        <w:t>. Miniaturized arrayed CRISPR screen in CD4+ T cells</w:t>
      </w:r>
    </w:p>
    <w:p w14:paraId="184C01C3" w14:textId="770930C5" w:rsidR="42545226" w:rsidRPr="0038649C" w:rsidRDefault="005262B1" w:rsidP="24745044">
      <w:pPr>
        <w:spacing w:line="276" w:lineRule="auto"/>
        <w:rPr>
          <w:rFonts w:ascii="Arial" w:eastAsia="Arial" w:hAnsi="Arial" w:cs="Arial"/>
          <w:sz w:val="22"/>
          <w:szCs w:val="22"/>
        </w:rPr>
      </w:pPr>
      <w:r w:rsidRPr="0038649C">
        <w:rPr>
          <w:rFonts w:ascii="Arial" w:eastAsia="Arial" w:hAnsi="Arial" w:cs="Arial"/>
          <w:noProof/>
          <w:sz w:val="22"/>
          <w:szCs w:val="22"/>
        </w:rPr>
        <w:drawing>
          <wp:inline distT="0" distB="0" distL="0" distR="0" wp14:anchorId="36A0FE63" wp14:editId="3BB236A0">
            <wp:extent cx="5943600" cy="7924800"/>
            <wp:effectExtent l="0" t="0" r="0" b="0"/>
            <wp:docPr id="147746468" name="Picture 1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46468" name="Picture 1" descr="A screenshot of a graph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25A7A" w14:textId="77777777" w:rsidR="005262B1" w:rsidRPr="0038649C" w:rsidRDefault="005262B1" w:rsidP="24745044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6EB065DA" w14:textId="77777777" w:rsidR="005262B1" w:rsidRPr="0038649C" w:rsidRDefault="005262B1" w:rsidP="24745044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4282BC64" w14:textId="1FCCE402" w:rsidR="42545226" w:rsidRPr="0038649C" w:rsidRDefault="42545226" w:rsidP="24745044">
      <w:pPr>
        <w:spacing w:line="276" w:lineRule="auto"/>
        <w:rPr>
          <w:rFonts w:ascii="Arial" w:eastAsia="Arial" w:hAnsi="Arial" w:cs="Arial"/>
          <w:sz w:val="22"/>
          <w:szCs w:val="22"/>
        </w:rPr>
      </w:pPr>
      <w:r w:rsidRPr="0038649C">
        <w:rPr>
          <w:rFonts w:ascii="Arial" w:eastAsia="Arial" w:hAnsi="Arial" w:cs="Arial"/>
          <w:b/>
          <w:bCs/>
          <w:sz w:val="22"/>
          <w:szCs w:val="22"/>
        </w:rPr>
        <w:t xml:space="preserve">(A) </w:t>
      </w:r>
      <w:r w:rsidRPr="0038649C">
        <w:rPr>
          <w:rFonts w:ascii="Arial" w:eastAsia="Arial" w:hAnsi="Arial" w:cs="Arial"/>
          <w:sz w:val="22"/>
          <w:szCs w:val="22"/>
        </w:rPr>
        <w:t>Viability of CD4</w:t>
      </w:r>
      <w:r w:rsidRPr="0038649C">
        <w:rPr>
          <w:rFonts w:ascii="Cambria Math" w:eastAsia="Arial" w:hAnsi="Cambria Math" w:cs="Cambria Math"/>
          <w:sz w:val="22"/>
          <w:szCs w:val="22"/>
        </w:rPr>
        <w:t>⁺</w:t>
      </w:r>
      <w:r w:rsidRPr="0038649C">
        <w:rPr>
          <w:rFonts w:ascii="Arial" w:eastAsia="Arial" w:hAnsi="Arial" w:cs="Arial"/>
          <w:sz w:val="22"/>
          <w:szCs w:val="22"/>
        </w:rPr>
        <w:t xml:space="preserve"> T cells following 3 weeks of stimulation under each perturbation (N=3-4). Mean values and SD are presented. Red line indicates 70% viability.</w:t>
      </w:r>
    </w:p>
    <w:p w14:paraId="5A0A0F15" w14:textId="77777777" w:rsidR="42545226" w:rsidRPr="0038649C" w:rsidRDefault="42545226" w:rsidP="24745044">
      <w:pPr>
        <w:spacing w:line="276" w:lineRule="auto"/>
        <w:rPr>
          <w:rFonts w:ascii="Arial" w:eastAsia="Arial" w:hAnsi="Arial" w:cs="Arial"/>
          <w:sz w:val="22"/>
          <w:szCs w:val="22"/>
        </w:rPr>
      </w:pPr>
      <w:r w:rsidRPr="0038649C">
        <w:rPr>
          <w:rFonts w:ascii="Arial" w:eastAsia="Arial" w:hAnsi="Arial" w:cs="Arial"/>
          <w:b/>
          <w:bCs/>
          <w:sz w:val="22"/>
          <w:szCs w:val="22"/>
        </w:rPr>
        <w:t>(B)</w:t>
      </w:r>
      <w:r w:rsidRPr="0038649C">
        <w:rPr>
          <w:rFonts w:ascii="Arial" w:eastAsia="Arial" w:hAnsi="Arial" w:cs="Arial"/>
          <w:sz w:val="22"/>
          <w:szCs w:val="22"/>
        </w:rPr>
        <w:t xml:space="preserve"> Average percentage of CD4</w:t>
      </w:r>
      <w:r w:rsidRPr="0038649C">
        <w:rPr>
          <w:rFonts w:ascii="Cambria Math" w:eastAsia="Arial" w:hAnsi="Cambria Math" w:cs="Cambria Math"/>
          <w:sz w:val="22"/>
          <w:szCs w:val="22"/>
        </w:rPr>
        <w:t>⁺</w:t>
      </w:r>
      <w:r w:rsidRPr="0038649C">
        <w:rPr>
          <w:rFonts w:ascii="Arial" w:eastAsia="Arial" w:hAnsi="Arial" w:cs="Arial"/>
          <w:sz w:val="22"/>
          <w:szCs w:val="22"/>
        </w:rPr>
        <w:t xml:space="preserve"> cells per condition (N=3-4). Mean values and SD are presented. Red line indicates 90% CD4+ T cells. </w:t>
      </w:r>
    </w:p>
    <w:p w14:paraId="15671CE9" w14:textId="5A59D14E" w:rsidR="42545226" w:rsidRDefault="42545226" w:rsidP="24745044">
      <w:pPr>
        <w:spacing w:line="276" w:lineRule="auto"/>
        <w:rPr>
          <w:rFonts w:ascii="Arial" w:eastAsia="Arial" w:hAnsi="Arial" w:cs="Arial"/>
          <w:sz w:val="22"/>
          <w:szCs w:val="22"/>
        </w:rPr>
      </w:pPr>
      <w:r w:rsidRPr="0038649C">
        <w:rPr>
          <w:rFonts w:ascii="Arial" w:eastAsia="Arial" w:hAnsi="Arial" w:cs="Arial"/>
          <w:b/>
          <w:bCs/>
          <w:sz w:val="22"/>
          <w:szCs w:val="22"/>
        </w:rPr>
        <w:t>(C)</w:t>
      </w:r>
      <w:r w:rsidRPr="0038649C">
        <w:rPr>
          <w:rFonts w:ascii="Arial" w:eastAsia="Arial" w:hAnsi="Arial" w:cs="Arial"/>
          <w:sz w:val="22"/>
          <w:szCs w:val="22"/>
        </w:rPr>
        <w:t xml:space="preserve"> Composite escape score reveals KO targets that resist T cell exhaustion. Bar plot showing the composite escape score for each gene knockout (KO) target, calculated by summing z-score normalized values for IFNγ and TNFα secretion (ELISA) and % LAG3-CD4+T cells (flow cytometry). These metrics collectively represent functional, non-exhausted T cell states. CRISPR KO targets with average viability &lt; 70% and CD4+ &lt;90% were excluded. Higher scores indicate stronger escape from T cell exhaustion.</w:t>
      </w:r>
    </w:p>
    <w:p w14:paraId="150613C9" w14:textId="0BB2B593" w:rsidR="24745044" w:rsidRDefault="24745044" w:rsidP="24745044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sectPr w:rsidR="247450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A3BFDB"/>
    <w:multiLevelType w:val="hybridMultilevel"/>
    <w:tmpl w:val="9E828DC8"/>
    <w:lvl w:ilvl="0" w:tplc="DE980E9C">
      <w:start w:val="1"/>
      <w:numFmt w:val="upperLetter"/>
      <w:lvlText w:val="(%1)"/>
      <w:lvlJc w:val="left"/>
      <w:pPr>
        <w:ind w:left="720" w:hanging="360"/>
      </w:pPr>
    </w:lvl>
    <w:lvl w:ilvl="1" w:tplc="E334C828">
      <w:start w:val="1"/>
      <w:numFmt w:val="lowerLetter"/>
      <w:lvlText w:val="%2."/>
      <w:lvlJc w:val="left"/>
      <w:pPr>
        <w:ind w:left="1440" w:hanging="360"/>
      </w:pPr>
    </w:lvl>
    <w:lvl w:ilvl="2" w:tplc="2D321F7E">
      <w:start w:val="1"/>
      <w:numFmt w:val="lowerRoman"/>
      <w:lvlText w:val="%3."/>
      <w:lvlJc w:val="right"/>
      <w:pPr>
        <w:ind w:left="2160" w:hanging="180"/>
      </w:pPr>
    </w:lvl>
    <w:lvl w:ilvl="3" w:tplc="9392DB5E">
      <w:start w:val="1"/>
      <w:numFmt w:val="decimal"/>
      <w:lvlText w:val="%4."/>
      <w:lvlJc w:val="left"/>
      <w:pPr>
        <w:ind w:left="2880" w:hanging="360"/>
      </w:pPr>
    </w:lvl>
    <w:lvl w:ilvl="4" w:tplc="5F0489E8">
      <w:start w:val="1"/>
      <w:numFmt w:val="lowerLetter"/>
      <w:lvlText w:val="%5."/>
      <w:lvlJc w:val="left"/>
      <w:pPr>
        <w:ind w:left="3600" w:hanging="360"/>
      </w:pPr>
    </w:lvl>
    <w:lvl w:ilvl="5" w:tplc="1DD028F0">
      <w:start w:val="1"/>
      <w:numFmt w:val="lowerRoman"/>
      <w:lvlText w:val="%6."/>
      <w:lvlJc w:val="right"/>
      <w:pPr>
        <w:ind w:left="4320" w:hanging="180"/>
      </w:pPr>
    </w:lvl>
    <w:lvl w:ilvl="6" w:tplc="ED68404E">
      <w:start w:val="1"/>
      <w:numFmt w:val="decimal"/>
      <w:lvlText w:val="%7."/>
      <w:lvlJc w:val="left"/>
      <w:pPr>
        <w:ind w:left="5040" w:hanging="360"/>
      </w:pPr>
    </w:lvl>
    <w:lvl w:ilvl="7" w:tplc="7B5A9044">
      <w:start w:val="1"/>
      <w:numFmt w:val="lowerLetter"/>
      <w:lvlText w:val="%8."/>
      <w:lvlJc w:val="left"/>
      <w:pPr>
        <w:ind w:left="5760" w:hanging="360"/>
      </w:pPr>
    </w:lvl>
    <w:lvl w:ilvl="8" w:tplc="EE5E49DC">
      <w:start w:val="1"/>
      <w:numFmt w:val="lowerRoman"/>
      <w:lvlText w:val="%9."/>
      <w:lvlJc w:val="right"/>
      <w:pPr>
        <w:ind w:left="6480" w:hanging="180"/>
      </w:pPr>
    </w:lvl>
  </w:abstractNum>
  <w:num w:numId="1" w16cid:durableId="1588921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B81"/>
    <w:rsid w:val="00027DF8"/>
    <w:rsid w:val="000A14E3"/>
    <w:rsid w:val="000A7053"/>
    <w:rsid w:val="000B7F1C"/>
    <w:rsid w:val="000B7F74"/>
    <w:rsid w:val="000D730F"/>
    <w:rsid w:val="001020C8"/>
    <w:rsid w:val="00167784"/>
    <w:rsid w:val="001A075C"/>
    <w:rsid w:val="001A1548"/>
    <w:rsid w:val="001A1BBA"/>
    <w:rsid w:val="001B3E8C"/>
    <w:rsid w:val="001C3C6F"/>
    <w:rsid w:val="001C57F5"/>
    <w:rsid w:val="001E383D"/>
    <w:rsid w:val="001E507B"/>
    <w:rsid w:val="001F500B"/>
    <w:rsid w:val="00204ABA"/>
    <w:rsid w:val="00225946"/>
    <w:rsid w:val="002315E6"/>
    <w:rsid w:val="00233F72"/>
    <w:rsid w:val="00252263"/>
    <w:rsid w:val="002602C4"/>
    <w:rsid w:val="00276890"/>
    <w:rsid w:val="00291C13"/>
    <w:rsid w:val="002B30E5"/>
    <w:rsid w:val="002D2E3B"/>
    <w:rsid w:val="002D3EAE"/>
    <w:rsid w:val="003004FD"/>
    <w:rsid w:val="0033158A"/>
    <w:rsid w:val="00335B92"/>
    <w:rsid w:val="003660A6"/>
    <w:rsid w:val="0037147B"/>
    <w:rsid w:val="00385C82"/>
    <w:rsid w:val="0038649C"/>
    <w:rsid w:val="003933B9"/>
    <w:rsid w:val="003B3A18"/>
    <w:rsid w:val="003F7BD5"/>
    <w:rsid w:val="00404A77"/>
    <w:rsid w:val="00442073"/>
    <w:rsid w:val="0045265D"/>
    <w:rsid w:val="00463583"/>
    <w:rsid w:val="005006A2"/>
    <w:rsid w:val="005262B1"/>
    <w:rsid w:val="005519B1"/>
    <w:rsid w:val="00572CB0"/>
    <w:rsid w:val="0058772B"/>
    <w:rsid w:val="00587D3A"/>
    <w:rsid w:val="005D0521"/>
    <w:rsid w:val="005D5C7D"/>
    <w:rsid w:val="005E0488"/>
    <w:rsid w:val="005E4669"/>
    <w:rsid w:val="005F214C"/>
    <w:rsid w:val="00697EFA"/>
    <w:rsid w:val="006B46B7"/>
    <w:rsid w:val="006C69D0"/>
    <w:rsid w:val="006F5C37"/>
    <w:rsid w:val="006F6AA6"/>
    <w:rsid w:val="00700417"/>
    <w:rsid w:val="00723995"/>
    <w:rsid w:val="00723B18"/>
    <w:rsid w:val="007641CA"/>
    <w:rsid w:val="007733E0"/>
    <w:rsid w:val="007804DE"/>
    <w:rsid w:val="007B357D"/>
    <w:rsid w:val="007B784A"/>
    <w:rsid w:val="007C5578"/>
    <w:rsid w:val="007C60AF"/>
    <w:rsid w:val="0082389E"/>
    <w:rsid w:val="0087272D"/>
    <w:rsid w:val="008760D4"/>
    <w:rsid w:val="00882415"/>
    <w:rsid w:val="00890640"/>
    <w:rsid w:val="008933F3"/>
    <w:rsid w:val="008A02BF"/>
    <w:rsid w:val="008A4603"/>
    <w:rsid w:val="008B120E"/>
    <w:rsid w:val="008D6841"/>
    <w:rsid w:val="008F536C"/>
    <w:rsid w:val="00904056"/>
    <w:rsid w:val="00907FE6"/>
    <w:rsid w:val="00924950"/>
    <w:rsid w:val="00953757"/>
    <w:rsid w:val="00964263"/>
    <w:rsid w:val="00992546"/>
    <w:rsid w:val="009966A3"/>
    <w:rsid w:val="009C2F09"/>
    <w:rsid w:val="00A32015"/>
    <w:rsid w:val="00A37557"/>
    <w:rsid w:val="00A37E80"/>
    <w:rsid w:val="00A67A98"/>
    <w:rsid w:val="00A810AC"/>
    <w:rsid w:val="00AA34B4"/>
    <w:rsid w:val="00AF486A"/>
    <w:rsid w:val="00AF577A"/>
    <w:rsid w:val="00AF6BF4"/>
    <w:rsid w:val="00B10CC5"/>
    <w:rsid w:val="00B12D5D"/>
    <w:rsid w:val="00B142C3"/>
    <w:rsid w:val="00B241DB"/>
    <w:rsid w:val="00B47435"/>
    <w:rsid w:val="00B81992"/>
    <w:rsid w:val="00B95B81"/>
    <w:rsid w:val="00BA22AD"/>
    <w:rsid w:val="00BA5EDA"/>
    <w:rsid w:val="00BF2268"/>
    <w:rsid w:val="00C17D72"/>
    <w:rsid w:val="00C41B7D"/>
    <w:rsid w:val="00C45DDA"/>
    <w:rsid w:val="00C536BD"/>
    <w:rsid w:val="00C81654"/>
    <w:rsid w:val="00C93A61"/>
    <w:rsid w:val="00CA7995"/>
    <w:rsid w:val="00CF2377"/>
    <w:rsid w:val="00D01B49"/>
    <w:rsid w:val="00D1493F"/>
    <w:rsid w:val="00D34E46"/>
    <w:rsid w:val="00D56E88"/>
    <w:rsid w:val="00DB7D11"/>
    <w:rsid w:val="00DF22E9"/>
    <w:rsid w:val="00DF6F68"/>
    <w:rsid w:val="00E271E5"/>
    <w:rsid w:val="00E61E9F"/>
    <w:rsid w:val="00E76C31"/>
    <w:rsid w:val="00E77125"/>
    <w:rsid w:val="00E93F4A"/>
    <w:rsid w:val="00EC3B47"/>
    <w:rsid w:val="00EF667F"/>
    <w:rsid w:val="00F26144"/>
    <w:rsid w:val="00F3680C"/>
    <w:rsid w:val="00F67A78"/>
    <w:rsid w:val="00FB5B70"/>
    <w:rsid w:val="00FD0826"/>
    <w:rsid w:val="00FD15E9"/>
    <w:rsid w:val="057829D9"/>
    <w:rsid w:val="0619982D"/>
    <w:rsid w:val="0625EE11"/>
    <w:rsid w:val="07D081D5"/>
    <w:rsid w:val="0A2C1CF4"/>
    <w:rsid w:val="0DC50CC0"/>
    <w:rsid w:val="0E848114"/>
    <w:rsid w:val="0E868E70"/>
    <w:rsid w:val="0F3B48E6"/>
    <w:rsid w:val="11E46A83"/>
    <w:rsid w:val="11F9E011"/>
    <w:rsid w:val="1449EBD4"/>
    <w:rsid w:val="14674BCA"/>
    <w:rsid w:val="1471C4BB"/>
    <w:rsid w:val="16260B3A"/>
    <w:rsid w:val="19502B84"/>
    <w:rsid w:val="1C0EDB70"/>
    <w:rsid w:val="1CF5C60C"/>
    <w:rsid w:val="21406AC8"/>
    <w:rsid w:val="21792744"/>
    <w:rsid w:val="225AC153"/>
    <w:rsid w:val="230AA44C"/>
    <w:rsid w:val="24745044"/>
    <w:rsid w:val="25460265"/>
    <w:rsid w:val="2945F205"/>
    <w:rsid w:val="2A5B2761"/>
    <w:rsid w:val="2ABB55FF"/>
    <w:rsid w:val="2AC93049"/>
    <w:rsid w:val="2B30CE02"/>
    <w:rsid w:val="2D72392A"/>
    <w:rsid w:val="2D86BED9"/>
    <w:rsid w:val="2E8E4060"/>
    <w:rsid w:val="2EA91237"/>
    <w:rsid w:val="300DE3A4"/>
    <w:rsid w:val="30282FE5"/>
    <w:rsid w:val="306CA016"/>
    <w:rsid w:val="30BA4E75"/>
    <w:rsid w:val="31C195EB"/>
    <w:rsid w:val="32775EDD"/>
    <w:rsid w:val="348D08FC"/>
    <w:rsid w:val="384978EC"/>
    <w:rsid w:val="38D8526D"/>
    <w:rsid w:val="38F89E5B"/>
    <w:rsid w:val="3958D488"/>
    <w:rsid w:val="39A5FF88"/>
    <w:rsid w:val="3D8D265E"/>
    <w:rsid w:val="3E6A42D4"/>
    <w:rsid w:val="3EC318B7"/>
    <w:rsid w:val="42545226"/>
    <w:rsid w:val="4287DD27"/>
    <w:rsid w:val="4443DCB9"/>
    <w:rsid w:val="46556A84"/>
    <w:rsid w:val="486AC7CA"/>
    <w:rsid w:val="4D96A77F"/>
    <w:rsid w:val="4EACB0A4"/>
    <w:rsid w:val="50920E96"/>
    <w:rsid w:val="50D73D51"/>
    <w:rsid w:val="52DA38EE"/>
    <w:rsid w:val="538C66AB"/>
    <w:rsid w:val="5A8DF5DA"/>
    <w:rsid w:val="5F9C0B67"/>
    <w:rsid w:val="608F07C4"/>
    <w:rsid w:val="6166558E"/>
    <w:rsid w:val="64C3CCEA"/>
    <w:rsid w:val="699F3164"/>
    <w:rsid w:val="6D6FE445"/>
    <w:rsid w:val="6FDD1449"/>
    <w:rsid w:val="6FE10B9B"/>
    <w:rsid w:val="769A710B"/>
    <w:rsid w:val="77F8774D"/>
    <w:rsid w:val="79AD92DE"/>
    <w:rsid w:val="7DF77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03168"/>
  <w15:chartTrackingRefBased/>
  <w15:docId w15:val="{30ECAD6B-9530-4E49-90C2-88577F5ED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81"/>
  </w:style>
  <w:style w:type="paragraph" w:styleId="Heading1">
    <w:name w:val="heading 1"/>
    <w:basedOn w:val="Normal"/>
    <w:next w:val="Normal"/>
    <w:link w:val="Heading1Char"/>
    <w:uiPriority w:val="9"/>
    <w:qFormat/>
    <w:rsid w:val="00B95B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5B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5B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5B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5B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5B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5B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5B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5B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5B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5B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5B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5B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5B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5B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5B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5B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5B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5B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5B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5B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5B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5B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5B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5B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5B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B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B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5B81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A34B4"/>
  </w:style>
  <w:style w:type="character" w:styleId="CommentReference">
    <w:name w:val="annotation reference"/>
    <w:basedOn w:val="DefaultParagraphFont"/>
    <w:uiPriority w:val="99"/>
    <w:semiHidden/>
    <w:unhideWhenUsed/>
    <w:rsid w:val="00C536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536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536BD"/>
    <w:rPr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C536BD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9090be-c28a-4293-80c6-87e61c4f0467" xsi:nil="true"/>
    <lcf76f155ced4ddcb4097134ff3c332f xmlns="eb3eade8-f8bc-41db-ab84-ae363b1d056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1A2A84E49EEF4A998A33DD2BCBCDB0" ma:contentTypeVersion="13" ma:contentTypeDescription="Create a new document." ma:contentTypeScope="" ma:versionID="213ea8a92b4f1c02d734220c9a9160ba">
  <xsd:schema xmlns:xsd="http://www.w3.org/2001/XMLSchema" xmlns:xs="http://www.w3.org/2001/XMLSchema" xmlns:p="http://schemas.microsoft.com/office/2006/metadata/properties" xmlns:ns2="eb3eade8-f8bc-41db-ab84-ae363b1d0565" xmlns:ns3="639090be-c28a-4293-80c6-87e61c4f0467" targetNamespace="http://schemas.microsoft.com/office/2006/metadata/properties" ma:root="true" ma:fieldsID="ed6ff20e8b23287b15176f7df4a1e246" ns2:_="" ns3:_="">
    <xsd:import namespace="eb3eade8-f8bc-41db-ab84-ae363b1d0565"/>
    <xsd:import namespace="639090be-c28a-4293-80c6-87e61c4f04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3eade8-f8bc-41db-ab84-ae363b1d05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48db460-92de-4e02-8192-d26c8d47a5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9090be-c28a-4293-80c6-87e61c4f04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9ea1fffb-a527-4be7-af52-6024af8b85fe}" ma:internalName="TaxCatchAll" ma:showField="CatchAllData" ma:web="639090be-c28a-4293-80c6-87e61c4f04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F52025-A963-489E-9E45-882A4602F75A}">
  <ds:schemaRefs>
    <ds:schemaRef ds:uri="http://schemas.microsoft.com/office/2006/metadata/properties"/>
    <ds:schemaRef ds:uri="http://schemas.microsoft.com/office/infopath/2007/PartnerControls"/>
    <ds:schemaRef ds:uri="639090be-c28a-4293-80c6-87e61c4f0467"/>
    <ds:schemaRef ds:uri="eb3eade8-f8bc-41db-ab84-ae363b1d0565"/>
  </ds:schemaRefs>
</ds:datastoreItem>
</file>

<file path=customXml/itemProps2.xml><?xml version="1.0" encoding="utf-8"?>
<ds:datastoreItem xmlns:ds="http://schemas.openxmlformats.org/officeDocument/2006/customXml" ds:itemID="{D1F00A8E-BCB3-40B3-87F2-79DBE70562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FA497C-A8C9-4289-BCDA-53677C271E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3eade8-f8bc-41db-ab84-ae363b1d0565"/>
    <ds:schemaRef ds:uri="639090be-c28a-4293-80c6-87e61c4f04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1101</Words>
  <Characters>6281</Characters>
  <Application>Microsoft Office Word</Application>
  <DocSecurity>0</DocSecurity>
  <Lines>52</Lines>
  <Paragraphs>14</Paragraphs>
  <ScaleCrop>false</ScaleCrop>
  <Company/>
  <LinksUpToDate>false</LinksUpToDate>
  <CharactersWithSpaces>7368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Hirukawa</dc:creator>
  <cp:keywords/>
  <dc:description/>
  <cp:lastModifiedBy>Martina Cerjak</cp:lastModifiedBy>
  <cp:revision>3</cp:revision>
  <dcterms:created xsi:type="dcterms:W3CDTF">2025-09-19T15:20:00Z</dcterms:created>
  <dcterms:modified xsi:type="dcterms:W3CDTF">2025-09-19T15:21:00Z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0x010100BE1A2A84E49EEF4A998A33DD2BCBCDB0</vt:lpwstr>
  </property>
  <property fmtid="{D5CDD505-2E9C-101B-9397-08002B2CF9AE}" pid="3" name="MediaServiceImageTags">
    <vt:lpwstr/>
  </property>
</Properties>
</file>