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327CC" w14:textId="51CA25A9" w:rsidR="007C4015" w:rsidRPr="00D6077B" w:rsidRDefault="00000000" w:rsidP="00D6077B">
      <w:pPr>
        <w:spacing w:afterLines="50" w:after="156"/>
        <w:rPr>
          <w:rFonts w:ascii="Times New Roman" w:hAnsi="Times New Roman" w:cs="Times New Roman"/>
          <w:sz w:val="28"/>
          <w:szCs w:val="36"/>
        </w:rPr>
      </w:pPr>
      <w:bookmarkStart w:id="0" w:name="_Hlk190535041"/>
      <w:r w:rsidRPr="00D6077B">
        <w:rPr>
          <w:rFonts w:ascii="Times New Roman" w:hAnsi="Times New Roman" w:cs="Times New Roman"/>
          <w:b/>
          <w:bCs/>
          <w:sz w:val="28"/>
          <w:szCs w:val="36"/>
        </w:rPr>
        <w:t xml:space="preserve">Supplement table </w:t>
      </w:r>
      <w:r w:rsidR="00852304">
        <w:rPr>
          <w:rFonts w:ascii="Times New Roman" w:hAnsi="Times New Roman" w:cs="Times New Roman" w:hint="eastAsia"/>
          <w:b/>
          <w:bCs/>
          <w:sz w:val="28"/>
          <w:szCs w:val="36"/>
        </w:rPr>
        <w:t>S</w:t>
      </w:r>
      <w:r w:rsidRPr="00D6077B">
        <w:rPr>
          <w:rFonts w:ascii="Times New Roman" w:hAnsi="Times New Roman" w:cs="Times New Roman"/>
          <w:b/>
          <w:bCs/>
          <w:sz w:val="28"/>
          <w:szCs w:val="36"/>
        </w:rPr>
        <w:t>1</w:t>
      </w:r>
      <w:bookmarkEnd w:id="0"/>
      <w:r w:rsidRPr="00D6077B">
        <w:rPr>
          <w:rFonts w:ascii="Times New Roman" w:hAnsi="Times New Roman" w:cs="Times New Roman"/>
          <w:b/>
          <w:bCs/>
          <w:sz w:val="28"/>
          <w:szCs w:val="36"/>
        </w:rPr>
        <w:t xml:space="preserve">: </w:t>
      </w:r>
      <w:r w:rsidR="00DD5BAA" w:rsidRPr="00D6077B">
        <w:rPr>
          <w:rFonts w:ascii="Times New Roman" w:hAnsi="Times New Roman" w:cs="Times New Roman"/>
          <w:b/>
          <w:bCs/>
          <w:sz w:val="28"/>
          <w:szCs w:val="36"/>
        </w:rPr>
        <w:t>The Product Information or Summary of Product Characteristics (SmPCs) of HER2-targeted therapies in this study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
        <w:gridCol w:w="1661"/>
        <w:gridCol w:w="1026"/>
        <w:gridCol w:w="1045"/>
        <w:gridCol w:w="1550"/>
        <w:gridCol w:w="3857"/>
        <w:gridCol w:w="3944"/>
      </w:tblGrid>
      <w:tr w:rsidR="007E107A" w:rsidRPr="007E107A" w14:paraId="14958977" w14:textId="77777777" w:rsidTr="00D6077B">
        <w:trPr>
          <w:trHeight w:val="500"/>
          <w:jc w:val="center"/>
        </w:trPr>
        <w:tc>
          <w:tcPr>
            <w:tcW w:w="0" w:type="auto"/>
            <w:shd w:val="clear" w:color="auto" w:fill="auto"/>
            <w:vAlign w:val="center"/>
            <w:hideMark/>
          </w:tcPr>
          <w:p w14:paraId="5D38DB43" w14:textId="77777777" w:rsidR="007E107A" w:rsidRPr="007E107A" w:rsidRDefault="007E107A" w:rsidP="007E107A">
            <w:pPr>
              <w:widowControl/>
              <w:jc w:val="center"/>
              <w:rPr>
                <w:rFonts w:ascii="Times New Roman" w:eastAsia="宋体" w:hAnsi="Times New Roman" w:cs="Times New Roman"/>
                <w:b/>
                <w:bCs/>
                <w:color w:val="000000"/>
                <w:kern w:val="0"/>
                <w:szCs w:val="21"/>
              </w:rPr>
            </w:pPr>
            <w:r w:rsidRPr="007E107A">
              <w:rPr>
                <w:rFonts w:ascii="Times New Roman" w:eastAsia="宋体" w:hAnsi="Times New Roman" w:cs="Times New Roman"/>
                <w:b/>
                <w:bCs/>
                <w:color w:val="000000"/>
                <w:kern w:val="0"/>
                <w:szCs w:val="21"/>
              </w:rPr>
              <w:t>Category of drug</w:t>
            </w:r>
          </w:p>
        </w:tc>
        <w:tc>
          <w:tcPr>
            <w:tcW w:w="0" w:type="auto"/>
            <w:shd w:val="clear" w:color="auto" w:fill="auto"/>
            <w:vAlign w:val="center"/>
            <w:hideMark/>
          </w:tcPr>
          <w:p w14:paraId="69407413" w14:textId="77777777" w:rsidR="007E107A" w:rsidRPr="007E107A" w:rsidRDefault="007E107A" w:rsidP="007E107A">
            <w:pPr>
              <w:widowControl/>
              <w:jc w:val="center"/>
              <w:rPr>
                <w:rFonts w:ascii="Times New Roman" w:eastAsia="宋体" w:hAnsi="Times New Roman" w:cs="Times New Roman"/>
                <w:b/>
                <w:bCs/>
                <w:color w:val="000000"/>
                <w:kern w:val="0"/>
                <w:szCs w:val="21"/>
              </w:rPr>
            </w:pPr>
            <w:r w:rsidRPr="007E107A">
              <w:rPr>
                <w:rFonts w:ascii="Times New Roman" w:eastAsia="宋体" w:hAnsi="Times New Roman" w:cs="Times New Roman"/>
                <w:b/>
                <w:bCs/>
                <w:color w:val="000000"/>
                <w:kern w:val="0"/>
                <w:szCs w:val="21"/>
              </w:rPr>
              <w:t>Generic name</w:t>
            </w:r>
          </w:p>
        </w:tc>
        <w:tc>
          <w:tcPr>
            <w:tcW w:w="0" w:type="auto"/>
            <w:shd w:val="clear" w:color="auto" w:fill="auto"/>
            <w:vAlign w:val="center"/>
            <w:hideMark/>
          </w:tcPr>
          <w:p w14:paraId="68B1FBD4" w14:textId="77777777" w:rsidR="007E107A" w:rsidRPr="007E107A" w:rsidRDefault="007E107A" w:rsidP="007E107A">
            <w:pPr>
              <w:widowControl/>
              <w:jc w:val="center"/>
              <w:rPr>
                <w:rFonts w:ascii="Times New Roman" w:eastAsia="宋体" w:hAnsi="Times New Roman" w:cs="Times New Roman"/>
                <w:b/>
                <w:bCs/>
                <w:color w:val="000000"/>
                <w:kern w:val="0"/>
                <w:szCs w:val="21"/>
              </w:rPr>
            </w:pPr>
            <w:r w:rsidRPr="007E107A">
              <w:rPr>
                <w:rFonts w:ascii="Times New Roman" w:eastAsia="宋体" w:hAnsi="Times New Roman" w:cs="Times New Roman"/>
                <w:b/>
                <w:bCs/>
                <w:color w:val="000000"/>
                <w:kern w:val="0"/>
                <w:szCs w:val="21"/>
              </w:rPr>
              <w:t>Brand name</w:t>
            </w:r>
          </w:p>
        </w:tc>
        <w:tc>
          <w:tcPr>
            <w:tcW w:w="0" w:type="auto"/>
            <w:shd w:val="clear" w:color="auto" w:fill="auto"/>
            <w:vAlign w:val="center"/>
            <w:hideMark/>
          </w:tcPr>
          <w:p w14:paraId="0F16E8AF" w14:textId="77777777" w:rsidR="007E107A" w:rsidRPr="007E107A" w:rsidRDefault="007E107A" w:rsidP="007E107A">
            <w:pPr>
              <w:widowControl/>
              <w:jc w:val="center"/>
              <w:rPr>
                <w:rFonts w:ascii="Times New Roman" w:eastAsia="宋体" w:hAnsi="Times New Roman" w:cs="Times New Roman"/>
                <w:b/>
                <w:bCs/>
                <w:color w:val="000000"/>
                <w:kern w:val="0"/>
                <w:szCs w:val="21"/>
              </w:rPr>
            </w:pPr>
            <w:r w:rsidRPr="007E107A">
              <w:rPr>
                <w:rFonts w:ascii="Times New Roman" w:eastAsia="宋体" w:hAnsi="Times New Roman" w:cs="Times New Roman"/>
                <w:b/>
                <w:bCs/>
                <w:color w:val="000000"/>
                <w:kern w:val="0"/>
                <w:szCs w:val="21"/>
              </w:rPr>
              <w:t>Earliest time to market (year)</w:t>
            </w:r>
          </w:p>
        </w:tc>
        <w:tc>
          <w:tcPr>
            <w:tcW w:w="0" w:type="auto"/>
            <w:shd w:val="clear" w:color="auto" w:fill="auto"/>
            <w:vAlign w:val="center"/>
            <w:hideMark/>
          </w:tcPr>
          <w:p w14:paraId="7CE92DEE" w14:textId="77777777" w:rsidR="007E107A" w:rsidRPr="007E107A" w:rsidRDefault="007E107A" w:rsidP="007E107A">
            <w:pPr>
              <w:widowControl/>
              <w:jc w:val="center"/>
              <w:rPr>
                <w:rFonts w:ascii="Times New Roman" w:eastAsia="宋体" w:hAnsi="Times New Roman" w:cs="Times New Roman"/>
                <w:b/>
                <w:bCs/>
                <w:color w:val="000000"/>
                <w:kern w:val="0"/>
                <w:szCs w:val="21"/>
              </w:rPr>
            </w:pPr>
            <w:r w:rsidRPr="007E107A">
              <w:rPr>
                <w:rFonts w:ascii="Times New Roman" w:eastAsia="宋体" w:hAnsi="Times New Roman" w:cs="Times New Roman"/>
                <w:b/>
                <w:bCs/>
                <w:color w:val="000000"/>
                <w:kern w:val="0"/>
                <w:szCs w:val="21"/>
              </w:rPr>
              <w:t>Company</w:t>
            </w:r>
          </w:p>
        </w:tc>
        <w:tc>
          <w:tcPr>
            <w:tcW w:w="0" w:type="auto"/>
            <w:shd w:val="clear" w:color="auto" w:fill="auto"/>
            <w:vAlign w:val="center"/>
            <w:hideMark/>
          </w:tcPr>
          <w:p w14:paraId="1893F1AF" w14:textId="77777777" w:rsidR="007E107A" w:rsidRPr="007E107A" w:rsidRDefault="007E107A" w:rsidP="007E107A">
            <w:pPr>
              <w:widowControl/>
              <w:jc w:val="left"/>
              <w:rPr>
                <w:rFonts w:ascii="Times New Roman" w:eastAsia="宋体" w:hAnsi="Times New Roman" w:cs="Times New Roman"/>
                <w:b/>
                <w:bCs/>
                <w:color w:val="000000"/>
                <w:kern w:val="0"/>
                <w:szCs w:val="21"/>
              </w:rPr>
            </w:pPr>
            <w:r w:rsidRPr="007E107A">
              <w:rPr>
                <w:rFonts w:ascii="Times New Roman" w:eastAsia="宋体" w:hAnsi="Times New Roman" w:cs="Times New Roman"/>
                <w:b/>
                <w:bCs/>
                <w:color w:val="000000"/>
                <w:kern w:val="0"/>
                <w:szCs w:val="21"/>
              </w:rPr>
              <w:t>Therapeutic indications</w:t>
            </w:r>
          </w:p>
        </w:tc>
        <w:tc>
          <w:tcPr>
            <w:tcW w:w="0" w:type="auto"/>
            <w:shd w:val="clear" w:color="auto" w:fill="auto"/>
            <w:vAlign w:val="center"/>
            <w:hideMark/>
          </w:tcPr>
          <w:p w14:paraId="7EAB818A" w14:textId="77777777" w:rsidR="007E107A" w:rsidRPr="007E107A" w:rsidRDefault="007E107A" w:rsidP="007E107A">
            <w:pPr>
              <w:widowControl/>
              <w:jc w:val="left"/>
              <w:rPr>
                <w:rFonts w:ascii="Times New Roman" w:eastAsia="宋体" w:hAnsi="Times New Roman" w:cs="Times New Roman"/>
                <w:b/>
                <w:bCs/>
                <w:color w:val="000000"/>
                <w:kern w:val="0"/>
                <w:szCs w:val="21"/>
              </w:rPr>
            </w:pPr>
            <w:r w:rsidRPr="007E107A">
              <w:rPr>
                <w:rFonts w:ascii="Times New Roman" w:eastAsia="宋体" w:hAnsi="Times New Roman" w:cs="Times New Roman"/>
                <w:b/>
                <w:bCs/>
                <w:color w:val="000000"/>
                <w:kern w:val="0"/>
                <w:szCs w:val="21"/>
              </w:rPr>
              <w:t>Summary of the safety profile</w:t>
            </w:r>
          </w:p>
        </w:tc>
      </w:tr>
      <w:tr w:rsidR="007E107A" w:rsidRPr="007E107A" w14:paraId="1D9ADE6A" w14:textId="77777777" w:rsidTr="00D6077B">
        <w:trPr>
          <w:trHeight w:val="1620"/>
          <w:jc w:val="center"/>
        </w:trPr>
        <w:tc>
          <w:tcPr>
            <w:tcW w:w="0" w:type="auto"/>
            <w:shd w:val="clear" w:color="auto" w:fill="auto"/>
            <w:vAlign w:val="center"/>
            <w:hideMark/>
          </w:tcPr>
          <w:p w14:paraId="47C7574C" w14:textId="761F26A9" w:rsidR="007E107A" w:rsidRPr="007E107A" w:rsidRDefault="007E107A" w:rsidP="007E107A">
            <w:pPr>
              <w:widowControl/>
              <w:jc w:val="center"/>
              <w:rPr>
                <w:rFonts w:ascii="宋体" w:eastAsia="宋体" w:hAnsi="宋体" w:cs="Arial" w:hint="eastAsia"/>
                <w:color w:val="000000"/>
                <w:kern w:val="0"/>
                <w:sz w:val="20"/>
                <w:szCs w:val="20"/>
              </w:rPr>
            </w:pPr>
            <w:r>
              <w:rPr>
                <w:rFonts w:ascii="Times New Roman" w:eastAsia="宋体" w:hAnsi="Times New Roman" w:cs="Times New Roman" w:hint="eastAsia"/>
              </w:rPr>
              <w:t>mAbs</w:t>
            </w:r>
          </w:p>
        </w:tc>
        <w:tc>
          <w:tcPr>
            <w:tcW w:w="0" w:type="auto"/>
            <w:shd w:val="clear" w:color="auto" w:fill="auto"/>
            <w:vAlign w:val="center"/>
            <w:hideMark/>
          </w:tcPr>
          <w:p w14:paraId="456CD9DF" w14:textId="77777777" w:rsidR="007E107A" w:rsidRPr="007E107A" w:rsidRDefault="007E107A" w:rsidP="007E107A">
            <w:pPr>
              <w:widowControl/>
              <w:jc w:val="center"/>
              <w:rPr>
                <w:rFonts w:ascii="Times New Roman" w:eastAsia="宋体" w:hAnsi="Times New Roman" w:cs="Times New Roman"/>
                <w:color w:val="000000"/>
                <w:kern w:val="0"/>
                <w:sz w:val="20"/>
                <w:szCs w:val="20"/>
              </w:rPr>
            </w:pPr>
            <w:r w:rsidRPr="007E107A">
              <w:rPr>
                <w:rFonts w:ascii="Times New Roman" w:eastAsia="宋体" w:hAnsi="Times New Roman" w:cs="Times New Roman"/>
                <w:color w:val="000000"/>
                <w:kern w:val="0"/>
                <w:sz w:val="20"/>
                <w:szCs w:val="20"/>
              </w:rPr>
              <w:t>Trastuzumab</w:t>
            </w:r>
          </w:p>
        </w:tc>
        <w:tc>
          <w:tcPr>
            <w:tcW w:w="0" w:type="auto"/>
            <w:shd w:val="clear" w:color="auto" w:fill="auto"/>
            <w:vAlign w:val="center"/>
            <w:hideMark/>
          </w:tcPr>
          <w:p w14:paraId="7BEF22FD" w14:textId="77777777" w:rsidR="007E107A" w:rsidRPr="007E107A" w:rsidRDefault="007E107A" w:rsidP="007E107A">
            <w:pPr>
              <w:widowControl/>
              <w:jc w:val="center"/>
              <w:rPr>
                <w:rFonts w:ascii="Times New Roman" w:eastAsia="宋体" w:hAnsi="Times New Roman" w:cs="Times New Roman"/>
                <w:color w:val="000000"/>
                <w:kern w:val="0"/>
                <w:sz w:val="20"/>
                <w:szCs w:val="20"/>
              </w:rPr>
            </w:pPr>
            <w:r w:rsidRPr="007E107A">
              <w:rPr>
                <w:rFonts w:ascii="Times New Roman" w:eastAsia="宋体" w:hAnsi="Times New Roman" w:cs="Times New Roman"/>
                <w:color w:val="000000"/>
                <w:kern w:val="0"/>
                <w:sz w:val="20"/>
                <w:szCs w:val="20"/>
              </w:rPr>
              <w:t>Herceptin</w:t>
            </w:r>
          </w:p>
        </w:tc>
        <w:tc>
          <w:tcPr>
            <w:tcW w:w="0" w:type="auto"/>
            <w:shd w:val="clear" w:color="auto" w:fill="auto"/>
            <w:vAlign w:val="center"/>
            <w:hideMark/>
          </w:tcPr>
          <w:p w14:paraId="201E4217" w14:textId="60653B30" w:rsidR="007E107A" w:rsidRPr="007E107A" w:rsidRDefault="007E107A" w:rsidP="007E107A">
            <w:pPr>
              <w:widowControl/>
              <w:jc w:val="center"/>
              <w:rPr>
                <w:rFonts w:ascii="Times New Roman" w:eastAsia="宋体" w:hAnsi="Times New Roman" w:cs="Times New Roman"/>
                <w:color w:val="000000"/>
                <w:kern w:val="0"/>
                <w:sz w:val="20"/>
                <w:szCs w:val="20"/>
              </w:rPr>
            </w:pPr>
            <w:r w:rsidRPr="007E107A">
              <w:rPr>
                <w:rFonts w:ascii="Times New Roman" w:eastAsia="宋体" w:hAnsi="Times New Roman" w:cs="Times New Roman"/>
                <w:color w:val="000000"/>
                <w:kern w:val="0"/>
                <w:sz w:val="20"/>
                <w:szCs w:val="20"/>
              </w:rPr>
              <w:t>1998</w:t>
            </w:r>
          </w:p>
        </w:tc>
        <w:tc>
          <w:tcPr>
            <w:tcW w:w="0" w:type="auto"/>
            <w:shd w:val="clear" w:color="auto" w:fill="auto"/>
            <w:vAlign w:val="center"/>
            <w:hideMark/>
          </w:tcPr>
          <w:p w14:paraId="43DA41B3" w14:textId="2577D0F2" w:rsidR="007E107A" w:rsidRPr="007E107A" w:rsidRDefault="007E107A" w:rsidP="007E107A">
            <w:pPr>
              <w:widowControl/>
              <w:jc w:val="center"/>
              <w:rPr>
                <w:rFonts w:ascii="Times New Roman" w:eastAsia="宋体" w:hAnsi="Times New Roman" w:cs="Times New Roman"/>
                <w:color w:val="000000"/>
                <w:kern w:val="0"/>
                <w:sz w:val="20"/>
                <w:szCs w:val="20"/>
              </w:rPr>
            </w:pPr>
            <w:r w:rsidRPr="007E107A">
              <w:rPr>
                <w:rFonts w:ascii="Times New Roman" w:eastAsia="宋体" w:hAnsi="Times New Roman" w:cs="Times New Roman"/>
                <w:color w:val="000000"/>
                <w:kern w:val="0"/>
                <w:sz w:val="20"/>
                <w:szCs w:val="20"/>
              </w:rPr>
              <w:t>Roche Products Limited</w:t>
            </w:r>
          </w:p>
        </w:tc>
        <w:tc>
          <w:tcPr>
            <w:tcW w:w="0" w:type="auto"/>
            <w:shd w:val="clear" w:color="auto" w:fill="auto"/>
            <w:vAlign w:val="center"/>
            <w:hideMark/>
          </w:tcPr>
          <w:p w14:paraId="27174599" w14:textId="5FB9E299" w:rsidR="007E107A" w:rsidRPr="007E107A" w:rsidRDefault="007E107A" w:rsidP="007E107A">
            <w:pPr>
              <w:widowControl/>
              <w:jc w:val="left"/>
              <w:rPr>
                <w:rFonts w:ascii="Times New Roman" w:eastAsia="宋体" w:hAnsi="Times New Roman" w:cs="Times New Roman"/>
                <w:color w:val="000000"/>
                <w:kern w:val="0"/>
                <w:sz w:val="20"/>
                <w:szCs w:val="20"/>
              </w:rPr>
            </w:pPr>
            <w:r w:rsidRPr="007E107A">
              <w:rPr>
                <w:rFonts w:ascii="Times New Roman" w:eastAsia="宋体" w:hAnsi="Times New Roman" w:cs="Times New Roman"/>
                <w:color w:val="000000"/>
                <w:kern w:val="0"/>
                <w:sz w:val="20"/>
                <w:szCs w:val="20"/>
              </w:rPr>
              <w:t xml:space="preserve">Metastatic breast cancer, </w:t>
            </w:r>
            <w:r>
              <w:rPr>
                <w:rFonts w:ascii="Times New Roman" w:eastAsia="宋体" w:hAnsi="Times New Roman" w:cs="Times New Roman" w:hint="eastAsia"/>
                <w:color w:val="000000"/>
                <w:kern w:val="0"/>
                <w:sz w:val="20"/>
                <w:szCs w:val="20"/>
              </w:rPr>
              <w:t>e</w:t>
            </w:r>
            <w:r w:rsidRPr="007E107A">
              <w:rPr>
                <w:rFonts w:ascii="Times New Roman" w:eastAsia="宋体" w:hAnsi="Times New Roman" w:cs="Times New Roman"/>
                <w:color w:val="000000"/>
                <w:kern w:val="0"/>
                <w:sz w:val="20"/>
                <w:szCs w:val="20"/>
              </w:rPr>
              <w:t xml:space="preserve">arly breast cancer, </w:t>
            </w:r>
            <w:r>
              <w:rPr>
                <w:rFonts w:ascii="Times New Roman" w:eastAsia="宋体" w:hAnsi="Times New Roman" w:cs="Times New Roman" w:hint="eastAsia"/>
                <w:color w:val="000000"/>
                <w:kern w:val="0"/>
                <w:sz w:val="20"/>
                <w:szCs w:val="20"/>
              </w:rPr>
              <w:t>m</w:t>
            </w:r>
            <w:r w:rsidRPr="007E107A">
              <w:rPr>
                <w:rFonts w:ascii="Times New Roman" w:eastAsia="宋体" w:hAnsi="Times New Roman" w:cs="Times New Roman"/>
                <w:color w:val="000000"/>
                <w:kern w:val="0"/>
                <w:sz w:val="20"/>
                <w:szCs w:val="20"/>
              </w:rPr>
              <w:t>etastatic gastric cancer</w:t>
            </w:r>
          </w:p>
        </w:tc>
        <w:tc>
          <w:tcPr>
            <w:tcW w:w="0" w:type="auto"/>
            <w:shd w:val="clear" w:color="auto" w:fill="auto"/>
            <w:vAlign w:val="center"/>
            <w:hideMark/>
          </w:tcPr>
          <w:p w14:paraId="42D5C2B1" w14:textId="77777777" w:rsidR="007E107A" w:rsidRPr="007E107A" w:rsidRDefault="007E107A" w:rsidP="007E107A">
            <w:pPr>
              <w:widowControl/>
              <w:jc w:val="left"/>
              <w:rPr>
                <w:rFonts w:ascii="Times New Roman" w:eastAsia="宋体" w:hAnsi="Times New Roman" w:cs="Times New Roman"/>
                <w:color w:val="000000"/>
                <w:kern w:val="0"/>
                <w:sz w:val="20"/>
                <w:szCs w:val="20"/>
              </w:rPr>
            </w:pPr>
            <w:r w:rsidRPr="007E107A">
              <w:rPr>
                <w:rFonts w:ascii="Times New Roman" w:eastAsia="宋体" w:hAnsi="Times New Roman" w:cs="Times New Roman"/>
                <w:color w:val="000000"/>
                <w:kern w:val="0"/>
                <w:sz w:val="20"/>
                <w:szCs w:val="20"/>
              </w:rPr>
              <w:t>Amongst the most serious and/or common adverse reactions reported in Herceptin usage (intravenous and subcutaneous formulations) to date are cardiac dysfunction, infusion-related reactions, haematotoxicity (in particular neutropenia), infections and pulmonary adverse reactions.</w:t>
            </w:r>
          </w:p>
        </w:tc>
      </w:tr>
      <w:tr w:rsidR="007E107A" w:rsidRPr="007E107A" w14:paraId="53AF7F8A" w14:textId="77777777" w:rsidTr="00D6077B">
        <w:trPr>
          <w:trHeight w:val="1680"/>
          <w:jc w:val="center"/>
        </w:trPr>
        <w:tc>
          <w:tcPr>
            <w:tcW w:w="0" w:type="auto"/>
            <w:shd w:val="clear" w:color="auto" w:fill="auto"/>
            <w:vAlign w:val="center"/>
            <w:hideMark/>
          </w:tcPr>
          <w:p w14:paraId="59534161" w14:textId="2FE52D31" w:rsidR="007E107A" w:rsidRPr="007E107A" w:rsidRDefault="007E107A" w:rsidP="007E107A">
            <w:pPr>
              <w:widowControl/>
              <w:jc w:val="center"/>
              <w:rPr>
                <w:rFonts w:ascii="宋体" w:eastAsia="宋体" w:hAnsi="宋体" w:cs="Arial" w:hint="eastAsia"/>
                <w:color w:val="000000"/>
                <w:kern w:val="0"/>
                <w:sz w:val="20"/>
                <w:szCs w:val="20"/>
              </w:rPr>
            </w:pPr>
            <w:r>
              <w:rPr>
                <w:rFonts w:ascii="Times New Roman" w:eastAsia="宋体" w:hAnsi="Times New Roman" w:cs="Times New Roman" w:hint="eastAsia"/>
              </w:rPr>
              <w:t>mAbs</w:t>
            </w:r>
          </w:p>
        </w:tc>
        <w:tc>
          <w:tcPr>
            <w:tcW w:w="0" w:type="auto"/>
            <w:shd w:val="clear" w:color="auto" w:fill="auto"/>
            <w:vAlign w:val="center"/>
            <w:hideMark/>
          </w:tcPr>
          <w:p w14:paraId="69FFFAE8" w14:textId="77777777" w:rsidR="007E107A" w:rsidRPr="007E107A" w:rsidRDefault="007E107A" w:rsidP="007E107A">
            <w:pPr>
              <w:widowControl/>
              <w:jc w:val="center"/>
              <w:rPr>
                <w:rFonts w:ascii="Times New Roman" w:eastAsia="宋体" w:hAnsi="Times New Roman" w:cs="Times New Roman"/>
                <w:color w:val="000000"/>
                <w:kern w:val="0"/>
                <w:sz w:val="20"/>
                <w:szCs w:val="20"/>
              </w:rPr>
            </w:pPr>
            <w:r w:rsidRPr="007E107A">
              <w:rPr>
                <w:rFonts w:ascii="Times New Roman" w:eastAsia="宋体" w:hAnsi="Times New Roman" w:cs="Times New Roman"/>
                <w:color w:val="000000"/>
                <w:kern w:val="0"/>
                <w:sz w:val="20"/>
                <w:szCs w:val="20"/>
              </w:rPr>
              <w:t>Pertuzumab</w:t>
            </w:r>
          </w:p>
        </w:tc>
        <w:tc>
          <w:tcPr>
            <w:tcW w:w="0" w:type="auto"/>
            <w:shd w:val="clear" w:color="auto" w:fill="auto"/>
            <w:vAlign w:val="center"/>
            <w:hideMark/>
          </w:tcPr>
          <w:p w14:paraId="1C4979DD" w14:textId="77777777" w:rsidR="007E107A" w:rsidRPr="007E107A" w:rsidRDefault="007E107A" w:rsidP="007E107A">
            <w:pPr>
              <w:widowControl/>
              <w:jc w:val="center"/>
              <w:rPr>
                <w:rFonts w:ascii="Times New Roman" w:eastAsia="宋体" w:hAnsi="Times New Roman" w:cs="Times New Roman"/>
                <w:color w:val="000000"/>
                <w:kern w:val="0"/>
                <w:sz w:val="20"/>
                <w:szCs w:val="20"/>
              </w:rPr>
            </w:pPr>
            <w:r w:rsidRPr="007E107A">
              <w:rPr>
                <w:rFonts w:ascii="Times New Roman" w:eastAsia="宋体" w:hAnsi="Times New Roman" w:cs="Times New Roman"/>
                <w:color w:val="000000"/>
                <w:kern w:val="0"/>
                <w:sz w:val="20"/>
                <w:szCs w:val="20"/>
              </w:rPr>
              <w:t>Perjeta</w:t>
            </w:r>
          </w:p>
        </w:tc>
        <w:tc>
          <w:tcPr>
            <w:tcW w:w="0" w:type="auto"/>
            <w:shd w:val="clear" w:color="auto" w:fill="auto"/>
            <w:vAlign w:val="center"/>
            <w:hideMark/>
          </w:tcPr>
          <w:p w14:paraId="49D4D61F" w14:textId="77777777" w:rsidR="007E107A" w:rsidRPr="007E107A" w:rsidRDefault="007E107A" w:rsidP="007E107A">
            <w:pPr>
              <w:widowControl/>
              <w:jc w:val="center"/>
              <w:rPr>
                <w:rFonts w:ascii="Times New Roman" w:eastAsia="宋体" w:hAnsi="Times New Roman" w:cs="Times New Roman"/>
                <w:color w:val="000000"/>
                <w:kern w:val="0"/>
                <w:sz w:val="20"/>
                <w:szCs w:val="20"/>
              </w:rPr>
            </w:pPr>
            <w:r w:rsidRPr="007E107A">
              <w:rPr>
                <w:rFonts w:ascii="Times New Roman" w:eastAsia="宋体" w:hAnsi="Times New Roman" w:cs="Times New Roman"/>
                <w:color w:val="000000"/>
                <w:kern w:val="0"/>
                <w:sz w:val="20"/>
                <w:szCs w:val="20"/>
              </w:rPr>
              <w:t>2012</w:t>
            </w:r>
          </w:p>
        </w:tc>
        <w:tc>
          <w:tcPr>
            <w:tcW w:w="0" w:type="auto"/>
            <w:shd w:val="clear" w:color="auto" w:fill="auto"/>
            <w:vAlign w:val="center"/>
            <w:hideMark/>
          </w:tcPr>
          <w:p w14:paraId="05273E01" w14:textId="00978838" w:rsidR="007E107A" w:rsidRPr="007E107A" w:rsidRDefault="007E107A" w:rsidP="007E107A">
            <w:pPr>
              <w:widowControl/>
              <w:jc w:val="center"/>
              <w:rPr>
                <w:rFonts w:ascii="Times New Roman" w:eastAsia="宋体" w:hAnsi="Times New Roman" w:cs="Times New Roman"/>
                <w:color w:val="000000"/>
                <w:kern w:val="0"/>
                <w:sz w:val="20"/>
                <w:szCs w:val="20"/>
              </w:rPr>
            </w:pPr>
            <w:r w:rsidRPr="007E107A">
              <w:rPr>
                <w:rFonts w:ascii="Times New Roman" w:eastAsia="宋体" w:hAnsi="Times New Roman" w:cs="Times New Roman"/>
                <w:color w:val="000000"/>
                <w:kern w:val="0"/>
                <w:sz w:val="20"/>
                <w:szCs w:val="20"/>
              </w:rPr>
              <w:t>Roche Products Limited</w:t>
            </w:r>
          </w:p>
        </w:tc>
        <w:tc>
          <w:tcPr>
            <w:tcW w:w="0" w:type="auto"/>
            <w:shd w:val="clear" w:color="auto" w:fill="auto"/>
            <w:vAlign w:val="center"/>
            <w:hideMark/>
          </w:tcPr>
          <w:p w14:paraId="4D825E91" w14:textId="4936609F" w:rsidR="007E107A" w:rsidRPr="007E107A" w:rsidRDefault="007E107A" w:rsidP="007E107A">
            <w:pPr>
              <w:widowControl/>
              <w:jc w:val="left"/>
              <w:rPr>
                <w:rFonts w:ascii="Times New Roman" w:eastAsia="宋体" w:hAnsi="Times New Roman" w:cs="Times New Roman"/>
                <w:color w:val="000000"/>
                <w:kern w:val="0"/>
                <w:sz w:val="20"/>
                <w:szCs w:val="20"/>
              </w:rPr>
            </w:pPr>
            <w:r w:rsidRPr="007E107A">
              <w:rPr>
                <w:rFonts w:ascii="Times New Roman" w:eastAsia="宋体" w:hAnsi="Times New Roman" w:cs="Times New Roman"/>
                <w:color w:val="000000"/>
                <w:kern w:val="0"/>
                <w:sz w:val="20"/>
                <w:szCs w:val="20"/>
              </w:rPr>
              <w:t xml:space="preserve">Early breast cancer, </w:t>
            </w:r>
            <w:r>
              <w:rPr>
                <w:rFonts w:ascii="Times New Roman" w:eastAsia="宋体" w:hAnsi="Times New Roman" w:cs="Times New Roman" w:hint="eastAsia"/>
                <w:color w:val="000000"/>
                <w:kern w:val="0"/>
                <w:sz w:val="20"/>
                <w:szCs w:val="20"/>
              </w:rPr>
              <w:t>m</w:t>
            </w:r>
            <w:r w:rsidRPr="007E107A">
              <w:rPr>
                <w:rFonts w:ascii="Times New Roman" w:eastAsia="宋体" w:hAnsi="Times New Roman" w:cs="Times New Roman"/>
                <w:color w:val="000000"/>
                <w:kern w:val="0"/>
                <w:sz w:val="20"/>
                <w:szCs w:val="20"/>
              </w:rPr>
              <w:t>etastatic breast cancer</w:t>
            </w:r>
          </w:p>
        </w:tc>
        <w:tc>
          <w:tcPr>
            <w:tcW w:w="0" w:type="auto"/>
            <w:shd w:val="clear" w:color="auto" w:fill="auto"/>
            <w:vAlign w:val="center"/>
            <w:hideMark/>
          </w:tcPr>
          <w:p w14:paraId="1D72AEFA" w14:textId="77777777" w:rsidR="007E107A" w:rsidRPr="007E107A" w:rsidRDefault="007E107A" w:rsidP="007E107A">
            <w:pPr>
              <w:widowControl/>
              <w:jc w:val="left"/>
              <w:rPr>
                <w:rFonts w:ascii="Times New Roman" w:eastAsia="宋体" w:hAnsi="Times New Roman" w:cs="Times New Roman"/>
                <w:color w:val="000000"/>
                <w:kern w:val="0"/>
                <w:sz w:val="20"/>
                <w:szCs w:val="20"/>
              </w:rPr>
            </w:pPr>
            <w:r w:rsidRPr="007E107A">
              <w:rPr>
                <w:rFonts w:ascii="Times New Roman" w:eastAsia="宋体" w:hAnsi="Times New Roman" w:cs="Times New Roman"/>
                <w:color w:val="000000"/>
                <w:kern w:val="0"/>
                <w:sz w:val="20"/>
                <w:szCs w:val="20"/>
              </w:rPr>
              <w:t>The most serious and/or common adverse reactions reported in Perjeta usage (intravenous and subcutaneous formulations) to date are left ventricular dysfunction (including congestive heart failure), infusion-related reactions, hypersensitivity reactions/anaphylaxis, febrile neutropenia and diarrhoea.</w:t>
            </w:r>
          </w:p>
        </w:tc>
      </w:tr>
      <w:tr w:rsidR="007E107A" w:rsidRPr="007E107A" w14:paraId="6CF59D48" w14:textId="77777777" w:rsidTr="00D6077B">
        <w:trPr>
          <w:trHeight w:val="3080"/>
          <w:jc w:val="center"/>
        </w:trPr>
        <w:tc>
          <w:tcPr>
            <w:tcW w:w="0" w:type="auto"/>
            <w:shd w:val="clear" w:color="auto" w:fill="auto"/>
            <w:vAlign w:val="center"/>
            <w:hideMark/>
          </w:tcPr>
          <w:p w14:paraId="0EBCBF5B" w14:textId="77777777" w:rsidR="007E107A" w:rsidRPr="007E107A" w:rsidRDefault="007E107A" w:rsidP="007E107A">
            <w:pPr>
              <w:widowControl/>
              <w:jc w:val="center"/>
              <w:rPr>
                <w:rFonts w:ascii="Times New Roman" w:eastAsia="宋体" w:hAnsi="Times New Roman" w:cs="Times New Roman"/>
                <w:color w:val="000000"/>
                <w:kern w:val="0"/>
                <w:sz w:val="20"/>
                <w:szCs w:val="20"/>
              </w:rPr>
            </w:pPr>
            <w:r w:rsidRPr="007E107A">
              <w:rPr>
                <w:rFonts w:ascii="Times New Roman" w:eastAsia="宋体" w:hAnsi="Times New Roman" w:cs="Times New Roman"/>
                <w:color w:val="000000"/>
                <w:kern w:val="0"/>
                <w:sz w:val="20"/>
                <w:szCs w:val="20"/>
              </w:rPr>
              <w:lastRenderedPageBreak/>
              <w:t>TKI</w:t>
            </w:r>
          </w:p>
        </w:tc>
        <w:tc>
          <w:tcPr>
            <w:tcW w:w="0" w:type="auto"/>
            <w:shd w:val="clear" w:color="auto" w:fill="auto"/>
            <w:vAlign w:val="center"/>
            <w:hideMark/>
          </w:tcPr>
          <w:p w14:paraId="7A05C0F3" w14:textId="77777777" w:rsidR="007E107A" w:rsidRPr="007E107A" w:rsidRDefault="007E107A" w:rsidP="007E107A">
            <w:pPr>
              <w:widowControl/>
              <w:jc w:val="center"/>
              <w:rPr>
                <w:rFonts w:ascii="Times New Roman" w:eastAsia="宋体" w:hAnsi="Times New Roman" w:cs="Times New Roman"/>
                <w:color w:val="000000"/>
                <w:kern w:val="0"/>
                <w:sz w:val="20"/>
                <w:szCs w:val="20"/>
              </w:rPr>
            </w:pPr>
            <w:r w:rsidRPr="007E107A">
              <w:rPr>
                <w:rFonts w:ascii="Times New Roman" w:eastAsia="宋体" w:hAnsi="Times New Roman" w:cs="Times New Roman"/>
                <w:color w:val="000000"/>
                <w:kern w:val="0"/>
                <w:sz w:val="20"/>
                <w:szCs w:val="20"/>
              </w:rPr>
              <w:t>Lapatinib</w:t>
            </w:r>
          </w:p>
        </w:tc>
        <w:tc>
          <w:tcPr>
            <w:tcW w:w="0" w:type="auto"/>
            <w:shd w:val="clear" w:color="auto" w:fill="auto"/>
            <w:vAlign w:val="center"/>
            <w:hideMark/>
          </w:tcPr>
          <w:p w14:paraId="49C821A3" w14:textId="77777777" w:rsidR="007E107A" w:rsidRPr="007E107A" w:rsidRDefault="007E107A" w:rsidP="007E107A">
            <w:pPr>
              <w:widowControl/>
              <w:jc w:val="center"/>
              <w:rPr>
                <w:rFonts w:ascii="Times New Roman" w:eastAsia="宋体" w:hAnsi="Times New Roman" w:cs="Times New Roman"/>
                <w:color w:val="000000"/>
                <w:kern w:val="0"/>
                <w:sz w:val="20"/>
                <w:szCs w:val="20"/>
              </w:rPr>
            </w:pPr>
            <w:r w:rsidRPr="007E107A">
              <w:rPr>
                <w:rFonts w:ascii="Times New Roman" w:eastAsia="宋体" w:hAnsi="Times New Roman" w:cs="Times New Roman"/>
                <w:color w:val="000000"/>
                <w:kern w:val="0"/>
                <w:sz w:val="20"/>
                <w:szCs w:val="20"/>
              </w:rPr>
              <w:t>Tykerb</w:t>
            </w:r>
          </w:p>
        </w:tc>
        <w:tc>
          <w:tcPr>
            <w:tcW w:w="0" w:type="auto"/>
            <w:shd w:val="clear" w:color="auto" w:fill="auto"/>
            <w:vAlign w:val="center"/>
            <w:hideMark/>
          </w:tcPr>
          <w:p w14:paraId="1DBF51B1" w14:textId="77777777" w:rsidR="007E107A" w:rsidRPr="007E107A" w:rsidRDefault="007E107A" w:rsidP="007E107A">
            <w:pPr>
              <w:widowControl/>
              <w:jc w:val="center"/>
              <w:rPr>
                <w:rFonts w:ascii="Times New Roman" w:eastAsia="宋体" w:hAnsi="Times New Roman" w:cs="Times New Roman"/>
                <w:color w:val="000000"/>
                <w:kern w:val="0"/>
                <w:sz w:val="20"/>
                <w:szCs w:val="20"/>
              </w:rPr>
            </w:pPr>
            <w:r w:rsidRPr="007E107A">
              <w:rPr>
                <w:rFonts w:ascii="Times New Roman" w:eastAsia="宋体" w:hAnsi="Times New Roman" w:cs="Times New Roman"/>
                <w:color w:val="000000"/>
                <w:kern w:val="0"/>
                <w:sz w:val="20"/>
                <w:szCs w:val="20"/>
              </w:rPr>
              <w:t>2007</w:t>
            </w:r>
          </w:p>
        </w:tc>
        <w:tc>
          <w:tcPr>
            <w:tcW w:w="0" w:type="auto"/>
            <w:shd w:val="clear" w:color="auto" w:fill="auto"/>
            <w:vAlign w:val="center"/>
            <w:hideMark/>
          </w:tcPr>
          <w:p w14:paraId="4FADC738" w14:textId="77777777" w:rsidR="007E107A" w:rsidRPr="007E107A" w:rsidRDefault="007E107A" w:rsidP="007E107A">
            <w:pPr>
              <w:widowControl/>
              <w:jc w:val="center"/>
              <w:rPr>
                <w:rFonts w:ascii="Times New Roman" w:eastAsia="宋体" w:hAnsi="Times New Roman" w:cs="Times New Roman"/>
                <w:color w:val="000000"/>
                <w:kern w:val="0"/>
                <w:sz w:val="20"/>
                <w:szCs w:val="20"/>
              </w:rPr>
            </w:pPr>
            <w:r w:rsidRPr="007E107A">
              <w:rPr>
                <w:rFonts w:ascii="Times New Roman" w:eastAsia="宋体" w:hAnsi="Times New Roman" w:cs="Times New Roman"/>
                <w:color w:val="000000"/>
                <w:kern w:val="0"/>
                <w:sz w:val="20"/>
                <w:szCs w:val="20"/>
              </w:rPr>
              <w:t>Glaxo Operations UK Limited</w:t>
            </w:r>
          </w:p>
        </w:tc>
        <w:tc>
          <w:tcPr>
            <w:tcW w:w="0" w:type="auto"/>
            <w:shd w:val="clear" w:color="auto" w:fill="auto"/>
            <w:vAlign w:val="center"/>
            <w:hideMark/>
          </w:tcPr>
          <w:p w14:paraId="58C099F7" w14:textId="77777777" w:rsidR="007E107A" w:rsidRPr="007E107A" w:rsidRDefault="007E107A" w:rsidP="007E107A">
            <w:pPr>
              <w:widowControl/>
              <w:jc w:val="left"/>
              <w:rPr>
                <w:rFonts w:ascii="Times New Roman" w:eastAsia="宋体" w:hAnsi="Times New Roman" w:cs="Times New Roman"/>
                <w:color w:val="000000"/>
                <w:kern w:val="0"/>
                <w:sz w:val="20"/>
                <w:szCs w:val="20"/>
              </w:rPr>
            </w:pPr>
            <w:r w:rsidRPr="007E107A">
              <w:rPr>
                <w:rFonts w:ascii="Times New Roman" w:eastAsia="宋体" w:hAnsi="Times New Roman" w:cs="Times New Roman"/>
                <w:color w:val="000000"/>
                <w:kern w:val="0"/>
                <w:sz w:val="20"/>
                <w:szCs w:val="20"/>
              </w:rPr>
              <w:t>Tykerb is indicated for the treatment of adult patients with breast cancer, whose tumours overexpress HER2 (ErbB2)</w:t>
            </w:r>
          </w:p>
        </w:tc>
        <w:tc>
          <w:tcPr>
            <w:tcW w:w="0" w:type="auto"/>
            <w:shd w:val="clear" w:color="auto" w:fill="auto"/>
            <w:vAlign w:val="center"/>
            <w:hideMark/>
          </w:tcPr>
          <w:p w14:paraId="6FDF84C6" w14:textId="77777777" w:rsidR="007E107A" w:rsidRPr="007E107A" w:rsidRDefault="007E107A" w:rsidP="007E107A">
            <w:pPr>
              <w:widowControl/>
              <w:jc w:val="left"/>
              <w:rPr>
                <w:rFonts w:ascii="Times New Roman" w:eastAsia="宋体" w:hAnsi="Times New Roman" w:cs="Times New Roman"/>
                <w:color w:val="000000"/>
                <w:kern w:val="0"/>
                <w:sz w:val="20"/>
                <w:szCs w:val="20"/>
              </w:rPr>
            </w:pPr>
            <w:r w:rsidRPr="007E107A">
              <w:rPr>
                <w:rFonts w:ascii="Times New Roman" w:eastAsia="宋体" w:hAnsi="Times New Roman" w:cs="Times New Roman"/>
                <w:color w:val="000000"/>
                <w:kern w:val="0"/>
                <w:sz w:val="20"/>
                <w:szCs w:val="20"/>
              </w:rPr>
              <w:t>The most common adverse reactions (&gt;25%) during therapy with lapatinib were gastrointestinal events (such as diarrhoea, nausea, and vomiting) and rash. Palmar-plantar erythrodysesthesia (PPE) was also common (&gt;25%) when lapatinib was administered in combination with capecitabine. The incidence of PPE was similar in the lapatinib plus capecitabine and capecitabine alone treatment arms. Diarrhoea was the most common adverse reaction resulting in discontinuation of treatment when lapatinib was administered in combination with capecitabine, or with letrozole.</w:t>
            </w:r>
          </w:p>
        </w:tc>
      </w:tr>
      <w:tr w:rsidR="007E107A" w:rsidRPr="007E107A" w14:paraId="25CD7A92" w14:textId="77777777" w:rsidTr="00D6077B">
        <w:trPr>
          <w:trHeight w:val="1960"/>
          <w:jc w:val="center"/>
        </w:trPr>
        <w:tc>
          <w:tcPr>
            <w:tcW w:w="0" w:type="auto"/>
            <w:shd w:val="clear" w:color="auto" w:fill="auto"/>
            <w:vAlign w:val="center"/>
            <w:hideMark/>
          </w:tcPr>
          <w:p w14:paraId="259FCF04" w14:textId="77777777" w:rsidR="007E107A" w:rsidRPr="007E107A" w:rsidRDefault="007E107A" w:rsidP="007E107A">
            <w:pPr>
              <w:widowControl/>
              <w:jc w:val="center"/>
              <w:rPr>
                <w:rFonts w:ascii="Times New Roman" w:eastAsia="宋体" w:hAnsi="Times New Roman" w:cs="Times New Roman"/>
                <w:color w:val="000000"/>
                <w:kern w:val="0"/>
                <w:sz w:val="20"/>
                <w:szCs w:val="20"/>
              </w:rPr>
            </w:pPr>
            <w:r w:rsidRPr="007E107A">
              <w:rPr>
                <w:rFonts w:ascii="Times New Roman" w:eastAsia="宋体" w:hAnsi="Times New Roman" w:cs="Times New Roman"/>
                <w:color w:val="000000"/>
                <w:kern w:val="0"/>
                <w:sz w:val="20"/>
                <w:szCs w:val="20"/>
              </w:rPr>
              <w:t>TKI</w:t>
            </w:r>
          </w:p>
        </w:tc>
        <w:tc>
          <w:tcPr>
            <w:tcW w:w="0" w:type="auto"/>
            <w:shd w:val="clear" w:color="auto" w:fill="auto"/>
            <w:vAlign w:val="center"/>
            <w:hideMark/>
          </w:tcPr>
          <w:p w14:paraId="7ED589AB" w14:textId="77777777" w:rsidR="007E107A" w:rsidRPr="007E107A" w:rsidRDefault="007E107A" w:rsidP="007E107A">
            <w:pPr>
              <w:widowControl/>
              <w:jc w:val="center"/>
              <w:rPr>
                <w:rFonts w:ascii="Times New Roman" w:eastAsia="宋体" w:hAnsi="Times New Roman" w:cs="Times New Roman"/>
                <w:color w:val="000000"/>
                <w:kern w:val="0"/>
                <w:sz w:val="20"/>
                <w:szCs w:val="20"/>
              </w:rPr>
            </w:pPr>
            <w:r w:rsidRPr="007E107A">
              <w:rPr>
                <w:rFonts w:ascii="Times New Roman" w:eastAsia="宋体" w:hAnsi="Times New Roman" w:cs="Times New Roman"/>
                <w:color w:val="000000"/>
                <w:kern w:val="0"/>
                <w:sz w:val="20"/>
                <w:szCs w:val="20"/>
              </w:rPr>
              <w:t>Neratinib</w:t>
            </w:r>
          </w:p>
        </w:tc>
        <w:tc>
          <w:tcPr>
            <w:tcW w:w="0" w:type="auto"/>
            <w:shd w:val="clear" w:color="auto" w:fill="auto"/>
            <w:vAlign w:val="center"/>
            <w:hideMark/>
          </w:tcPr>
          <w:p w14:paraId="610F4E52" w14:textId="77777777" w:rsidR="007E107A" w:rsidRPr="007E107A" w:rsidRDefault="007E107A" w:rsidP="007E107A">
            <w:pPr>
              <w:widowControl/>
              <w:jc w:val="center"/>
              <w:rPr>
                <w:rFonts w:ascii="Times New Roman" w:eastAsia="宋体" w:hAnsi="Times New Roman" w:cs="Times New Roman"/>
                <w:color w:val="000000"/>
                <w:kern w:val="0"/>
                <w:sz w:val="20"/>
                <w:szCs w:val="20"/>
              </w:rPr>
            </w:pPr>
            <w:r w:rsidRPr="007E107A">
              <w:rPr>
                <w:rFonts w:ascii="Times New Roman" w:eastAsia="宋体" w:hAnsi="Times New Roman" w:cs="Times New Roman"/>
                <w:color w:val="000000"/>
                <w:kern w:val="0"/>
                <w:sz w:val="20"/>
                <w:szCs w:val="20"/>
              </w:rPr>
              <w:t>Nerlynx</w:t>
            </w:r>
          </w:p>
        </w:tc>
        <w:tc>
          <w:tcPr>
            <w:tcW w:w="0" w:type="auto"/>
            <w:shd w:val="clear" w:color="auto" w:fill="auto"/>
            <w:vAlign w:val="center"/>
            <w:hideMark/>
          </w:tcPr>
          <w:p w14:paraId="233C7A88" w14:textId="77777777" w:rsidR="007E107A" w:rsidRPr="007E107A" w:rsidRDefault="007E107A" w:rsidP="007E107A">
            <w:pPr>
              <w:widowControl/>
              <w:jc w:val="center"/>
              <w:rPr>
                <w:rFonts w:ascii="Times New Roman" w:eastAsia="宋体" w:hAnsi="Times New Roman" w:cs="Times New Roman"/>
                <w:color w:val="000000"/>
                <w:kern w:val="0"/>
                <w:sz w:val="20"/>
                <w:szCs w:val="20"/>
              </w:rPr>
            </w:pPr>
            <w:r w:rsidRPr="007E107A">
              <w:rPr>
                <w:rFonts w:ascii="Times New Roman" w:eastAsia="宋体" w:hAnsi="Times New Roman" w:cs="Times New Roman"/>
                <w:color w:val="000000"/>
                <w:kern w:val="0"/>
                <w:sz w:val="20"/>
                <w:szCs w:val="20"/>
              </w:rPr>
              <w:t>2017</w:t>
            </w:r>
          </w:p>
        </w:tc>
        <w:tc>
          <w:tcPr>
            <w:tcW w:w="0" w:type="auto"/>
            <w:shd w:val="clear" w:color="auto" w:fill="auto"/>
            <w:vAlign w:val="center"/>
            <w:hideMark/>
          </w:tcPr>
          <w:p w14:paraId="6235659B" w14:textId="77777777" w:rsidR="007E107A" w:rsidRPr="007E107A" w:rsidRDefault="007E107A" w:rsidP="007E107A">
            <w:pPr>
              <w:widowControl/>
              <w:jc w:val="center"/>
              <w:rPr>
                <w:rFonts w:ascii="Times New Roman" w:eastAsia="宋体" w:hAnsi="Times New Roman" w:cs="Times New Roman"/>
                <w:color w:val="000000"/>
                <w:kern w:val="0"/>
                <w:sz w:val="20"/>
                <w:szCs w:val="20"/>
              </w:rPr>
            </w:pPr>
            <w:r w:rsidRPr="007E107A">
              <w:rPr>
                <w:rFonts w:ascii="Times New Roman" w:eastAsia="宋体" w:hAnsi="Times New Roman" w:cs="Times New Roman"/>
                <w:color w:val="000000"/>
                <w:kern w:val="0"/>
                <w:sz w:val="20"/>
                <w:szCs w:val="20"/>
              </w:rPr>
              <w:t>Puma Biotechnology</w:t>
            </w:r>
          </w:p>
        </w:tc>
        <w:tc>
          <w:tcPr>
            <w:tcW w:w="0" w:type="auto"/>
            <w:shd w:val="clear" w:color="auto" w:fill="auto"/>
            <w:vAlign w:val="center"/>
            <w:hideMark/>
          </w:tcPr>
          <w:p w14:paraId="3587DFF9" w14:textId="77777777" w:rsidR="007E107A" w:rsidRPr="007E107A" w:rsidRDefault="007E107A" w:rsidP="007E107A">
            <w:pPr>
              <w:widowControl/>
              <w:jc w:val="left"/>
              <w:rPr>
                <w:rFonts w:ascii="Times New Roman" w:eastAsia="宋体" w:hAnsi="Times New Roman" w:cs="Times New Roman"/>
                <w:color w:val="000000"/>
                <w:kern w:val="0"/>
                <w:sz w:val="20"/>
                <w:szCs w:val="20"/>
              </w:rPr>
            </w:pPr>
            <w:r w:rsidRPr="007E107A">
              <w:rPr>
                <w:rFonts w:ascii="Times New Roman" w:eastAsia="宋体" w:hAnsi="Times New Roman" w:cs="Times New Roman"/>
                <w:color w:val="000000"/>
                <w:kern w:val="0"/>
                <w:sz w:val="20"/>
                <w:szCs w:val="20"/>
              </w:rPr>
              <w:t>Nerlynx is indicated for the extended adjuvant treatment of adult patients with early-stage hormone receptor positive HER2-overexpressed/amplified breast cancer and who completed adjuvant trastuzumab-based therapy less than one year ago.</w:t>
            </w:r>
          </w:p>
        </w:tc>
        <w:tc>
          <w:tcPr>
            <w:tcW w:w="0" w:type="auto"/>
            <w:shd w:val="clear" w:color="auto" w:fill="auto"/>
            <w:vAlign w:val="center"/>
            <w:hideMark/>
          </w:tcPr>
          <w:p w14:paraId="38A8262E" w14:textId="77777777" w:rsidR="007E107A" w:rsidRPr="007E107A" w:rsidRDefault="007E107A" w:rsidP="007E107A">
            <w:pPr>
              <w:widowControl/>
              <w:jc w:val="left"/>
              <w:rPr>
                <w:rFonts w:ascii="Times New Roman" w:eastAsia="宋体" w:hAnsi="Times New Roman" w:cs="Times New Roman"/>
                <w:color w:val="000000"/>
                <w:kern w:val="0"/>
                <w:sz w:val="20"/>
                <w:szCs w:val="20"/>
              </w:rPr>
            </w:pPr>
            <w:r w:rsidRPr="007E107A">
              <w:rPr>
                <w:rFonts w:ascii="Times New Roman" w:eastAsia="宋体" w:hAnsi="Times New Roman" w:cs="Times New Roman"/>
                <w:color w:val="000000"/>
                <w:kern w:val="0"/>
                <w:sz w:val="20"/>
                <w:szCs w:val="20"/>
              </w:rPr>
              <w:t>The most common adverse reactions of any grade were diarrhoea (93.6%), nausea (42.5%), fatigue (27.3%), vomiting (26.8%), abdominal pain (22.7%), rash (15.4%), decreased appetite (13.7%), abdominal pain upper (13.2%), stomatitis (11.2%), and muscle spasms (10.0%).</w:t>
            </w:r>
          </w:p>
        </w:tc>
      </w:tr>
      <w:tr w:rsidR="007E107A" w:rsidRPr="007E107A" w14:paraId="14C72252" w14:textId="77777777" w:rsidTr="00D6077B">
        <w:trPr>
          <w:trHeight w:val="1680"/>
          <w:jc w:val="center"/>
        </w:trPr>
        <w:tc>
          <w:tcPr>
            <w:tcW w:w="0" w:type="auto"/>
            <w:shd w:val="clear" w:color="auto" w:fill="auto"/>
            <w:vAlign w:val="center"/>
            <w:hideMark/>
          </w:tcPr>
          <w:p w14:paraId="56E3EDEE" w14:textId="77777777" w:rsidR="007E107A" w:rsidRPr="007E107A" w:rsidRDefault="007E107A" w:rsidP="007E107A">
            <w:pPr>
              <w:widowControl/>
              <w:jc w:val="center"/>
              <w:rPr>
                <w:rFonts w:ascii="Times New Roman" w:eastAsia="宋体" w:hAnsi="Times New Roman" w:cs="Times New Roman"/>
                <w:color w:val="000000"/>
                <w:kern w:val="0"/>
                <w:sz w:val="20"/>
                <w:szCs w:val="20"/>
              </w:rPr>
            </w:pPr>
            <w:r w:rsidRPr="007E107A">
              <w:rPr>
                <w:rFonts w:ascii="Times New Roman" w:eastAsia="宋体" w:hAnsi="Times New Roman" w:cs="Times New Roman"/>
                <w:color w:val="000000"/>
                <w:kern w:val="0"/>
                <w:sz w:val="20"/>
                <w:szCs w:val="20"/>
              </w:rPr>
              <w:t>TKI</w:t>
            </w:r>
          </w:p>
        </w:tc>
        <w:tc>
          <w:tcPr>
            <w:tcW w:w="0" w:type="auto"/>
            <w:shd w:val="clear" w:color="auto" w:fill="auto"/>
            <w:vAlign w:val="center"/>
            <w:hideMark/>
          </w:tcPr>
          <w:p w14:paraId="012BBAD3" w14:textId="77777777" w:rsidR="007E107A" w:rsidRPr="007E107A" w:rsidRDefault="007E107A" w:rsidP="007E107A">
            <w:pPr>
              <w:widowControl/>
              <w:jc w:val="center"/>
              <w:rPr>
                <w:rFonts w:ascii="Times New Roman" w:eastAsia="宋体" w:hAnsi="Times New Roman" w:cs="Times New Roman"/>
                <w:color w:val="000000"/>
                <w:kern w:val="0"/>
                <w:sz w:val="20"/>
                <w:szCs w:val="20"/>
              </w:rPr>
            </w:pPr>
            <w:r w:rsidRPr="007E107A">
              <w:rPr>
                <w:rFonts w:ascii="Times New Roman" w:eastAsia="宋体" w:hAnsi="Times New Roman" w:cs="Times New Roman"/>
                <w:color w:val="000000"/>
                <w:kern w:val="0"/>
                <w:sz w:val="20"/>
                <w:szCs w:val="20"/>
              </w:rPr>
              <w:t>Tucatinib</w:t>
            </w:r>
          </w:p>
        </w:tc>
        <w:tc>
          <w:tcPr>
            <w:tcW w:w="0" w:type="auto"/>
            <w:shd w:val="clear" w:color="auto" w:fill="auto"/>
            <w:vAlign w:val="center"/>
            <w:hideMark/>
          </w:tcPr>
          <w:p w14:paraId="05AAF1B2" w14:textId="77777777" w:rsidR="007E107A" w:rsidRPr="007E107A" w:rsidRDefault="007E107A" w:rsidP="007E107A">
            <w:pPr>
              <w:widowControl/>
              <w:jc w:val="center"/>
              <w:rPr>
                <w:rFonts w:ascii="Times New Roman" w:eastAsia="宋体" w:hAnsi="Times New Roman" w:cs="Times New Roman"/>
                <w:color w:val="000000"/>
                <w:kern w:val="0"/>
                <w:sz w:val="20"/>
                <w:szCs w:val="20"/>
              </w:rPr>
            </w:pPr>
            <w:r w:rsidRPr="007E107A">
              <w:rPr>
                <w:rFonts w:ascii="Times New Roman" w:eastAsia="宋体" w:hAnsi="Times New Roman" w:cs="Times New Roman"/>
                <w:color w:val="000000"/>
                <w:kern w:val="0"/>
                <w:sz w:val="20"/>
                <w:szCs w:val="20"/>
              </w:rPr>
              <w:t>Tukysa</w:t>
            </w:r>
          </w:p>
        </w:tc>
        <w:tc>
          <w:tcPr>
            <w:tcW w:w="0" w:type="auto"/>
            <w:shd w:val="clear" w:color="auto" w:fill="auto"/>
            <w:vAlign w:val="center"/>
            <w:hideMark/>
          </w:tcPr>
          <w:p w14:paraId="0A06E042" w14:textId="77777777" w:rsidR="007E107A" w:rsidRPr="007E107A" w:rsidRDefault="007E107A" w:rsidP="007E107A">
            <w:pPr>
              <w:widowControl/>
              <w:jc w:val="center"/>
              <w:rPr>
                <w:rFonts w:ascii="Times New Roman" w:eastAsia="宋体" w:hAnsi="Times New Roman" w:cs="Times New Roman"/>
                <w:color w:val="000000"/>
                <w:kern w:val="0"/>
                <w:sz w:val="20"/>
                <w:szCs w:val="20"/>
              </w:rPr>
            </w:pPr>
            <w:r w:rsidRPr="007E107A">
              <w:rPr>
                <w:rFonts w:ascii="Times New Roman" w:eastAsia="宋体" w:hAnsi="Times New Roman" w:cs="Times New Roman"/>
                <w:color w:val="000000"/>
                <w:kern w:val="0"/>
                <w:sz w:val="20"/>
                <w:szCs w:val="20"/>
              </w:rPr>
              <w:t>2020</w:t>
            </w:r>
          </w:p>
        </w:tc>
        <w:tc>
          <w:tcPr>
            <w:tcW w:w="0" w:type="auto"/>
            <w:shd w:val="clear" w:color="auto" w:fill="auto"/>
            <w:vAlign w:val="center"/>
            <w:hideMark/>
          </w:tcPr>
          <w:p w14:paraId="44D5F17E" w14:textId="77777777" w:rsidR="007E107A" w:rsidRPr="007E107A" w:rsidRDefault="007E107A" w:rsidP="007E107A">
            <w:pPr>
              <w:widowControl/>
              <w:jc w:val="center"/>
              <w:rPr>
                <w:rFonts w:ascii="Times New Roman" w:eastAsia="宋体" w:hAnsi="Times New Roman" w:cs="Times New Roman"/>
                <w:color w:val="000000"/>
                <w:kern w:val="0"/>
                <w:sz w:val="20"/>
                <w:szCs w:val="20"/>
              </w:rPr>
            </w:pPr>
            <w:r w:rsidRPr="007E107A">
              <w:rPr>
                <w:rFonts w:ascii="Times New Roman" w:eastAsia="宋体" w:hAnsi="Times New Roman" w:cs="Times New Roman"/>
                <w:color w:val="000000"/>
                <w:kern w:val="0"/>
                <w:sz w:val="20"/>
                <w:szCs w:val="20"/>
              </w:rPr>
              <w:t>Seattle Genetics Inc</w:t>
            </w:r>
          </w:p>
        </w:tc>
        <w:tc>
          <w:tcPr>
            <w:tcW w:w="0" w:type="auto"/>
            <w:shd w:val="clear" w:color="auto" w:fill="auto"/>
            <w:vAlign w:val="center"/>
            <w:hideMark/>
          </w:tcPr>
          <w:p w14:paraId="5E9E3B1B" w14:textId="77777777" w:rsidR="007E107A" w:rsidRPr="007E107A" w:rsidRDefault="007E107A" w:rsidP="007E107A">
            <w:pPr>
              <w:widowControl/>
              <w:jc w:val="left"/>
              <w:rPr>
                <w:rFonts w:ascii="Times New Roman" w:eastAsia="宋体" w:hAnsi="Times New Roman" w:cs="Times New Roman"/>
                <w:color w:val="000000"/>
                <w:kern w:val="0"/>
                <w:sz w:val="20"/>
                <w:szCs w:val="20"/>
              </w:rPr>
            </w:pPr>
            <w:r w:rsidRPr="007E107A">
              <w:rPr>
                <w:rFonts w:ascii="Times New Roman" w:eastAsia="宋体" w:hAnsi="Times New Roman" w:cs="Times New Roman"/>
                <w:color w:val="000000"/>
                <w:kern w:val="0"/>
                <w:sz w:val="20"/>
                <w:szCs w:val="20"/>
              </w:rPr>
              <w:t xml:space="preserve">Tukysa is indicated in combination with trastuzumab and capecitabine for the treatment of adult patients with HER2-positive locally advanced or metastatic breast cancer who have received </w:t>
            </w:r>
            <w:r w:rsidRPr="007E107A">
              <w:rPr>
                <w:rFonts w:ascii="Times New Roman" w:eastAsia="宋体" w:hAnsi="Times New Roman" w:cs="Times New Roman"/>
                <w:color w:val="000000"/>
                <w:kern w:val="0"/>
                <w:sz w:val="20"/>
                <w:szCs w:val="20"/>
              </w:rPr>
              <w:lastRenderedPageBreak/>
              <w:t>at least 2 prior anti-HER2 treatment regimens.</w:t>
            </w:r>
          </w:p>
        </w:tc>
        <w:tc>
          <w:tcPr>
            <w:tcW w:w="0" w:type="auto"/>
            <w:shd w:val="clear" w:color="auto" w:fill="auto"/>
            <w:vAlign w:val="center"/>
            <w:hideMark/>
          </w:tcPr>
          <w:p w14:paraId="774E6009" w14:textId="77777777" w:rsidR="007E107A" w:rsidRPr="007E107A" w:rsidRDefault="007E107A" w:rsidP="007E107A">
            <w:pPr>
              <w:widowControl/>
              <w:jc w:val="left"/>
              <w:rPr>
                <w:rFonts w:ascii="Times New Roman" w:eastAsia="宋体" w:hAnsi="Times New Roman" w:cs="Times New Roman"/>
                <w:color w:val="000000"/>
                <w:kern w:val="0"/>
                <w:sz w:val="20"/>
                <w:szCs w:val="20"/>
              </w:rPr>
            </w:pPr>
            <w:r w:rsidRPr="007E107A">
              <w:rPr>
                <w:rFonts w:ascii="Times New Roman" w:eastAsia="宋体" w:hAnsi="Times New Roman" w:cs="Times New Roman"/>
                <w:color w:val="000000"/>
                <w:kern w:val="0"/>
                <w:sz w:val="20"/>
                <w:szCs w:val="20"/>
              </w:rPr>
              <w:lastRenderedPageBreak/>
              <w:t>The most commonly reported Grade 3 and 4 adverse reactions (≥ 5%) during treatment are diarrhoea (13%), ALT increased (6%) and AST increased (5%).</w:t>
            </w:r>
          </w:p>
        </w:tc>
      </w:tr>
      <w:tr w:rsidR="007E107A" w:rsidRPr="007E107A" w14:paraId="67E2FBD6" w14:textId="77777777" w:rsidTr="00D6077B">
        <w:trPr>
          <w:trHeight w:val="2520"/>
          <w:jc w:val="center"/>
        </w:trPr>
        <w:tc>
          <w:tcPr>
            <w:tcW w:w="0" w:type="auto"/>
            <w:shd w:val="clear" w:color="auto" w:fill="auto"/>
            <w:vAlign w:val="center"/>
            <w:hideMark/>
          </w:tcPr>
          <w:p w14:paraId="367C70BE" w14:textId="77777777" w:rsidR="007E107A" w:rsidRPr="007E107A" w:rsidRDefault="007E107A" w:rsidP="007E107A">
            <w:pPr>
              <w:widowControl/>
              <w:jc w:val="center"/>
              <w:rPr>
                <w:rFonts w:ascii="Times New Roman" w:eastAsia="宋体" w:hAnsi="Times New Roman" w:cs="Times New Roman"/>
                <w:color w:val="000000"/>
                <w:kern w:val="0"/>
                <w:sz w:val="20"/>
                <w:szCs w:val="20"/>
              </w:rPr>
            </w:pPr>
            <w:r w:rsidRPr="007E107A">
              <w:rPr>
                <w:rFonts w:ascii="Times New Roman" w:eastAsia="宋体" w:hAnsi="Times New Roman" w:cs="Times New Roman"/>
                <w:color w:val="000000"/>
                <w:kern w:val="0"/>
                <w:sz w:val="20"/>
                <w:szCs w:val="20"/>
              </w:rPr>
              <w:t>ADC</w:t>
            </w:r>
          </w:p>
        </w:tc>
        <w:tc>
          <w:tcPr>
            <w:tcW w:w="0" w:type="auto"/>
            <w:shd w:val="clear" w:color="auto" w:fill="auto"/>
            <w:vAlign w:val="center"/>
            <w:hideMark/>
          </w:tcPr>
          <w:p w14:paraId="5EFDF167" w14:textId="77777777" w:rsidR="007E107A" w:rsidRPr="007E107A" w:rsidRDefault="007E107A" w:rsidP="007E107A">
            <w:pPr>
              <w:widowControl/>
              <w:jc w:val="center"/>
              <w:rPr>
                <w:rFonts w:ascii="Times New Roman" w:eastAsia="宋体" w:hAnsi="Times New Roman" w:cs="Times New Roman"/>
                <w:color w:val="000000"/>
                <w:kern w:val="0"/>
                <w:sz w:val="20"/>
                <w:szCs w:val="20"/>
              </w:rPr>
            </w:pPr>
            <w:r w:rsidRPr="007E107A">
              <w:rPr>
                <w:rFonts w:ascii="Times New Roman" w:eastAsia="宋体" w:hAnsi="Times New Roman" w:cs="Times New Roman"/>
                <w:color w:val="000000"/>
                <w:kern w:val="0"/>
                <w:sz w:val="20"/>
                <w:szCs w:val="20"/>
              </w:rPr>
              <w:t>Ado-trastuzumab emtansine</w:t>
            </w:r>
          </w:p>
        </w:tc>
        <w:tc>
          <w:tcPr>
            <w:tcW w:w="0" w:type="auto"/>
            <w:shd w:val="clear" w:color="auto" w:fill="auto"/>
            <w:vAlign w:val="center"/>
            <w:hideMark/>
          </w:tcPr>
          <w:p w14:paraId="4F22E817" w14:textId="77777777" w:rsidR="007E107A" w:rsidRPr="007E107A" w:rsidRDefault="007E107A" w:rsidP="007E107A">
            <w:pPr>
              <w:widowControl/>
              <w:jc w:val="center"/>
              <w:rPr>
                <w:rFonts w:ascii="Times New Roman" w:eastAsia="宋体" w:hAnsi="Times New Roman" w:cs="Times New Roman"/>
                <w:color w:val="000000"/>
                <w:kern w:val="0"/>
                <w:sz w:val="20"/>
                <w:szCs w:val="20"/>
              </w:rPr>
            </w:pPr>
            <w:r w:rsidRPr="007E107A">
              <w:rPr>
                <w:rFonts w:ascii="Times New Roman" w:eastAsia="宋体" w:hAnsi="Times New Roman" w:cs="Times New Roman"/>
                <w:color w:val="000000"/>
                <w:kern w:val="0"/>
                <w:sz w:val="20"/>
                <w:szCs w:val="20"/>
              </w:rPr>
              <w:t>Kadcyla</w:t>
            </w:r>
          </w:p>
        </w:tc>
        <w:tc>
          <w:tcPr>
            <w:tcW w:w="0" w:type="auto"/>
            <w:shd w:val="clear" w:color="auto" w:fill="auto"/>
            <w:vAlign w:val="center"/>
            <w:hideMark/>
          </w:tcPr>
          <w:p w14:paraId="092E94DF" w14:textId="77777777" w:rsidR="007E107A" w:rsidRPr="007E107A" w:rsidRDefault="007E107A" w:rsidP="007E107A">
            <w:pPr>
              <w:widowControl/>
              <w:jc w:val="center"/>
              <w:rPr>
                <w:rFonts w:ascii="Times New Roman" w:eastAsia="宋体" w:hAnsi="Times New Roman" w:cs="Times New Roman"/>
                <w:color w:val="000000"/>
                <w:kern w:val="0"/>
                <w:sz w:val="20"/>
                <w:szCs w:val="20"/>
              </w:rPr>
            </w:pPr>
            <w:r w:rsidRPr="007E107A">
              <w:rPr>
                <w:rFonts w:ascii="Times New Roman" w:eastAsia="宋体" w:hAnsi="Times New Roman" w:cs="Times New Roman"/>
                <w:color w:val="000000"/>
                <w:kern w:val="0"/>
                <w:sz w:val="20"/>
                <w:szCs w:val="20"/>
              </w:rPr>
              <w:t>2013</w:t>
            </w:r>
          </w:p>
        </w:tc>
        <w:tc>
          <w:tcPr>
            <w:tcW w:w="0" w:type="auto"/>
            <w:shd w:val="clear" w:color="auto" w:fill="auto"/>
            <w:vAlign w:val="center"/>
            <w:hideMark/>
          </w:tcPr>
          <w:p w14:paraId="5B11F2AC" w14:textId="50517794" w:rsidR="007E107A" w:rsidRPr="007E107A" w:rsidRDefault="007E107A" w:rsidP="007E107A">
            <w:pPr>
              <w:widowControl/>
              <w:jc w:val="center"/>
              <w:rPr>
                <w:rFonts w:ascii="Times New Roman" w:eastAsia="宋体" w:hAnsi="Times New Roman" w:cs="Times New Roman"/>
                <w:color w:val="000000"/>
                <w:kern w:val="0"/>
                <w:sz w:val="20"/>
                <w:szCs w:val="20"/>
              </w:rPr>
            </w:pPr>
            <w:r w:rsidRPr="007E107A">
              <w:rPr>
                <w:rFonts w:ascii="Times New Roman" w:eastAsia="宋体" w:hAnsi="Times New Roman" w:cs="Times New Roman"/>
                <w:color w:val="000000"/>
                <w:kern w:val="0"/>
                <w:sz w:val="20"/>
                <w:szCs w:val="20"/>
              </w:rPr>
              <w:t>Roche Products Limited</w:t>
            </w:r>
          </w:p>
        </w:tc>
        <w:tc>
          <w:tcPr>
            <w:tcW w:w="0" w:type="auto"/>
            <w:shd w:val="clear" w:color="auto" w:fill="auto"/>
            <w:vAlign w:val="center"/>
            <w:hideMark/>
          </w:tcPr>
          <w:p w14:paraId="5A978B25" w14:textId="2B204E53" w:rsidR="007E107A" w:rsidRPr="007E107A" w:rsidRDefault="007E107A" w:rsidP="007E107A">
            <w:pPr>
              <w:widowControl/>
              <w:jc w:val="left"/>
              <w:rPr>
                <w:rFonts w:ascii="Times New Roman" w:eastAsia="宋体" w:hAnsi="Times New Roman" w:cs="Times New Roman"/>
                <w:color w:val="000000"/>
                <w:kern w:val="0"/>
                <w:sz w:val="20"/>
                <w:szCs w:val="20"/>
              </w:rPr>
            </w:pPr>
            <w:r w:rsidRPr="007E107A">
              <w:rPr>
                <w:rFonts w:ascii="Times New Roman" w:eastAsia="宋体" w:hAnsi="Times New Roman" w:cs="Times New Roman"/>
                <w:color w:val="000000"/>
                <w:kern w:val="0"/>
                <w:sz w:val="20"/>
                <w:szCs w:val="20"/>
              </w:rPr>
              <w:t xml:space="preserve">Early breast cancer, </w:t>
            </w:r>
            <w:r>
              <w:rPr>
                <w:rFonts w:ascii="Times New Roman" w:eastAsia="宋体" w:hAnsi="Times New Roman" w:cs="Times New Roman" w:hint="eastAsia"/>
                <w:color w:val="000000"/>
                <w:kern w:val="0"/>
                <w:sz w:val="20"/>
                <w:szCs w:val="20"/>
              </w:rPr>
              <w:t>m</w:t>
            </w:r>
            <w:r w:rsidRPr="007E107A">
              <w:rPr>
                <w:rFonts w:ascii="Times New Roman" w:eastAsia="宋体" w:hAnsi="Times New Roman" w:cs="Times New Roman"/>
                <w:color w:val="000000"/>
                <w:kern w:val="0"/>
                <w:sz w:val="20"/>
                <w:szCs w:val="20"/>
              </w:rPr>
              <w:t>etastatic breast cancer</w:t>
            </w:r>
          </w:p>
        </w:tc>
        <w:tc>
          <w:tcPr>
            <w:tcW w:w="0" w:type="auto"/>
            <w:shd w:val="clear" w:color="auto" w:fill="auto"/>
            <w:vAlign w:val="center"/>
            <w:hideMark/>
          </w:tcPr>
          <w:p w14:paraId="02C20268" w14:textId="77777777" w:rsidR="007E107A" w:rsidRPr="007E107A" w:rsidRDefault="007E107A" w:rsidP="007E107A">
            <w:pPr>
              <w:widowControl/>
              <w:jc w:val="left"/>
              <w:rPr>
                <w:rFonts w:ascii="Times New Roman" w:eastAsia="宋体" w:hAnsi="Times New Roman" w:cs="Times New Roman"/>
                <w:color w:val="000000"/>
                <w:kern w:val="0"/>
                <w:sz w:val="20"/>
                <w:szCs w:val="20"/>
              </w:rPr>
            </w:pPr>
            <w:r w:rsidRPr="007E107A">
              <w:rPr>
                <w:rFonts w:ascii="Times New Roman" w:eastAsia="宋体" w:hAnsi="Times New Roman" w:cs="Times New Roman"/>
                <w:color w:val="000000"/>
                <w:kern w:val="0"/>
                <w:sz w:val="20"/>
                <w:szCs w:val="20"/>
              </w:rPr>
              <w:t>The most common serious ADRs (&gt; 0.5% of patients) were haemorrhage, pyrexia, thrombocytopenia, dyspnoea, abdominal pain, musculoskeletal pain, and vomiting. The most common adverse drug reactions (ADRs) (≥ 25%) with trastuzumab emtansine were nausea, fatigue, musculoskeletal pain, haemorrhage, headache, transaminases increased, thrombocytopenia, and peripheral neuropathy. The majority of ADRs reported were of Grade 1 or 2 severity.</w:t>
            </w:r>
          </w:p>
        </w:tc>
      </w:tr>
      <w:tr w:rsidR="007E107A" w:rsidRPr="007E107A" w14:paraId="1C77125E" w14:textId="77777777" w:rsidTr="00D6077B">
        <w:trPr>
          <w:trHeight w:val="1960"/>
          <w:jc w:val="center"/>
        </w:trPr>
        <w:tc>
          <w:tcPr>
            <w:tcW w:w="0" w:type="auto"/>
            <w:shd w:val="clear" w:color="auto" w:fill="auto"/>
            <w:vAlign w:val="center"/>
            <w:hideMark/>
          </w:tcPr>
          <w:p w14:paraId="09E43975" w14:textId="77777777" w:rsidR="007E107A" w:rsidRPr="007E107A" w:rsidRDefault="007E107A" w:rsidP="007E107A">
            <w:pPr>
              <w:widowControl/>
              <w:jc w:val="center"/>
              <w:rPr>
                <w:rFonts w:ascii="Times New Roman" w:eastAsia="宋体" w:hAnsi="Times New Roman" w:cs="Times New Roman"/>
                <w:color w:val="000000"/>
                <w:kern w:val="0"/>
                <w:sz w:val="20"/>
                <w:szCs w:val="20"/>
              </w:rPr>
            </w:pPr>
            <w:r w:rsidRPr="007E107A">
              <w:rPr>
                <w:rFonts w:ascii="Times New Roman" w:eastAsia="宋体" w:hAnsi="Times New Roman" w:cs="Times New Roman"/>
                <w:color w:val="000000"/>
                <w:kern w:val="0"/>
                <w:sz w:val="20"/>
                <w:szCs w:val="20"/>
              </w:rPr>
              <w:t>ADC</w:t>
            </w:r>
          </w:p>
        </w:tc>
        <w:tc>
          <w:tcPr>
            <w:tcW w:w="0" w:type="auto"/>
            <w:shd w:val="clear" w:color="auto" w:fill="auto"/>
            <w:vAlign w:val="center"/>
            <w:hideMark/>
          </w:tcPr>
          <w:p w14:paraId="137CF986" w14:textId="77777777" w:rsidR="007E107A" w:rsidRPr="007E107A" w:rsidRDefault="007E107A" w:rsidP="007E107A">
            <w:pPr>
              <w:widowControl/>
              <w:jc w:val="center"/>
              <w:rPr>
                <w:rFonts w:ascii="Times New Roman" w:eastAsia="宋体" w:hAnsi="Times New Roman" w:cs="Times New Roman"/>
                <w:color w:val="000000"/>
                <w:kern w:val="0"/>
                <w:sz w:val="20"/>
                <w:szCs w:val="20"/>
              </w:rPr>
            </w:pPr>
            <w:r w:rsidRPr="007E107A">
              <w:rPr>
                <w:rFonts w:ascii="Times New Roman" w:eastAsia="宋体" w:hAnsi="Times New Roman" w:cs="Times New Roman"/>
                <w:color w:val="000000"/>
                <w:kern w:val="0"/>
                <w:sz w:val="20"/>
                <w:szCs w:val="20"/>
              </w:rPr>
              <w:t>Trastuzumab Deruxtecan</w:t>
            </w:r>
          </w:p>
        </w:tc>
        <w:tc>
          <w:tcPr>
            <w:tcW w:w="0" w:type="auto"/>
            <w:shd w:val="clear" w:color="auto" w:fill="auto"/>
            <w:vAlign w:val="center"/>
            <w:hideMark/>
          </w:tcPr>
          <w:p w14:paraId="3C7D501D" w14:textId="77777777" w:rsidR="007E107A" w:rsidRPr="007E107A" w:rsidRDefault="007E107A" w:rsidP="007E107A">
            <w:pPr>
              <w:widowControl/>
              <w:jc w:val="center"/>
              <w:rPr>
                <w:rFonts w:ascii="Times New Roman" w:eastAsia="宋体" w:hAnsi="Times New Roman" w:cs="Times New Roman"/>
                <w:color w:val="000000"/>
                <w:kern w:val="0"/>
                <w:sz w:val="20"/>
                <w:szCs w:val="20"/>
              </w:rPr>
            </w:pPr>
            <w:r w:rsidRPr="007E107A">
              <w:rPr>
                <w:rFonts w:ascii="Times New Roman" w:eastAsia="宋体" w:hAnsi="Times New Roman" w:cs="Times New Roman"/>
                <w:color w:val="000000"/>
                <w:kern w:val="0"/>
                <w:sz w:val="20"/>
                <w:szCs w:val="20"/>
              </w:rPr>
              <w:t>Enhertu</w:t>
            </w:r>
          </w:p>
        </w:tc>
        <w:tc>
          <w:tcPr>
            <w:tcW w:w="0" w:type="auto"/>
            <w:shd w:val="clear" w:color="auto" w:fill="auto"/>
            <w:vAlign w:val="center"/>
            <w:hideMark/>
          </w:tcPr>
          <w:p w14:paraId="2E77387C" w14:textId="77777777" w:rsidR="007E107A" w:rsidRPr="007E107A" w:rsidRDefault="007E107A" w:rsidP="007E107A">
            <w:pPr>
              <w:widowControl/>
              <w:jc w:val="center"/>
              <w:rPr>
                <w:rFonts w:ascii="Times New Roman" w:eastAsia="宋体" w:hAnsi="Times New Roman" w:cs="Times New Roman"/>
                <w:color w:val="000000"/>
                <w:kern w:val="0"/>
                <w:sz w:val="20"/>
                <w:szCs w:val="20"/>
              </w:rPr>
            </w:pPr>
            <w:r w:rsidRPr="007E107A">
              <w:rPr>
                <w:rFonts w:ascii="Times New Roman" w:eastAsia="宋体" w:hAnsi="Times New Roman" w:cs="Times New Roman"/>
                <w:color w:val="000000"/>
                <w:kern w:val="0"/>
                <w:sz w:val="20"/>
                <w:szCs w:val="20"/>
              </w:rPr>
              <w:t>2019</w:t>
            </w:r>
          </w:p>
        </w:tc>
        <w:tc>
          <w:tcPr>
            <w:tcW w:w="0" w:type="auto"/>
            <w:shd w:val="clear" w:color="auto" w:fill="auto"/>
            <w:vAlign w:val="center"/>
            <w:hideMark/>
          </w:tcPr>
          <w:p w14:paraId="2EBEBF9F" w14:textId="77777777" w:rsidR="007E107A" w:rsidRPr="007E107A" w:rsidRDefault="007E107A" w:rsidP="007E107A">
            <w:pPr>
              <w:widowControl/>
              <w:jc w:val="center"/>
              <w:rPr>
                <w:rFonts w:ascii="Times New Roman" w:eastAsia="宋体" w:hAnsi="Times New Roman" w:cs="Times New Roman"/>
                <w:color w:val="000000"/>
                <w:kern w:val="0"/>
                <w:sz w:val="20"/>
                <w:szCs w:val="20"/>
              </w:rPr>
            </w:pPr>
            <w:r w:rsidRPr="007E107A">
              <w:rPr>
                <w:rFonts w:ascii="Times New Roman" w:eastAsia="宋体" w:hAnsi="Times New Roman" w:cs="Times New Roman"/>
                <w:color w:val="000000"/>
                <w:kern w:val="0"/>
                <w:sz w:val="20"/>
                <w:szCs w:val="20"/>
              </w:rPr>
              <w:t>Daiichi-Sankyo UK Limited</w:t>
            </w:r>
          </w:p>
        </w:tc>
        <w:tc>
          <w:tcPr>
            <w:tcW w:w="0" w:type="auto"/>
            <w:shd w:val="clear" w:color="auto" w:fill="auto"/>
            <w:vAlign w:val="center"/>
            <w:hideMark/>
          </w:tcPr>
          <w:p w14:paraId="66C9F0AE" w14:textId="77777777" w:rsidR="007E107A" w:rsidRPr="007E107A" w:rsidRDefault="007E107A" w:rsidP="007E107A">
            <w:pPr>
              <w:widowControl/>
              <w:jc w:val="left"/>
              <w:rPr>
                <w:rFonts w:ascii="Times New Roman" w:eastAsia="宋体" w:hAnsi="Times New Roman" w:cs="Times New Roman"/>
                <w:color w:val="000000"/>
                <w:kern w:val="0"/>
                <w:sz w:val="20"/>
                <w:szCs w:val="20"/>
              </w:rPr>
            </w:pPr>
            <w:r w:rsidRPr="007E107A">
              <w:rPr>
                <w:rFonts w:ascii="Times New Roman" w:eastAsia="宋体" w:hAnsi="Times New Roman" w:cs="Times New Roman"/>
                <w:color w:val="000000"/>
                <w:kern w:val="0"/>
                <w:sz w:val="20"/>
                <w:szCs w:val="20"/>
              </w:rPr>
              <w:t>HER2-positive breast cancer, advanced NSCLC whose tumours have an activating HER2 (ERBB2) mutation, advanced HER2-positive gastric or gastroesophageal junction (GEJ) adenocarcinoma</w:t>
            </w:r>
          </w:p>
        </w:tc>
        <w:tc>
          <w:tcPr>
            <w:tcW w:w="0" w:type="auto"/>
            <w:shd w:val="clear" w:color="auto" w:fill="auto"/>
            <w:vAlign w:val="center"/>
            <w:hideMark/>
          </w:tcPr>
          <w:p w14:paraId="6C232CB5" w14:textId="77777777" w:rsidR="007E107A" w:rsidRPr="007E107A" w:rsidRDefault="007E107A" w:rsidP="007E107A">
            <w:pPr>
              <w:widowControl/>
              <w:jc w:val="left"/>
              <w:rPr>
                <w:rFonts w:ascii="Times New Roman" w:eastAsia="宋体" w:hAnsi="Times New Roman" w:cs="Times New Roman"/>
                <w:color w:val="000000"/>
                <w:kern w:val="0"/>
                <w:sz w:val="20"/>
                <w:szCs w:val="20"/>
              </w:rPr>
            </w:pPr>
            <w:r w:rsidRPr="007E107A">
              <w:rPr>
                <w:rFonts w:ascii="Times New Roman" w:eastAsia="宋体" w:hAnsi="Times New Roman" w:cs="Times New Roman"/>
                <w:color w:val="000000"/>
                <w:kern w:val="0"/>
                <w:sz w:val="20"/>
                <w:szCs w:val="20"/>
              </w:rPr>
              <w:t>The most common adverse reactions were nausea (71.4%), fatigue (55.9%), vomiting (38.1%), anaemia (35.6%), neutropenia (34.2%), alopecia (33.4%), constipation (31.8%), decreased appetite (31.6%), diarrhoea (29.2%), transaminases increased (24.0%), thrombocytopenia (23.8%), musculoskeletal pain (23.7%), and leukopenia (20.8%).</w:t>
            </w:r>
          </w:p>
        </w:tc>
      </w:tr>
    </w:tbl>
    <w:p w14:paraId="4CFE5C0C" w14:textId="139AE060" w:rsidR="00DD5BAA" w:rsidRDefault="007E107A">
      <w:pPr>
        <w:rPr>
          <w:rFonts w:ascii="Times New Roman" w:hAnsi="Times New Roman" w:cs="Times New Roman"/>
        </w:rPr>
      </w:pPr>
      <w:r>
        <w:rPr>
          <w:rFonts w:ascii="Times New Roman" w:hAnsi="Times New Roman" w:cs="Times New Roman"/>
        </w:rPr>
        <w:t>N</w:t>
      </w:r>
      <w:r>
        <w:rPr>
          <w:rFonts w:ascii="Times New Roman" w:hAnsi="Times New Roman" w:cs="Times New Roman" w:hint="eastAsia"/>
        </w:rPr>
        <w:t xml:space="preserve">ote: </w:t>
      </w:r>
      <w:r w:rsidRPr="007E107A">
        <w:rPr>
          <w:rFonts w:ascii="Times New Roman" w:hAnsi="Times New Roman" w:cs="Times New Roman"/>
        </w:rPr>
        <w:t>mAbs</w:t>
      </w:r>
      <w:r>
        <w:rPr>
          <w:rFonts w:ascii="Times New Roman" w:hAnsi="Times New Roman" w:cs="Times New Roman" w:hint="eastAsia"/>
        </w:rPr>
        <w:t>,</w:t>
      </w:r>
      <w:r w:rsidRPr="007E107A">
        <w:rPr>
          <w:rFonts w:ascii="Times New Roman" w:hAnsi="Times New Roman" w:cs="Times New Roman"/>
        </w:rPr>
        <w:t xml:space="preserve"> Monoclonal antibodies; ADCs</w:t>
      </w:r>
      <w:r>
        <w:rPr>
          <w:rFonts w:ascii="Times New Roman" w:hAnsi="Times New Roman" w:cs="Times New Roman" w:hint="eastAsia"/>
        </w:rPr>
        <w:t xml:space="preserve">, </w:t>
      </w:r>
      <w:r w:rsidRPr="007E107A">
        <w:rPr>
          <w:rFonts w:ascii="Times New Roman" w:hAnsi="Times New Roman" w:cs="Times New Roman"/>
        </w:rPr>
        <w:t>Antibody-drug conjugates; TKIs</w:t>
      </w:r>
      <w:r>
        <w:rPr>
          <w:rFonts w:ascii="Times New Roman" w:hAnsi="Times New Roman" w:cs="Times New Roman" w:hint="eastAsia"/>
        </w:rPr>
        <w:t>,</w:t>
      </w:r>
      <w:r w:rsidRPr="007E107A">
        <w:rPr>
          <w:rFonts w:ascii="Times New Roman" w:hAnsi="Times New Roman" w:cs="Times New Roman"/>
        </w:rPr>
        <w:t xml:space="preserve"> Tyrosine kinase inhibitors</w:t>
      </w:r>
      <w:r>
        <w:rPr>
          <w:rFonts w:ascii="Times New Roman" w:hAnsi="Times New Roman" w:cs="Times New Roman" w:hint="eastAsia"/>
        </w:rPr>
        <w:t>.</w:t>
      </w:r>
    </w:p>
    <w:sectPr w:rsidR="00DD5BAA" w:rsidSect="007E107A">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F796E" w14:textId="77777777" w:rsidR="000D6097" w:rsidRDefault="000D6097" w:rsidP="009C13F7">
      <w:r>
        <w:separator/>
      </w:r>
    </w:p>
  </w:endnote>
  <w:endnote w:type="continuationSeparator" w:id="0">
    <w:p w14:paraId="06F76306" w14:textId="77777777" w:rsidR="000D6097" w:rsidRDefault="000D6097" w:rsidP="009C13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E9B75" w14:textId="77777777" w:rsidR="000D6097" w:rsidRDefault="000D6097" w:rsidP="009C13F7">
      <w:r>
        <w:separator/>
      </w:r>
    </w:p>
  </w:footnote>
  <w:footnote w:type="continuationSeparator" w:id="0">
    <w:p w14:paraId="536A211E" w14:textId="77777777" w:rsidR="000D6097" w:rsidRDefault="000D6097" w:rsidP="009C13F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grammar="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zRiNGVjNDQwNjE0YTUzZTYzMWQwMWYwMjg1OTNjMDQifQ=="/>
  </w:docVars>
  <w:rsids>
    <w:rsidRoot w:val="2DAB6EC9"/>
    <w:rsid w:val="000D6097"/>
    <w:rsid w:val="0023186A"/>
    <w:rsid w:val="00410C1A"/>
    <w:rsid w:val="006A59AB"/>
    <w:rsid w:val="00760365"/>
    <w:rsid w:val="007C2F1F"/>
    <w:rsid w:val="007C4015"/>
    <w:rsid w:val="007E107A"/>
    <w:rsid w:val="00852304"/>
    <w:rsid w:val="009C13F7"/>
    <w:rsid w:val="00D6077B"/>
    <w:rsid w:val="00DD5BAA"/>
    <w:rsid w:val="2DAB6EC9"/>
    <w:rsid w:val="351821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09E8E7"/>
  <w15:docId w15:val="{7B36DDA8-F1D5-4004-8D11-DC9B3A93C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9C13F7"/>
    <w:pPr>
      <w:tabs>
        <w:tab w:val="center" w:pos="4153"/>
        <w:tab w:val="right" w:pos="8306"/>
      </w:tabs>
      <w:snapToGrid w:val="0"/>
      <w:jc w:val="center"/>
    </w:pPr>
    <w:rPr>
      <w:sz w:val="18"/>
      <w:szCs w:val="18"/>
    </w:rPr>
  </w:style>
  <w:style w:type="character" w:customStyle="1" w:styleId="a4">
    <w:name w:val="页眉 字符"/>
    <w:basedOn w:val="a0"/>
    <w:link w:val="a3"/>
    <w:rsid w:val="009C13F7"/>
    <w:rPr>
      <w:rFonts w:asciiTheme="minorHAnsi" w:eastAsiaTheme="minorEastAsia" w:hAnsiTheme="minorHAnsi" w:cstheme="minorBidi"/>
      <w:kern w:val="2"/>
      <w:sz w:val="18"/>
      <w:szCs w:val="18"/>
    </w:rPr>
  </w:style>
  <w:style w:type="paragraph" w:styleId="a5">
    <w:name w:val="footer"/>
    <w:basedOn w:val="a"/>
    <w:link w:val="a6"/>
    <w:rsid w:val="009C13F7"/>
    <w:pPr>
      <w:tabs>
        <w:tab w:val="center" w:pos="4153"/>
        <w:tab w:val="right" w:pos="8306"/>
      </w:tabs>
      <w:snapToGrid w:val="0"/>
      <w:jc w:val="left"/>
    </w:pPr>
    <w:rPr>
      <w:sz w:val="18"/>
      <w:szCs w:val="18"/>
    </w:rPr>
  </w:style>
  <w:style w:type="character" w:customStyle="1" w:styleId="a6">
    <w:name w:val="页脚 字符"/>
    <w:basedOn w:val="a0"/>
    <w:link w:val="a5"/>
    <w:rsid w:val="009C13F7"/>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25454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109</TotalTime>
  <Pages>3</Pages>
  <Words>515</Words>
  <Characters>3497</Characters>
  <Application>Microsoft Office Word</Application>
  <DocSecurity>0</DocSecurity>
  <Lines>152</Lines>
  <Paragraphs>65</Paragraphs>
  <ScaleCrop>false</ScaleCrop>
  <Company/>
  <LinksUpToDate>false</LinksUpToDate>
  <CharactersWithSpaces>3947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暖暖</dc:creator>
  <cp:lastModifiedBy>GYi Yu</cp:lastModifiedBy>
  <cp:revision>4</cp:revision>
  <dcterms:created xsi:type="dcterms:W3CDTF">2024-11-05T09:34:00Z</dcterms:created>
  <dcterms:modified xsi:type="dcterms:W3CDTF">2025-04-22T15:32:00Z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845B81E6727147878E018A2812405F44_11</vt:lpwstr>
  </property>
</Properties>
</file>