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rPr>
          <w:rFonts w:ascii="Times New Roman" w:hAnsi="Times New Roman" w:cs="Times New Roman"/>
          <w:b/>
        </w:rPr>
      </w:pPr>
      <w:r>
        <w:rPr>
          <w:rFonts w:ascii="Times New Roman" w:hAnsi="Times New Roman" w:cs="Times New Roman"/>
          <w:b/>
        </w:rPr>
        <w:t>Supplementary Figures</w:t>
      </w:r>
    </w:p>
    <w:p>
      <w:pPr>
        <w:jc w:val="center"/>
        <w:rPr>
          <w:rFonts w:ascii="Times New Roman" w:hAnsi="Times New Roman" w:cs="Times New Roman"/>
        </w:rPr>
      </w:pPr>
      <w:r>
        <w:rPr>
          <w:noProof/>
        </w:rPr>
        <w:drawing>
          <wp:inline distT="0" distB="0" distL="0" distR="0">
            <wp:extent cx="4053974" cy="6766901"/>
            <wp:effectExtent l="0" t="0" r="0" b="0"/>
            <wp:docPr id="1025" name="shape102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4053974" cy="6766901"/>
                    </a:xfrm>
                    <a:prstGeom prst="rect"/>
                    <a:noFill/>
                    <a:ln>
                      <a:noFill/>
                    </a:ln>
                  </pic:spPr>
                </pic:pic>
              </a:graphicData>
            </a:graphic>
          </wp:inline>
        </w:drawing>
      </w:r>
    </w:p>
    <w:p>
      <w:pPr>
        <w:spacing w:line="360" w:lineRule="auto"/>
        <w:rPr>
          <w:rFonts w:ascii="Times New Roman" w:hAnsi="Times New Roman" w:cs="Times New Roman"/>
          <w:color w:val="000000"/>
        </w:rPr>
      </w:pPr>
      <w:r>
        <w:rPr>
          <w:rFonts w:ascii="Times New Roman" w:hAnsi="Times New Roman" w:cs="Times New Roman" w:hint="eastAsia"/>
          <w:b/>
        </w:rPr>
        <w:t>Supplementary</w:t>
      </w:r>
      <w:r>
        <w:rPr>
          <w:rFonts w:ascii="Times New Roman" w:hAnsi="Times New Roman" w:cs="Times New Roman"/>
          <w:b/>
        </w:rPr>
        <w:t xml:space="preserve"> Fig</w:t>
      </w:r>
      <w:r>
        <w:rPr>
          <w:rFonts w:ascii="Times New Roman" w:hAnsi="Times New Roman" w:cs="Times New Roman" w:hint="eastAsia"/>
          <w:b/>
        </w:rPr>
        <w:t>ure</w:t>
      </w:r>
      <w:r>
        <w:rPr>
          <w:rFonts w:ascii="Times New Roman" w:hAnsi="Times New Roman" w:cs="Times New Roman"/>
          <w:b/>
        </w:rPr>
        <w:t xml:space="preserve"> 1. </w:t>
      </w:r>
      <w:r>
        <w:rPr>
          <w:rFonts w:ascii="Times New Roman" w:hAnsi="Times New Roman" w:cs="Times New Roman"/>
          <w:color w:val="000000"/>
        </w:rPr>
        <w:t>Simplified diagram of the biosynthetic pathway through which indole-3-acetic acid (IAA) is derived from L-tryptophan in (</w:t>
      </w:r>
      <w:r>
        <w:rPr>
          <w:rFonts w:ascii="Times New Roman" w:hAnsi="Times New Roman" w:cs="Times New Roman"/>
          <w:color w:val="000000"/>
        </w:rPr>
        <w:t>a</w:t>
      </w:r>
      <w:r>
        <w:rPr>
          <w:rFonts w:ascii="Times New Roman" w:hAnsi="Times New Roman" w:cs="Times New Roman"/>
          <w:color w:val="000000"/>
        </w:rPr>
        <w:t>) plants and (</w:t>
      </w:r>
      <w:r>
        <w:rPr>
          <w:rFonts w:ascii="Times New Roman" w:hAnsi="Times New Roman" w:cs="Times New Roman"/>
          <w:color w:val="000000"/>
        </w:rPr>
        <w:t>b</w:t>
      </w:r>
      <w:r>
        <w:rPr>
          <w:rFonts w:ascii="Times New Roman" w:hAnsi="Times New Roman" w:cs="Times New Roman"/>
          <w:color w:val="000000"/>
        </w:rPr>
        <w:t xml:space="preserve">) bacteria. Each pathway illustrates the enzymatic conversions leading to the production of IAA, with intermediate compounds shown. AAO1, </w:t>
      </w:r>
      <w:r>
        <w:rPr>
          <w:rFonts w:ascii="Times New Roman" w:hAnsi="Times New Roman" w:cs="Times New Roman"/>
          <w:i/>
          <w:iCs/>
          <w:color w:val="000000"/>
        </w:rPr>
        <w:t>Arabidopsis</w:t>
      </w:r>
      <w:r>
        <w:rPr>
          <w:rFonts w:ascii="Times New Roman" w:hAnsi="Times New Roman" w:cs="Times New Roman"/>
          <w:color w:val="000000"/>
        </w:rPr>
        <w:t xml:space="preserve"> aldehyde oxidase; AMI1, amidase 1; IAAld, indole-3-acetaldehyde; IAM, indole-3-acetamide; IAN, indole-3-ac</w:t>
      </w:r>
      <w:r>
        <w:rPr>
          <w:rFonts w:ascii="Times New Roman" w:hAnsi="Times New Roman" w:cs="Times New Roman"/>
          <w:color w:val="000000"/>
        </w:rPr>
        <w:t xml:space="preserve">etonitrile; IAOX, indole-3-acetaldoxime; IPA, indole-3-pyruvic acid; TAA1, tryptophan aminotransferase of </w:t>
      </w:r>
      <w:r>
        <w:rPr>
          <w:rFonts w:ascii="Times New Roman" w:hAnsi="Times New Roman" w:cs="Times New Roman"/>
          <w:i/>
          <w:iCs/>
          <w:color w:val="000000"/>
        </w:rPr>
        <w:t>Arabidopsis</w:t>
      </w:r>
      <w:r>
        <w:rPr>
          <w:rFonts w:ascii="Times New Roman" w:hAnsi="Times New Roman" w:cs="Times New Roman"/>
          <w:color w:val="000000"/>
        </w:rPr>
        <w:t xml:space="preserve"> 1; TAM, tryptamine;  TAR1, tryptophan aminotransferase–related protein 1; TIR2, transport inhibitor response 2; TOL; indole-3-ethanol; TSO</w:t>
      </w:r>
      <w:r>
        <w:rPr>
          <w:rFonts w:ascii="Times New Roman" w:hAnsi="Times New Roman" w:cs="Times New Roman"/>
          <w:color w:val="000000"/>
        </w:rPr>
        <w:t>, tryptophan side-chain oxidase; YUC, YUCCA.</w:t>
      </w:r>
    </w:p>
    <w:p>
      <w:pPr>
        <w:jc w:val="center"/>
        <w:spacing w:line="360" w:lineRule="auto"/>
        <w:rPr>
          <w:rFonts w:ascii="Times New Roman" w:hAnsi="Times New Roman" w:cs="Times New Roman"/>
          <w:b/>
        </w:rPr>
      </w:pPr>
      <w:r>
        <w:rPr>
          <w:rFonts w:ascii="Times New Roman" w:hAnsi="Times New Roman" w:cs="Times New Roman"/>
          <w:b/>
          <w:noProof/>
        </w:rPr>
        <w:drawing>
          <wp:inline distT="0" distB="0" distL="0" distR="0">
            <wp:extent cx="3593147" cy="4338263"/>
            <wp:effectExtent l="0" t="0" r="0" b="0"/>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3593147" cy="4338263"/>
                    </a:xfrm>
                    <a:prstGeom prst="rect"/>
                    <a:noFill/>
                    <a:ln>
                      <a:noFill/>
                    </a:ln>
                  </pic:spPr>
                </pic:pic>
              </a:graphicData>
            </a:graphic>
          </wp:inline>
        </w:drawing>
      </w:r>
    </w:p>
    <w:p>
      <w:pPr>
        <w:spacing w:line="360" w:lineRule="auto"/>
        <w:rPr>
          <w:rFonts w:ascii="Times New Roman" w:hAnsi="Times New Roman" w:cs="Times New Roman"/>
        </w:rPr>
      </w:pPr>
      <w:r>
        <w:rPr>
          <w:rFonts w:ascii="Times New Roman" w:hAnsi="Times New Roman" w:cs="Times New Roman" w:hint="eastAsia"/>
          <w:b/>
        </w:rPr>
        <w:t>Supplementary</w:t>
      </w:r>
      <w:r>
        <w:rPr>
          <w:rFonts w:ascii="Times New Roman" w:hAnsi="Times New Roman" w:cs="Times New Roman"/>
          <w:b/>
        </w:rPr>
        <w:t xml:space="preserve"> Fig</w:t>
      </w:r>
      <w:r>
        <w:rPr>
          <w:rFonts w:ascii="Times New Roman" w:hAnsi="Times New Roman" w:cs="Times New Roman" w:hint="eastAsia"/>
          <w:b/>
        </w:rPr>
        <w:t>ure</w:t>
      </w:r>
      <w:r>
        <w:rPr>
          <w:rFonts w:ascii="Times New Roman" w:hAnsi="Times New Roman" w:cs="Times New Roman"/>
          <w:b/>
        </w:rPr>
        <w:t xml:space="preserve"> </w:t>
      </w:r>
      <w:r>
        <w:rPr>
          <w:rFonts w:ascii="Times New Roman" w:hAnsi="Times New Roman" w:cs="Times New Roman" w:hint="eastAsia"/>
          <w:b/>
        </w:rPr>
        <w:t>2</w:t>
      </w:r>
      <w:r>
        <w:rPr>
          <w:rFonts w:ascii="Times New Roman" w:hAnsi="Times New Roman" w:cs="Times New Roman"/>
          <w:b/>
        </w:rPr>
        <w:t xml:space="preserve">. </w:t>
      </w:r>
      <w:r>
        <w:rPr>
          <w:rFonts w:ascii="Times New Roman" w:hAnsi="Times New Roman" w:cs="Times New Roman"/>
        </w:rPr>
        <w:t>Workflow of ONT sequencing. The process begins with quality control, during which raw data quality is assessed, and low-quality sequences are trimmed based on quality thresholds. During</w:t>
      </w:r>
      <w:r>
        <w:rPr>
          <w:rFonts w:ascii="Times New Roman" w:hAnsi="Times New Roman" w:cs="Times New Roman"/>
        </w:rPr>
        <w:t xml:space="preserve"> the demultiplexing step, adapters are identified and removed, and genome size estimation is performed. The assembly stage involves the </w:t>
      </w:r>
      <w:r>
        <w:rPr>
          <w:rFonts w:ascii="Times New Roman" w:hAnsi="Times New Roman" w:cs="Times New Roman"/>
          <w:i/>
          <w:iCs/>
        </w:rPr>
        <w:t>de novo</w:t>
      </w:r>
      <w:r>
        <w:rPr>
          <w:rFonts w:ascii="Times New Roman" w:hAnsi="Times New Roman" w:cs="Times New Roman"/>
        </w:rPr>
        <w:t xml:space="preserve"> assembly of processed reads. Assembly validation includes taxonomic classification with Kraken2, error correctio</w:t>
      </w:r>
      <w:r>
        <w:rPr>
          <w:rFonts w:ascii="Times New Roman" w:hAnsi="Times New Roman" w:cs="Times New Roman"/>
        </w:rPr>
        <w:t>n with Homopolish, and completeness assessment with BUSCO analysis. Finally, genome annotation identifies gene positions and annotates bacterial genomes. Each step ensures the integrity and accuracy of the genomic assembly and annotation.</w:t>
      </w:r>
    </w:p>
    <w:p>
      <w:pPr>
        <w:autoSpaceDE/>
        <w:autoSpaceDN/>
        <w:widowControl/>
        <w:wordWrap/>
        <w:rPr>
          <w:rFonts w:ascii="Times New Roman" w:hAnsi="Times New Roman" w:cs="Times New Roman"/>
        </w:rPr>
      </w:pPr>
      <w:r>
        <w:rPr>
          <w:rFonts w:ascii="Times New Roman" w:hAnsi="Times New Roman" w:cs="Times New Roman"/>
        </w:rPr>
        <w:br w:type="page"/>
      </w:r>
    </w:p>
    <w:p>
      <w:pPr>
        <w:spacing w:line="360" w:lineRule="auto"/>
        <w:rPr>
          <w:rFonts w:ascii="Times New Roman" w:hAnsi="Times New Roman" w:cs="Times New Roman"/>
        </w:rPr>
      </w:pPr>
      <w:r>
        <w:rPr>
          <w:noProof/>
        </w:rPr>
        <w:drawing>
          <wp:inline distT="0" distB="0" distL="0" distR="0">
            <wp:extent cx="5731510" cy="4817310"/>
            <wp:effectExtent l="0" t="0" r="0" b="0"/>
            <wp:docPr id="1027" name="shape102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3">
                      <a:extLst>
                        <a:ext uri="{28A0092B-C50C-407E-A947-70E740481C1C}">
                          <a14:useLocalDpi xmlns:a14="http://schemas.microsoft.com/office/drawing/2010/main" val="0"/>
                        </a:ext>
                      </a:extLst>
                    </a:blip>
                    <a:srcRect/>
                    <a:stretch>
                      <a:fillRect/>
                    </a:stretch>
                  </pic:blipFill>
                  <pic:spPr>
                    <a:xfrm>
                      <a:off x="0" y="0"/>
                      <a:ext cx="5731510" cy="4817310"/>
                    </a:xfrm>
                    <a:prstGeom prst="rect"/>
                    <a:noFill/>
                    <a:ln>
                      <a:noFill/>
                    </a:ln>
                  </pic:spPr>
                </pic:pic>
              </a:graphicData>
            </a:graphic>
          </wp:inline>
        </w:drawing>
      </w:r>
    </w:p>
    <w:p>
      <w:pPr>
        <w:spacing w:line="360" w:lineRule="auto"/>
        <w:rPr>
          <w:rFonts w:ascii="Times New Roman" w:hAnsi="Times New Roman" w:cs="Times New Roman"/>
        </w:rPr>
      </w:pPr>
      <w:r>
        <w:rPr>
          <w:rFonts w:ascii="Times New Roman" w:hAnsi="Times New Roman" w:cs="Times New Roman" w:hint="eastAsia"/>
          <w:b/>
        </w:rPr>
        <w:t>Supplementary</w:t>
      </w:r>
      <w:r>
        <w:rPr>
          <w:rFonts w:ascii="Times New Roman" w:hAnsi="Times New Roman" w:cs="Times New Roman"/>
          <w:b/>
        </w:rPr>
        <w:t xml:space="preserve"> Fig</w:t>
      </w:r>
      <w:r>
        <w:rPr>
          <w:rFonts w:ascii="Times New Roman" w:hAnsi="Times New Roman" w:cs="Times New Roman" w:hint="eastAsia"/>
          <w:b/>
        </w:rPr>
        <w:t>ure</w:t>
      </w:r>
      <w:r>
        <w:rPr>
          <w:rFonts w:ascii="Times New Roman" w:hAnsi="Times New Roman" w:cs="Times New Roman"/>
          <w:b/>
        </w:rPr>
        <w:t xml:space="preserve"> </w:t>
      </w:r>
      <w:r>
        <w:rPr>
          <w:rFonts w:ascii="Times New Roman" w:hAnsi="Times New Roman" w:cs="Times New Roman"/>
          <w:b/>
        </w:rPr>
        <w:t>3</w:t>
      </w:r>
      <w:r>
        <w:rPr>
          <w:rFonts w:ascii="Times New Roman" w:hAnsi="Times New Roman" w:cs="Times New Roman"/>
          <w:b/>
        </w:rPr>
        <w:t xml:space="preserve">. </w:t>
      </w:r>
      <w:r>
        <w:rPr>
          <w:rFonts w:ascii="Times New Roman" w:hAnsi="Times New Roman" w:cs="Times New Roman"/>
        </w:rPr>
        <w:t xml:space="preserve">Comparative genomic analyses of </w:t>
      </w:r>
      <w:r>
        <w:rPr>
          <w:rFonts w:ascii="Times New Roman" w:hAnsi="Times New Roman" w:cs="Times New Roman"/>
          <w:i/>
        </w:rPr>
        <w:t>P</w:t>
      </w:r>
      <w:r>
        <w:rPr>
          <w:lang w:eastAsia="ko-KR"/>
          <w:rFonts w:ascii="Times New Roman" w:hAnsi="Times New Roman" w:cs="Times New Roman"/>
          <w:i/>
          <w:rtl w:val="off"/>
        </w:rPr>
        <w:t>seudomonas</w:t>
      </w:r>
      <w:r>
        <w:rPr>
          <w:lang w:eastAsia="ko-KR"/>
          <w:rFonts w:ascii="Times New Roman" w:hAnsi="Times New Roman" w:cs="Times New Roman"/>
          <w:i w:val="0"/>
          <w:rtl w:val="off"/>
        </w:rPr>
        <w:t xml:space="preserve"> sp</w:t>
      </w:r>
      <w:r>
        <w:rPr>
          <w:rFonts w:ascii="Times New Roman" w:hAnsi="Times New Roman" w:cs="Times New Roman"/>
        </w:rPr>
        <w:t xml:space="preserve">. A-2 and related </w:t>
      </w:r>
      <w:r>
        <w:rPr>
          <w:rFonts w:ascii="Times New Roman" w:hAnsi="Times New Roman" w:cs="Times New Roman"/>
          <w:i/>
        </w:rPr>
        <w:t>Pseudomonas</w:t>
      </w:r>
      <w:r>
        <w:rPr>
          <w:rFonts w:ascii="Times New Roman" w:hAnsi="Times New Roman" w:cs="Times New Roman"/>
        </w:rPr>
        <w:t xml:space="preserve"> species.</w:t>
      </w:r>
      <w:r>
        <w:rPr>
          <w:rFonts w:ascii="Times New Roman" w:hAnsi="Times New Roman" w:cs="Times New Roman"/>
        </w:rPr>
        <w:t xml:space="preserve"> </w:t>
      </w:r>
      <w:r>
        <w:rPr>
          <w:rFonts w:ascii="Times New Roman" w:hAnsi="Times New Roman" w:cs="Times New Roman"/>
        </w:rPr>
        <w:t xml:space="preserve">(a) Average Nucleotide Identity (ANI) heatmap and hierarchical clustering of </w:t>
      </w:r>
      <w:r>
        <w:rPr>
          <w:lang w:eastAsia="ko-KR"/>
          <w:rFonts w:ascii="Times New Roman" w:hAnsi="Times New Roman" w:cs="Times New Roman"/>
          <w:rtl w:val="off"/>
        </w:rPr>
        <w:t xml:space="preserve">the </w:t>
      </w:r>
      <w:r>
        <w:rPr>
          <w:rFonts w:ascii="Times New Roman" w:hAnsi="Times New Roman" w:cs="Times New Roman"/>
        </w:rPr>
        <w:t>A-2</w:t>
      </w:r>
      <w:r>
        <w:rPr>
          <w:lang w:eastAsia="ko-KR"/>
          <w:rFonts w:ascii="Times New Roman" w:hAnsi="Times New Roman" w:cs="Times New Roman"/>
          <w:rtl w:val="off"/>
        </w:rPr>
        <w:t xml:space="preserve"> strain</w:t>
      </w:r>
      <w:r>
        <w:rPr>
          <w:rFonts w:ascii="Times New Roman" w:hAnsi="Times New Roman" w:cs="Times New Roman"/>
        </w:rPr>
        <w:t xml:space="preserve"> and ten phylogenetically related </w:t>
      </w:r>
      <w:r>
        <w:rPr>
          <w:rFonts w:ascii="Times New Roman" w:hAnsi="Times New Roman" w:cs="Times New Roman"/>
          <w:i/>
        </w:rPr>
        <w:t>Pseudomonas</w:t>
      </w:r>
      <w:r>
        <w:rPr>
          <w:rFonts w:ascii="Times New Roman" w:hAnsi="Times New Roman" w:cs="Times New Roman"/>
        </w:rPr>
        <w:t xml:space="preserve"> strains. </w:t>
      </w:r>
      <w:r>
        <w:rPr>
          <w:rFonts w:ascii="Times New Roman" w:hAnsi="Times New Roman" w:cs="Times New Roman"/>
        </w:rPr>
        <w:t xml:space="preserve">(b) Genome-to-Genome Distance Calculator (GGDC), shown as a heatmap and hierarchical tree. </w:t>
      </w:r>
      <w:r>
        <w:rPr>
          <w:lang w:eastAsia="ko-KR"/>
          <w:rFonts w:ascii="Times New Roman" w:hAnsi="Times New Roman" w:cs="Times New Roman"/>
          <w:rtl w:val="off"/>
        </w:rPr>
        <w:t xml:space="preserve">Both ANI and GGDC analyses were performed using the Orthologous Average Nucleotde Identity tool (OAT, standalone version). </w:t>
      </w:r>
      <w:r>
        <w:rPr>
          <w:rFonts w:ascii="Times New Roman" w:hAnsi="Times New Roman" w:cs="Times New Roman"/>
        </w:rPr>
        <w:t xml:space="preserve">(c) </w:t>
      </w:r>
      <w:r>
        <w:rPr>
          <w:lang w:eastAsia="ko-KR"/>
          <w:rFonts w:ascii="Times New Roman" w:hAnsi="Times New Roman" w:cs="Times New Roman"/>
          <w:rtl w:val="off"/>
        </w:rPr>
        <w:t>Average Amino Identity (AAI)</w:t>
      </w:r>
      <w:r>
        <w:rPr>
          <w:rFonts w:ascii="Times New Roman" w:hAnsi="Times New Roman" w:cs="Times New Roman"/>
        </w:rPr>
        <w:t xml:space="preserve"> based on gene presence/absence profiles among the </w:t>
      </w:r>
      <w:r>
        <w:rPr>
          <w:rFonts w:ascii="Times New Roman" w:hAnsi="Times New Roman" w:cs="Times New Roman"/>
        </w:rPr>
        <w:t>analy</w:t>
      </w:r>
      <w:r>
        <w:rPr>
          <w:rFonts w:ascii="Times New Roman" w:hAnsi="Times New Roman" w:cs="Times New Roman"/>
        </w:rPr>
        <w:t>s</w:t>
      </w:r>
      <w:r>
        <w:rPr>
          <w:rFonts w:ascii="Times New Roman" w:hAnsi="Times New Roman" w:cs="Times New Roman"/>
        </w:rPr>
        <w:t>ed</w:t>
      </w:r>
      <w:r>
        <w:rPr>
          <w:rFonts w:ascii="Times New Roman" w:hAnsi="Times New Roman" w:cs="Times New Roman"/>
        </w:rPr>
        <w:t xml:space="preserve"> </w:t>
      </w:r>
      <w:r>
        <w:rPr>
          <w:rFonts w:ascii="Times New Roman" w:hAnsi="Times New Roman" w:cs="Times New Roman"/>
          <w:i/>
        </w:rPr>
        <w:t>Pseudomonas</w:t>
      </w:r>
      <w:r>
        <w:rPr>
          <w:rFonts w:ascii="Times New Roman" w:hAnsi="Times New Roman" w:cs="Times New Roman"/>
        </w:rPr>
        <w:t xml:space="preserve"> genomes</w:t>
      </w:r>
      <w:r>
        <w:rPr>
          <w:lang w:eastAsia="ko-KR"/>
          <w:rFonts w:ascii="Times New Roman" w:hAnsi="Times New Roman" w:cs="Times New Roman"/>
          <w:rtl w:val="off"/>
        </w:rPr>
        <w:t>, calculated using ezAAI v1.2.3.</w:t>
      </w:r>
      <w:r>
        <w:rPr>
          <w:rFonts w:ascii="Times New Roman" w:hAnsi="Times New Roman" w:cs="Times New Roman"/>
        </w:rPr>
        <w:t xml:space="preserve"> </w:t>
      </w:r>
      <w:r>
        <w:rPr>
          <w:rFonts w:ascii="Times New Roman" w:hAnsi="Times New Roman" w:cs="Times New Roman"/>
        </w:rPr>
        <w:t xml:space="preserve">(d) Pairwise </w:t>
      </w:r>
      <w:r>
        <w:rPr>
          <w:rFonts w:ascii="Times New Roman" w:hAnsi="Times New Roman" w:cs="Times New Roman"/>
        </w:rPr>
        <w:t>dDDH</w:t>
      </w:r>
      <w:r>
        <w:rPr>
          <w:rFonts w:ascii="Times New Roman" w:hAnsi="Times New Roman" w:cs="Times New Roman"/>
        </w:rPr>
        <w:t xml:space="preserve"> similarity heatmap among the </w:t>
      </w:r>
      <w:r>
        <w:rPr>
          <w:rFonts w:ascii="Times New Roman" w:hAnsi="Times New Roman" w:cs="Times New Roman"/>
        </w:rPr>
        <w:t>analy</w:t>
      </w:r>
      <w:r>
        <w:rPr>
          <w:rFonts w:ascii="Times New Roman" w:hAnsi="Times New Roman" w:cs="Times New Roman"/>
        </w:rPr>
        <w:t>s</w:t>
      </w:r>
      <w:r>
        <w:rPr>
          <w:rFonts w:ascii="Times New Roman" w:hAnsi="Times New Roman" w:cs="Times New Roman"/>
        </w:rPr>
        <w:t>ed</w:t>
      </w:r>
      <w:r>
        <w:rPr>
          <w:rFonts w:ascii="Times New Roman" w:hAnsi="Times New Roman" w:cs="Times New Roman"/>
        </w:rPr>
        <w:t xml:space="preserve"> genomes</w:t>
      </w:r>
      <w:r>
        <w:rPr>
          <w:lang w:eastAsia="ko-KR"/>
          <w:rFonts w:ascii="Times New Roman" w:hAnsi="Times New Roman" w:cs="Times New Roman"/>
          <w:rtl w:val="off"/>
        </w:rPr>
        <w:t>, generated using GGDC v3.0.</w:t>
      </w:r>
      <w:r>
        <w:rPr>
          <w:rFonts w:ascii="Times New Roman" w:hAnsi="Times New Roman" w:cs="Times New Roman"/>
        </w:rPr>
        <w:t xml:space="preserve"> </w:t>
      </w:r>
      <w:r>
        <w:rPr>
          <w:rFonts w:ascii="Times New Roman" w:hAnsi="Times New Roman" w:cs="Times New Roman"/>
        </w:rPr>
        <w:t xml:space="preserve">Core genome and </w:t>
      </w:r>
      <w:r>
        <w:rPr>
          <w:rFonts w:ascii="Times New Roman" w:hAnsi="Times New Roman" w:cs="Times New Roman"/>
        </w:rPr>
        <w:t>dDDH</w:t>
      </w:r>
      <w:r>
        <w:rPr>
          <w:rFonts w:ascii="Times New Roman" w:hAnsi="Times New Roman" w:cs="Times New Roman"/>
        </w:rPr>
        <w:t xml:space="preserve"> analyses further highlight the unique genomic profile of </w:t>
      </w:r>
      <w:r>
        <w:rPr>
          <w:lang w:eastAsia="ko-KR"/>
          <w:rFonts w:ascii="Times New Roman" w:hAnsi="Times New Roman" w:cs="Times New Roman"/>
          <w:rtl w:val="off"/>
        </w:rPr>
        <w:t xml:space="preserve">the </w:t>
      </w:r>
      <w:r>
        <w:rPr>
          <w:rFonts w:ascii="Times New Roman" w:hAnsi="Times New Roman" w:cs="Times New Roman"/>
        </w:rPr>
        <w:t>A-2</w:t>
      </w:r>
      <w:r>
        <w:rPr>
          <w:lang w:eastAsia="ko-KR"/>
          <w:rFonts w:ascii="Times New Roman" w:hAnsi="Times New Roman" w:cs="Times New Roman"/>
          <w:rtl w:val="off"/>
        </w:rPr>
        <w:t xml:space="preserve"> strain </w:t>
      </w:r>
      <w:r>
        <w:rPr>
          <w:rFonts w:ascii="Times New Roman" w:hAnsi="Times New Roman" w:cs="Times New Roman"/>
        </w:rPr>
        <w:t>within the genus.</w:t>
      </w:r>
    </w:p>
    <w:p>
      <w:pPr>
        <w:autoSpaceDE/>
        <w:autoSpaceDN/>
        <w:widowControl/>
        <w:wordWrap/>
        <w:rPr>
          <w:rFonts w:ascii="Times New Roman" w:hAnsi="Times New Roman" w:cs="Times New Roman"/>
        </w:rPr>
      </w:pPr>
    </w:p>
    <w:p>
      <w:pPr>
        <w:spacing w:line="360" w:lineRule="auto"/>
        <w:rPr>
          <w:rFonts w:ascii="Times New Roman" w:hAnsi="Times New Roman" w:cs="Times New Roman"/>
          <w:b/>
        </w:rPr>
      </w:pPr>
      <w:r>
        <w:rPr>
          <w:rFonts w:ascii="Times New Roman" w:hAnsi="Times New Roman" w:cs="Times New Roman"/>
          <w:b/>
          <w:noProof/>
        </w:rPr>
        <w:drawing>
          <wp:inline distT="0" distB="0" distL="0" distR="0">
            <wp:extent cx="5778557" cy="3454921"/>
            <wp:effectExtent l="0" t="0" r="0" b="0"/>
            <wp:docPr id="1028" name="shape102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4">
                      <a:extLst>
                        <a:ext uri="{28A0092B-C50C-407E-A947-70E740481C1C}">
                          <a14:useLocalDpi xmlns:a14="http://schemas.microsoft.com/office/drawing/2010/main" val="0"/>
                        </a:ext>
                      </a:extLst>
                    </a:blip>
                    <a:srcRect/>
                    <a:stretch>
                      <a:fillRect/>
                    </a:stretch>
                  </pic:blipFill>
                  <pic:spPr>
                    <a:xfrm>
                      <a:off x="0" y="0"/>
                      <a:ext cx="5778557" cy="3454921"/>
                    </a:xfrm>
                    <a:prstGeom prst="rect"/>
                    <a:noFill/>
                    <a:ln>
                      <a:noFill/>
                    </a:ln>
                  </pic:spPr>
                </pic:pic>
              </a:graphicData>
            </a:graphic>
          </wp:inline>
        </w:drawing>
      </w:r>
    </w:p>
    <w:p>
      <w:pPr>
        <w:spacing w:line="360" w:lineRule="auto"/>
        <w:rPr>
          <w:rFonts w:ascii="Times New Roman" w:hAnsi="Times New Roman" w:cs="Times New Roman"/>
          <w:b/>
        </w:rPr>
      </w:pPr>
      <w:r>
        <w:rPr>
          <w:rFonts w:ascii="Times New Roman" w:hAnsi="Times New Roman" w:cs="Times New Roman"/>
          <w:b/>
        </w:rPr>
        <w:t xml:space="preserve">Supplementary Figure </w:t>
      </w:r>
      <w:r>
        <w:rPr>
          <w:rFonts w:ascii="Times New Roman" w:hAnsi="Times New Roman" w:cs="Times New Roman"/>
          <w:b/>
        </w:rPr>
        <w:t>4</w:t>
      </w:r>
      <w:r>
        <w:rPr>
          <w:rFonts w:ascii="Times New Roman" w:hAnsi="Times New Roman" w:cs="Times New Roman"/>
          <w:b/>
        </w:rPr>
        <w:t xml:space="preserve">. </w:t>
      </w:r>
      <w:r>
        <w:rPr>
          <w:rFonts w:ascii="Times New Roman" w:hAnsi="Times New Roman" w:cs="Times New Roman"/>
          <w:color w:val="000000"/>
          <w:kern w:val="24"/>
        </w:rPr>
        <w:t>EggNOG</w:t>
      </w:r>
      <w:r>
        <w:rPr>
          <w:rFonts w:ascii="Times New Roman" w:hAnsi="Times New Roman" w:cs="Times New Roman"/>
          <w:color w:val="000000"/>
          <w:kern w:val="24"/>
        </w:rPr>
        <w:t xml:space="preserve"> category distribution of functional annotation results for </w:t>
      </w:r>
      <w:r>
        <w:rPr>
          <w:rFonts w:ascii="Times New Roman" w:hAnsi="Times New Roman" w:cs="Times New Roman"/>
          <w:i/>
        </w:rPr>
        <w:t>P</w:t>
      </w:r>
      <w:r>
        <w:rPr>
          <w:lang w:eastAsia="ko-KR"/>
          <w:rFonts w:ascii="Times New Roman" w:hAnsi="Times New Roman" w:cs="Times New Roman"/>
          <w:i/>
          <w:rtl w:val="off"/>
        </w:rPr>
        <w:t>seudomonas</w:t>
      </w:r>
      <w:r>
        <w:rPr>
          <w:lang w:eastAsia="ko-KR"/>
          <w:rFonts w:ascii="Times New Roman" w:hAnsi="Times New Roman" w:cs="Times New Roman"/>
          <w:i w:val="0"/>
          <w:rtl w:val="off"/>
        </w:rPr>
        <w:t xml:space="preserve"> sp</w:t>
      </w:r>
      <w:r>
        <w:rPr>
          <w:rFonts w:ascii="Times New Roman" w:hAnsi="Times New Roman" w:cs="Times New Roman"/>
        </w:rPr>
        <w:t>. A-2</w:t>
      </w:r>
      <w:r>
        <w:rPr>
          <w:rFonts w:ascii="Times New Roman" w:hAnsi="Times New Roman" w:cs="Times New Roman"/>
          <w:color w:val="000000"/>
          <w:kern w:val="24"/>
        </w:rPr>
        <w:t>. The X-axis represents the 23 different EggNOG functional categories, and the Y-axis shows the proportion of unigenes associated with each categor</w:t>
      </w:r>
      <w:r>
        <w:rPr>
          <w:rFonts w:ascii="Times New Roman" w:hAnsi="Times New Roman" w:cs="Times New Roman"/>
          <w:color w:val="000000"/>
          <w:kern w:val="24"/>
        </w:rPr>
        <w:t>y.</w:t>
      </w:r>
      <w:r>
        <w:rPr>
          <w:rFonts w:ascii="Times New Roman" w:hAnsi="Times New Roman" w:cs="Times New Roman"/>
          <w:b/>
        </w:rPr>
        <w:br w:type="page"/>
      </w:r>
    </w:p>
    <w:p>
      <w:pPr>
        <w:jc w:val="center"/>
        <w:spacing w:line="360" w:lineRule="auto"/>
        <w:rPr>
          <w:rFonts w:ascii="Times New Roman" w:hAnsi="Times New Roman" w:cs="Times New Roman"/>
          <w:b/>
        </w:rPr>
      </w:pPr>
      <w:r>
        <w:rPr>
          <w:noProof/>
        </w:rPr>
        <w:drawing>
          <wp:inline distT="0" distB="0" distL="0" distR="0">
            <wp:extent cx="3323992" cy="2594859"/>
            <wp:effectExtent l="0" t="0" r="0" b="0"/>
            <wp:docPr id="1029" name="shape102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5">
                      <a:extLst>
                        <a:ext uri="{28A0092B-C50C-407E-A947-70E740481C1C}">
                          <a14:useLocalDpi xmlns:a14="http://schemas.microsoft.com/office/drawing/2010/main" val="0"/>
                        </a:ext>
                      </a:extLst>
                    </a:blip>
                    <a:srcRect/>
                    <a:stretch>
                      <a:fillRect/>
                    </a:stretch>
                  </pic:blipFill>
                  <pic:spPr>
                    <a:xfrm>
                      <a:off x="0" y="0"/>
                      <a:ext cx="3323992" cy="2594859"/>
                    </a:xfrm>
                    <a:prstGeom prst="rect"/>
                    <a:noFill/>
                    <a:ln>
                      <a:noFill/>
                    </a:ln>
                  </pic:spPr>
                </pic:pic>
              </a:graphicData>
            </a:graphic>
          </wp:inline>
        </w:drawing>
      </w:r>
    </w:p>
    <w:p>
      <w:pPr>
        <w:spacing w:line="360" w:lineRule="auto"/>
        <w:rPr>
          <w:rFonts w:ascii="Times New Roman" w:hAnsi="Times New Roman" w:cs="Times New Roman" w:hint="eastAsia"/>
          <w:color w:val="000000"/>
        </w:rPr>
      </w:pPr>
      <w:r>
        <w:rPr>
          <w:rFonts w:ascii="Times New Roman" w:hAnsi="Times New Roman" w:cs="Times New Roman"/>
          <w:b/>
        </w:rPr>
        <w:t xml:space="preserve">Supplementary Figure </w:t>
      </w:r>
      <w:r>
        <w:rPr>
          <w:rFonts w:ascii="Times New Roman" w:hAnsi="Times New Roman" w:cs="Times New Roman"/>
          <w:b/>
        </w:rPr>
        <w:t>5</w:t>
      </w:r>
      <w:r>
        <w:rPr>
          <w:rFonts w:ascii="Times New Roman" w:hAnsi="Times New Roman" w:cs="Times New Roman"/>
          <w:b/>
        </w:rPr>
        <w:t xml:space="preserve">. </w:t>
      </w:r>
      <w:r>
        <w:rPr>
          <w:rFonts w:ascii="Times New Roman" w:hAnsi="Times New Roman" w:cs="Times New Roman"/>
          <w:color w:val="000000"/>
        </w:rPr>
        <w:t xml:space="preserve">Photographic representation of the synthetic IAA concentration standard and the production of IAA by </w:t>
      </w:r>
      <w:r>
        <w:rPr>
          <w:rFonts w:ascii="Times New Roman" w:hAnsi="Times New Roman" w:cs="Times New Roman"/>
          <w:i/>
        </w:rPr>
        <w:t>P</w:t>
      </w:r>
      <w:r>
        <w:rPr>
          <w:lang w:eastAsia="ko-KR"/>
          <w:rFonts w:ascii="Times New Roman" w:hAnsi="Times New Roman" w:cs="Times New Roman"/>
          <w:i/>
          <w:rtl w:val="off"/>
        </w:rPr>
        <w:t>seudomonas</w:t>
      </w:r>
      <w:r>
        <w:rPr>
          <w:lang w:eastAsia="ko-KR"/>
          <w:rFonts w:ascii="Times New Roman" w:hAnsi="Times New Roman" w:cs="Times New Roman"/>
          <w:i w:val="0"/>
          <w:rtl w:val="off"/>
        </w:rPr>
        <w:t xml:space="preserve"> sp</w:t>
      </w:r>
      <w:r>
        <w:rPr>
          <w:rFonts w:ascii="Times New Roman" w:hAnsi="Times New Roman" w:cs="Times New Roman"/>
        </w:rPr>
        <w:t>. A-2</w:t>
      </w:r>
      <w:r>
        <w:rPr>
          <w:rFonts w:ascii="Times New Roman" w:hAnsi="Times New Roman" w:cs="Times New Roman"/>
          <w:color w:val="000000"/>
        </w:rPr>
        <w:t xml:space="preserve"> in the presence of tryptophan (100 mg/mL), as visualized with Salkowski’s reagent. (</w:t>
      </w:r>
      <w:r>
        <w:rPr>
          <w:rFonts w:ascii="Times New Roman" w:hAnsi="Times New Roman" w:cs="Times New Roman"/>
          <w:color w:val="000000"/>
        </w:rPr>
        <w:t>a</w:t>
      </w:r>
      <w:r>
        <w:rPr>
          <w:rFonts w:ascii="Times New Roman" w:hAnsi="Times New Roman" w:cs="Times New Roman"/>
          <w:color w:val="000000"/>
        </w:rPr>
        <w:t>) Synthetic IAA solutions</w:t>
      </w:r>
      <w:r>
        <w:rPr>
          <w:rFonts w:ascii="Times New Roman" w:hAnsi="Times New Roman" w:cs="Times New Roman"/>
          <w:color w:val="000000"/>
        </w:rPr>
        <w:t xml:space="preserve"> were prepared at concentrations of 1, 25, 50, 100, and 200 mg/L. Upon the addition of Salkowski’s reagent, the presence of IAA is indicated by the development of a pink color, which intensifies with increasing IAA concentrations. (</w:t>
      </w:r>
      <w:r>
        <w:rPr>
          <w:rFonts w:ascii="Times New Roman" w:hAnsi="Times New Roman" w:cs="Times New Roman"/>
          <w:color w:val="000000"/>
        </w:rPr>
        <w:t>b</w:t>
      </w:r>
      <w:r>
        <w:rPr>
          <w:rFonts w:ascii="Times New Roman" w:hAnsi="Times New Roman" w:cs="Times New Roman"/>
          <w:color w:val="000000"/>
        </w:rPr>
        <w:t>) Comparison of a contr</w:t>
      </w:r>
      <w:r>
        <w:rPr>
          <w:rFonts w:ascii="Times New Roman" w:hAnsi="Times New Roman" w:cs="Times New Roman"/>
          <w:color w:val="000000"/>
        </w:rPr>
        <w:t>ol containing tryptophan only (C+Trp) and a sample from the A-2 strain cultured in the presence of 100 mg/mL tryptophan. The observed pink color in the A-2 sample indicates IAA production by the bacterial strain.</w:t>
      </w:r>
    </w:p>
    <w:p>
      <w:pPr>
        <w:jc w:val="center"/>
        <w:spacing w:line="360" w:lineRule="auto"/>
        <w:rPr>
          <w:rFonts w:ascii="Times New Roman" w:hAnsi="Times New Roman" w:cs="Times New Roman"/>
          <w:color w:val="000000"/>
        </w:rPr>
      </w:pPr>
      <w:r>
        <w:rPr>
          <w:noProof/>
        </w:rPr>
        <w:drawing>
          <wp:inline distT="0" distB="0" distL="0" distR="0">
            <wp:extent cx="5232482" cy="2587091"/>
            <wp:effectExtent l="0" t="0" r="0" b="0"/>
            <wp:docPr id="1030" name="shape1030"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6">
                      <a:extLst>
                        <a:ext uri="{28A0092B-C50C-407E-A947-70E740481C1C}">
                          <a14:useLocalDpi xmlns:a14="http://schemas.microsoft.com/office/drawing/2010/main" val="0"/>
                        </a:ext>
                      </a:extLst>
                    </a:blip>
                    <a:srcRect/>
                    <a:stretch>
                      <a:fillRect/>
                    </a:stretch>
                  </pic:blipFill>
                  <pic:spPr>
                    <a:xfrm>
                      <a:off x="0" y="0"/>
                      <a:ext cx="5232482" cy="2587091"/>
                    </a:xfrm>
                    <a:prstGeom prst="rect"/>
                    <a:noFill/>
                    <a:ln>
                      <a:noFill/>
                    </a:ln>
                  </pic:spPr>
                </pic:pic>
              </a:graphicData>
            </a:graphic>
          </wp:inline>
        </w:drawing>
      </w:r>
    </w:p>
    <w:p>
      <w:pPr>
        <w:spacing w:line="360" w:lineRule="auto"/>
        <w:rPr>
          <w:rFonts w:ascii="Times New Roman" w:hAnsi="Times New Roman" w:cs="Times New Roman"/>
          <w:b/>
        </w:rPr>
      </w:pPr>
      <w:r>
        <w:rPr>
          <w:rFonts w:ascii="Times New Roman" w:hAnsi="Times New Roman" w:cs="Times New Roman"/>
          <w:b/>
        </w:rPr>
        <w:t xml:space="preserve">Supplementary Figure </w:t>
      </w:r>
      <w:r>
        <w:rPr>
          <w:rFonts w:ascii="Times New Roman" w:hAnsi="Times New Roman" w:cs="Times New Roman"/>
          <w:b/>
        </w:rPr>
        <w:t>6</w:t>
      </w:r>
      <w:r>
        <w:rPr>
          <w:rFonts w:ascii="Times New Roman" w:hAnsi="Times New Roman" w:cs="Times New Roman"/>
          <w:b/>
        </w:rPr>
        <w:t xml:space="preserve">. </w:t>
      </w:r>
      <w:r>
        <w:rPr>
          <w:rFonts w:ascii="Times New Roman" w:hAnsi="Times New Roman" w:cs="Times New Roman"/>
          <w:color w:val="000000"/>
          <w:kern w:val="24"/>
        </w:rPr>
        <w:t>Ultra-performanc</w:t>
      </w:r>
      <w:r>
        <w:rPr>
          <w:rFonts w:ascii="Times New Roman" w:hAnsi="Times New Roman" w:cs="Times New Roman"/>
          <w:color w:val="000000"/>
          <w:kern w:val="24"/>
        </w:rPr>
        <w:t xml:space="preserve">e liquid chromatography–ultraviolet </w:t>
      </w:r>
      <w:r>
        <w:rPr>
          <w:rFonts w:ascii="Times New Roman" w:hAnsi="Times New Roman" w:cs="Times New Roman"/>
          <w:color w:val="000000"/>
        </w:rPr>
        <w:t>analysis of IAA extraction. (</w:t>
      </w:r>
      <w:r>
        <w:rPr>
          <w:rFonts w:ascii="Times New Roman" w:hAnsi="Times New Roman" w:cs="Times New Roman"/>
          <w:color w:val="000000"/>
        </w:rPr>
        <w:t>a</w:t>
      </w:r>
      <w:r>
        <w:rPr>
          <w:rFonts w:ascii="Times New Roman" w:hAnsi="Times New Roman" w:cs="Times New Roman"/>
          <w:color w:val="000000"/>
        </w:rPr>
        <w:t>) Chromatogram of the IAA standard (1.56 ppm) at a wavelength of 280 nm, showing a distinct peak with a retention time of approximately 5.68 minutes. (</w:t>
      </w:r>
      <w:r>
        <w:rPr>
          <w:rFonts w:ascii="Times New Roman" w:hAnsi="Times New Roman" w:cs="Times New Roman"/>
          <w:color w:val="000000"/>
        </w:rPr>
        <w:t>b</w:t>
      </w:r>
      <w:r>
        <w:rPr>
          <w:rFonts w:ascii="Times New Roman" w:hAnsi="Times New Roman" w:cs="Times New Roman"/>
          <w:color w:val="000000"/>
        </w:rPr>
        <w:t>)</w:t>
      </w:r>
      <w:r>
        <w:rPr>
          <w:rFonts w:ascii="Times New Roman" w:hAnsi="Times New Roman" w:cs="Times New Roman"/>
          <w:color w:val="000000"/>
        </w:rPr>
        <w:t xml:space="preserve"> Chromatogram of IAA extracted from </w:t>
      </w:r>
      <w:r>
        <w:rPr>
          <w:rFonts w:ascii="Times New Roman" w:hAnsi="Times New Roman" w:cs="Times New Roman"/>
          <w:i/>
        </w:rPr>
        <w:t>P</w:t>
      </w:r>
      <w:r>
        <w:rPr>
          <w:lang w:eastAsia="ko-KR"/>
          <w:rFonts w:ascii="Times New Roman" w:hAnsi="Times New Roman" w:cs="Times New Roman"/>
          <w:i/>
          <w:rtl w:val="off"/>
        </w:rPr>
        <w:t>seudomonas</w:t>
      </w:r>
      <w:r>
        <w:rPr>
          <w:lang w:eastAsia="ko-KR"/>
          <w:rFonts w:ascii="Times New Roman" w:hAnsi="Times New Roman" w:cs="Times New Roman"/>
          <w:i w:val="0"/>
          <w:rtl w:val="off"/>
        </w:rPr>
        <w:t xml:space="preserve"> sp</w:t>
      </w:r>
      <w:r>
        <w:rPr>
          <w:rFonts w:ascii="Times New Roman" w:hAnsi="Times New Roman" w:cs="Times New Roman"/>
        </w:rPr>
        <w:t>. A-2</w:t>
      </w:r>
      <w:r>
        <w:rPr>
          <w:rFonts w:ascii="Times New Roman" w:hAnsi="Times New Roman" w:cs="Times New Roman"/>
          <w:color w:val="000000"/>
        </w:rPr>
        <w:t xml:space="preserve"> culture grown in the absence of tryptophan, with retention times detected at a wavelength of 280 nm. Peaks in (</w:t>
      </w:r>
      <w:r>
        <w:rPr>
          <w:rFonts w:ascii="Times New Roman" w:hAnsi="Times New Roman" w:cs="Times New Roman"/>
          <w:color w:val="000000"/>
        </w:rPr>
        <w:t>b</w:t>
      </w:r>
      <w:r>
        <w:rPr>
          <w:rFonts w:ascii="Times New Roman" w:hAnsi="Times New Roman" w:cs="Times New Roman"/>
          <w:color w:val="000000"/>
        </w:rPr>
        <w:t xml:space="preserve">) include one matching the IAA standard retention time at 5.68 minutes, indicating IAA production by the </w:t>
      </w:r>
      <w:r>
        <w:rPr>
          <w:rFonts w:ascii="Times New Roman" w:hAnsi="Times New Roman" w:cs="Times New Roman"/>
          <w:color w:val="000000"/>
          <w:kern w:val="24"/>
        </w:rPr>
        <w:t>A-2 strain</w:t>
      </w:r>
      <w:r>
        <w:rPr>
          <w:rFonts w:ascii="Times New Roman" w:hAnsi="Times New Roman" w:cs="Times New Roman"/>
          <w:color w:val="000000"/>
        </w:rPr>
        <w:t>.</w:t>
      </w:r>
    </w:p>
    <w:sectPr>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EFF" w:usb1="C000785B" w:usb2="00000009" w:usb3="00000001" w:csb0="400001FF" w:csb1="FFFF0000"/>
  </w:font>
  <w:font w:name="굴림">
    <w:panose1 w:val="020B0600000101010101"/>
    <w:family w:val="modern"/>
    <w:charset w:val="81"/>
    <w:notTrueType w:val="false"/>
    <w:sig w:usb0="B00002AF" w:usb1="69D77CFB" w:usb2="00000030" w:usb3="00000001"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825" w:unhideWhenUsed="1"/>
    <w:lsdException w:name="index 2" w:semiHidden="1" w:uiPriority="825" w:unhideWhenUsed="1"/>
    <w:lsdException w:name="index 3" w:semiHidden="1" w:uiPriority="825" w:unhideWhenUsed="1"/>
    <w:lsdException w:name="index 4" w:semiHidden="1" w:uiPriority="825" w:unhideWhenUsed="1"/>
    <w:lsdException w:name="index 5" w:semiHidden="1" w:uiPriority="825" w:unhideWhenUsed="1"/>
    <w:lsdException w:name="index 6" w:semiHidden="1" w:uiPriority="825" w:unhideWhenUsed="1"/>
    <w:lsdException w:name="index 7" w:semiHidden="1" w:uiPriority="825" w:unhideWhenUsed="1"/>
    <w:lsdException w:name="index 8" w:semiHidden="1" w:uiPriority="825" w:unhideWhenUsed="1"/>
    <w:lsdException w:name="index 9" w:semiHidden="1" w:uiPriority="825" w:unhideWhenUsed="1"/>
    <w:lsdException w:name="toc 1" w:semiHidden="1" w:uiPriority="777" w:unhideWhenUsed="1"/>
    <w:lsdException w:name="toc 2" w:semiHidden="1" w:uiPriority="777" w:unhideWhenUsed="1"/>
    <w:lsdException w:name="toc 3" w:semiHidden="1" w:uiPriority="777" w:unhideWhenUsed="1"/>
    <w:lsdException w:name="toc 4" w:semiHidden="1" w:uiPriority="777" w:unhideWhenUsed="1"/>
    <w:lsdException w:name="toc 5" w:semiHidden="1" w:uiPriority="777" w:unhideWhenUsed="1"/>
    <w:lsdException w:name="toc 6" w:semiHidden="1" w:uiPriority="777" w:unhideWhenUsed="1"/>
    <w:lsdException w:name="toc 7" w:semiHidden="1" w:uiPriority="777" w:unhideWhenUsed="1"/>
    <w:lsdException w:name="toc 8" w:semiHidden="1" w:uiPriority="777" w:unhideWhenUsed="1"/>
    <w:lsdException w:name="toc 9" w:semiHidden="1" w:uiPriority="777" w:unhideWhenUsed="1"/>
    <w:lsdException w:name="Normal Indent" w:semiHidden="1" w:uiPriority="825" w:unhideWhenUsed="1"/>
    <w:lsdException w:name="footnote text" w:semiHidden="1" w:uiPriority="825" w:unhideWhenUsed="1"/>
    <w:lsdException w:name="annotation text" w:semiHidden="1" w:uiPriority="825" w:unhideWhenUsed="1"/>
    <w:lsdException w:name="header" w:semiHidden="1" w:uiPriority="825" w:unhideWhenUsed="1"/>
    <w:lsdException w:name="footer" w:semiHidden="1" w:uiPriority="825" w:unhideWhenUsed="1"/>
    <w:lsdException w:name="index heading" w:semiHidden="1" w:uiPriority="825" w:unhideWhenUsed="1"/>
    <w:lsdException w:name="caption" w:semiHidden="1" w:uiPriority="773" w:unhideWhenUsed="1" w:qFormat="1"/>
    <w:lsdException w:name="table of figures" w:semiHidden="1" w:uiPriority="825" w:unhideWhenUsed="1"/>
    <w:lsdException w:name="envelope address" w:semiHidden="1" w:uiPriority="825" w:unhideWhenUsed="1"/>
    <w:lsdException w:name="envelope return" w:semiHidden="1" w:uiPriority="825" w:unhideWhenUsed="1"/>
    <w:lsdException w:name="footnote reference" w:semiHidden="1" w:uiPriority="825" w:unhideWhenUsed="1"/>
    <w:lsdException w:name="annotation reference" w:semiHidden="1" w:uiPriority="825" w:unhideWhenUsed="1"/>
    <w:lsdException w:name="line number" w:semiHidden="1" w:uiPriority="825" w:unhideWhenUsed="1"/>
    <w:lsdException w:name="page number" w:semiHidden="1" w:uiPriority="825" w:unhideWhenUsed="1"/>
    <w:lsdException w:name="endnote reference" w:semiHidden="1" w:uiPriority="825" w:unhideWhenUsed="1"/>
    <w:lsdException w:name="endnote text" w:semiHidden="1" w:uiPriority="825" w:unhideWhenUsed="1"/>
    <w:lsdException w:name="table of authorities" w:semiHidden="1" w:uiPriority="825" w:unhideWhenUsed="1"/>
    <w:lsdException w:name="macro" w:semiHidden="1" w:uiPriority="825" w:unhideWhenUsed="1"/>
    <w:lsdException w:name="toa heading" w:semiHidden="1" w:uiPriority="825" w:unhideWhenUsed="1"/>
    <w:lsdException w:name="List" w:semiHidden="1" w:uiPriority="825" w:unhideWhenUsed="1"/>
    <w:lsdException w:name="List Bullet" w:semiHidden="1" w:uiPriority="825" w:unhideWhenUsed="1"/>
    <w:lsdException w:name="List Number" w:semiHidden="1" w:uiPriority="825" w:unhideWhenUsed="1"/>
    <w:lsdException w:name="List 2" w:semiHidden="1" w:uiPriority="825" w:unhideWhenUsed="1"/>
    <w:lsdException w:name="List 3" w:semiHidden="1" w:uiPriority="825" w:unhideWhenUsed="1"/>
    <w:lsdException w:name="List 4" w:semiHidden="1" w:uiPriority="825" w:unhideWhenUsed="1"/>
    <w:lsdException w:name="List 5" w:semiHidden="1" w:uiPriority="825" w:unhideWhenUsed="1"/>
    <w:lsdException w:name="List Bullet 2" w:semiHidden="1" w:uiPriority="825" w:unhideWhenUsed="1"/>
    <w:lsdException w:name="List Bullet 3" w:semiHidden="1" w:uiPriority="825" w:unhideWhenUsed="1"/>
    <w:lsdException w:name="List Bullet 4" w:semiHidden="1" w:uiPriority="825" w:unhideWhenUsed="1"/>
    <w:lsdException w:name="List Bullet 5" w:semiHidden="1" w:uiPriority="825" w:unhideWhenUsed="1"/>
    <w:lsdException w:name="List Number 2" w:semiHidden="1" w:uiPriority="825" w:unhideWhenUsed="1"/>
    <w:lsdException w:name="List Number 3" w:semiHidden="1" w:uiPriority="825" w:unhideWhenUsed="1"/>
    <w:lsdException w:name="List Number 4" w:semiHidden="1" w:uiPriority="825" w:unhideWhenUsed="1"/>
    <w:lsdException w:name="List Number 5" w:semiHidden="1" w:uiPriority="825" w:unhideWhenUsed="1"/>
    <w:lsdException w:name="Title" w:uiPriority="82" w:qFormat="1"/>
    <w:lsdException w:name="Closing" w:semiHidden="1" w:uiPriority="825" w:unhideWhenUsed="1"/>
    <w:lsdException w:name="Signature" w:semiHidden="1" w:uiPriority="825" w:unhideWhenUsed="1"/>
    <w:lsdException w:name="Default Paragraph Font" w:semiHidden="1" w:uiPriority="1" w:unhideWhenUsed="1"/>
    <w:lsdException w:name="Body Text" w:semiHidden="1" w:uiPriority="825" w:unhideWhenUsed="1"/>
    <w:lsdException w:name="Body Text Indent" w:semiHidden="1" w:uiPriority="825" w:unhideWhenUsed="1"/>
    <w:lsdException w:name="List Continue" w:semiHidden="1" w:uiPriority="825" w:unhideWhenUsed="1"/>
    <w:lsdException w:name="List Continue 2" w:semiHidden="1" w:uiPriority="825" w:unhideWhenUsed="1"/>
    <w:lsdException w:name="List Continue 3" w:semiHidden="1" w:uiPriority="825" w:unhideWhenUsed="1"/>
    <w:lsdException w:name="List Continue 4" w:semiHidden="1" w:uiPriority="825" w:unhideWhenUsed="1"/>
    <w:lsdException w:name="List Continue 5" w:semiHidden="1" w:uiPriority="825" w:unhideWhenUsed="1"/>
    <w:lsdException w:name="Message Header" w:semiHidden="1" w:uiPriority="825" w:unhideWhenUsed="1"/>
    <w:lsdException w:name="Subtitle" w:uiPriority="83" w:qFormat="1"/>
    <w:lsdException w:name="Salutation" w:semiHidden="1" w:uiPriority="825" w:unhideWhenUsed="1"/>
    <w:lsdException w:name="Date" w:semiHidden="1" w:uiPriority="825" w:unhideWhenUsed="1"/>
    <w:lsdException w:name="Body Text First Indent" w:semiHidden="1" w:uiPriority="825" w:unhideWhenUsed="1"/>
    <w:lsdException w:name="Body Text First Indent 2" w:semiHidden="1" w:uiPriority="825" w:unhideWhenUsed="1"/>
    <w:lsdException w:name="Note Heading" w:semiHidden="1" w:uiPriority="825" w:unhideWhenUsed="1"/>
    <w:lsdException w:name="Body Text 2" w:semiHidden="1" w:uiPriority="825" w:unhideWhenUsed="1"/>
    <w:lsdException w:name="Body Text 3" w:semiHidden="1" w:uiPriority="825" w:unhideWhenUsed="1"/>
    <w:lsdException w:name="Body Text Indent 2" w:semiHidden="1" w:uiPriority="825" w:unhideWhenUsed="1"/>
    <w:lsdException w:name="Body Text Indent 3" w:semiHidden="1" w:uiPriority="825" w:unhideWhenUsed="1"/>
    <w:lsdException w:name="Block Text" w:semiHidden="1" w:uiPriority="825" w:unhideWhenUsed="1"/>
    <w:lsdException w:name="Hyperlink" w:semiHidden="1" w:uiPriority="825" w:unhideWhenUsed="1"/>
    <w:lsdException w:name="FollowedHyperlink" w:semiHidden="1" w:uiPriority="825" w:unhideWhenUsed="1"/>
    <w:lsdException w:name="Strong" w:uiPriority="304" w:qFormat="1"/>
    <w:lsdException w:name="Emphasis" w:uiPriority="296" w:qFormat="1"/>
    <w:lsdException w:name="Document Map" w:semiHidden="1" w:uiPriority="825" w:unhideWhenUsed="1"/>
    <w:lsdException w:name="Plain Text" w:semiHidden="1" w:uiPriority="825" w:unhideWhenUsed="1"/>
    <w:lsdException w:name="E-mail Signature" w:semiHidden="1" w:uiPriority="825" w:unhideWhenUsed="1"/>
    <w:lsdException w:name="HTML Top of Form" w:semiHidden="1" w:uiPriority="825" w:unhideWhenUsed="1"/>
    <w:lsdException w:name="HTML Bottom of Form" w:semiHidden="1" w:uiPriority="825" w:unhideWhenUsed="1"/>
    <w:lsdException w:name="Normal (Web)" w:semiHidden="1" w:uiPriority="825" w:unhideWhenUsed="1"/>
    <w:lsdException w:name="HTML Acronym" w:semiHidden="1" w:uiPriority="825" w:unhideWhenUsed="1"/>
    <w:lsdException w:name="HTML Address" w:semiHidden="1" w:uiPriority="825" w:unhideWhenUsed="1"/>
    <w:lsdException w:name="HTML Cite" w:semiHidden="1" w:uiPriority="825" w:unhideWhenUsed="1"/>
    <w:lsdException w:name="HTML Code" w:semiHidden="1" w:uiPriority="825" w:unhideWhenUsed="1"/>
    <w:lsdException w:name="HTML Definition" w:semiHidden="1" w:uiPriority="825" w:unhideWhenUsed="1"/>
    <w:lsdException w:name="HTML Keyboard" w:semiHidden="1" w:uiPriority="825" w:unhideWhenUsed="1"/>
    <w:lsdException w:name="HTML Preformatted" w:semiHidden="1" w:uiPriority="825" w:unhideWhenUsed="1"/>
    <w:lsdException w:name="HTML Sample" w:semiHidden="1" w:uiPriority="825" w:unhideWhenUsed="1"/>
    <w:lsdException w:name="HTML Typewriter" w:semiHidden="1" w:uiPriority="825" w:unhideWhenUsed="1"/>
    <w:lsdException w:name="HTML Variable" w:semiHidden="1" w:uiPriority="825" w:unhideWhenUsed="1"/>
    <w:lsdException w:name="Normal Table" w:uiPriority="825"/>
    <w:lsdException w:name="annotation subject" w:semiHidden="1" w:uiPriority="825" w:unhideWhenUsed="1"/>
    <w:lsdException w:name="No List" w:semiHidden="1" w:uiPriority="825" w:unhideWhenUsed="1"/>
    <w:lsdException w:name="Outline List 1" w:semiHidden="1" w:uiPriority="825" w:unhideWhenUsed="1"/>
    <w:lsdException w:name="Outline List 2" w:semiHidden="1" w:uiPriority="825" w:unhideWhenUsed="1"/>
    <w:lsdException w:name="Outline List 3" w:semiHidden="1" w:uiPriority="825" w:unhideWhenUsed="1"/>
    <w:lsdException w:name="Table Simple 1" w:semiHidden="1" w:uiPriority="825" w:unhideWhenUsed="1"/>
    <w:lsdException w:name="Table Simple 2" w:semiHidden="1" w:uiPriority="825" w:unhideWhenUsed="1"/>
    <w:lsdException w:name="Table Simple 3" w:semiHidden="1" w:uiPriority="825" w:unhideWhenUsed="1"/>
    <w:lsdException w:name="Table Classic 1" w:semiHidden="1" w:uiPriority="825" w:unhideWhenUsed="1"/>
    <w:lsdException w:name="Table Classic 2" w:semiHidden="1" w:uiPriority="825" w:unhideWhenUsed="1"/>
    <w:lsdException w:name="Table Classic 3" w:semiHidden="1" w:uiPriority="825" w:unhideWhenUsed="1"/>
    <w:lsdException w:name="Table Classic 4" w:semiHidden="1" w:uiPriority="825" w:unhideWhenUsed="1"/>
    <w:lsdException w:name="Table Colorful 1" w:semiHidden="1" w:uiPriority="825" w:unhideWhenUsed="1"/>
    <w:lsdException w:name="Table Colorful 2" w:semiHidden="1" w:uiPriority="825" w:unhideWhenUsed="1"/>
    <w:lsdException w:name="Table Colorful 3" w:semiHidden="1" w:uiPriority="825" w:unhideWhenUsed="1"/>
    <w:lsdException w:name="Table Columns 1" w:semiHidden="1" w:uiPriority="825" w:unhideWhenUsed="1"/>
    <w:lsdException w:name="Table Columns 2" w:semiHidden="1" w:uiPriority="825" w:unhideWhenUsed="1"/>
    <w:lsdException w:name="Table Columns 3" w:semiHidden="1" w:uiPriority="825" w:unhideWhenUsed="1"/>
    <w:lsdException w:name="Table Columns 4" w:semiHidden="1" w:uiPriority="825" w:unhideWhenUsed="1"/>
    <w:lsdException w:name="Table Columns 5" w:semiHidden="1" w:uiPriority="825" w:unhideWhenUsed="1"/>
    <w:lsdException w:name="Table Grid 1" w:semiHidden="1" w:uiPriority="825" w:unhideWhenUsed="1"/>
    <w:lsdException w:name="Table Grid 2" w:semiHidden="1" w:uiPriority="825" w:unhideWhenUsed="1"/>
    <w:lsdException w:name="Table Grid 3" w:semiHidden="1" w:uiPriority="825" w:unhideWhenUsed="1"/>
    <w:lsdException w:name="Table Grid 4" w:semiHidden="1" w:uiPriority="825" w:unhideWhenUsed="1"/>
    <w:lsdException w:name="Table Grid 5" w:semiHidden="1" w:uiPriority="825" w:unhideWhenUsed="1"/>
    <w:lsdException w:name="Table Grid 6" w:semiHidden="1" w:uiPriority="825" w:unhideWhenUsed="1"/>
    <w:lsdException w:name="Table Grid 7" w:semiHidden="1" w:uiPriority="825" w:unhideWhenUsed="1"/>
    <w:lsdException w:name="Table Grid 8" w:semiHidden="1" w:uiPriority="825" w:unhideWhenUsed="1"/>
    <w:lsdException w:name="Table List 1" w:semiHidden="1" w:uiPriority="825" w:unhideWhenUsed="1"/>
    <w:lsdException w:name="Table List 2" w:semiHidden="1" w:uiPriority="825" w:unhideWhenUsed="1"/>
    <w:lsdException w:name="Table List 3" w:semiHidden="1" w:uiPriority="825" w:unhideWhenUsed="1"/>
    <w:lsdException w:name="Table List 4" w:semiHidden="1" w:uiPriority="825" w:unhideWhenUsed="1"/>
    <w:lsdException w:name="Table List 5" w:semiHidden="1" w:uiPriority="825" w:unhideWhenUsed="1"/>
    <w:lsdException w:name="Table List 6" w:semiHidden="1" w:uiPriority="825" w:unhideWhenUsed="1"/>
    <w:lsdException w:name="Table List 7" w:semiHidden="1" w:uiPriority="825" w:unhideWhenUsed="1"/>
    <w:lsdException w:name="Table List 8" w:semiHidden="1" w:uiPriority="825" w:unhideWhenUsed="1"/>
    <w:lsdException w:name="Table 3D effects 1" w:semiHidden="1" w:uiPriority="825" w:unhideWhenUsed="1"/>
    <w:lsdException w:name="Table 3D effects 2" w:semiHidden="1" w:uiPriority="825" w:unhideWhenUsed="1"/>
    <w:lsdException w:name="Table 3D effects 3" w:semiHidden="1" w:uiPriority="825" w:unhideWhenUsed="1"/>
    <w:lsdException w:name="Table Contemporary" w:semiHidden="1" w:uiPriority="825" w:unhideWhenUsed="1"/>
    <w:lsdException w:name="Table Elegant" w:semiHidden="1" w:uiPriority="825" w:unhideWhenUsed="1"/>
    <w:lsdException w:name="Table Professional" w:semiHidden="1" w:uiPriority="825" w:unhideWhenUsed="1"/>
    <w:lsdException w:name="Table Subtle 1" w:semiHidden="1" w:uiPriority="825" w:unhideWhenUsed="1"/>
    <w:lsdException w:name="Table Subtle 2" w:uiPriority="825"/>
    <w:lsdException w:name="Table Web 1" w:semiHidden="1" w:uiPriority="825" w:unhideWhenUsed="1"/>
    <w:lsdException w:name="Table Web 2" w:semiHidden="1" w:uiPriority="825" w:unhideWhenUsed="1"/>
    <w:lsdException w:name="Table Web 3" w:uiPriority="825"/>
    <w:lsdException w:name="Balloon Text" w:semiHidden="1" w:uiPriority="825" w:unhideWhenUsed="1"/>
    <w:lsdException w:name="Table Grid" w:uiPriority="777"/>
    <w:lsdException w:name="Table Theme" w:semiHidden="1" w:uiPriority="825" w:unhideWhenUsed="1"/>
    <w:lsdException w:name="Placeholder Text" w:semiHidden="1" w:uiPriority="825"/>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uiPriority="825"/>
    <w:lsdException w:name="List Paragraph" w:uiPriority="772" w:qFormat="1"/>
    <w:lsdException w:name="Quote" w:uiPriority="599" w:qFormat="1"/>
    <w:lsdException w:name="Intense Quote" w:uiPriority="6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uiPriority="133" w:qFormat="1"/>
    <w:lsdException w:name="Intense Emphasis" w:uiPriority="297" w:qFormat="1"/>
    <w:lsdException w:name="Subtle Reference" w:uiPriority="631" w:qFormat="1"/>
    <w:lsdException w:name="Intense Reference" w:uiPriority="662" w:qFormat="1"/>
    <w:lsdException w:name="Book Title" w:uiPriority="663" w:qFormat="1"/>
    <w:lsdException w:name="Bibliography" w:semiHidden="1" w:uiPriority="775" w:unhideWhenUsed="1"/>
    <w:lsdException w:name="TOC Heading" w:semiHidden="1" w:uiPriority="777" w:unhideWhenUsed="1" w:qFormat="1"/>
    <w:lsdException w:name="Mention" w:semiHidden="1" w:uiPriority="825" w:unhideWhenUsed="1"/>
    <w:lsdException w:name="Smart Hyperlink" w:semiHidden="1" w:uiPriority="825" w:unhideWhenUsed="1"/>
    <w:lsdException w:name="Hashtag" w:semiHidden="1" w:uiPriority="825" w:unhideWhenUsed="1"/>
    <w:lsdException w:name="Unresolved Mention" w:semiHidden="1" w:uiPriority="825"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uiPriority w:val="99"/>
    <w:basedOn w:val="a"/>
    <w:semiHidden/>
    <w:unhideWhenUsed/>
    <w:pPr>
      <w:autoSpaceDE/>
      <w:autoSpaceDN/>
      <w:widowControl/>
      <w:wordWrap/>
      <w:jc w:val="left"/>
      <w:spacing w:after="100" w:afterAutospacing="1" w:before="100" w:beforeAutospacing="1" w:line="240" w:lineRule="auto"/>
    </w:pPr>
    <w:rPr>
      <w:rFonts w:ascii="굴림" w:eastAsia="굴림" w:hAnsi="굴림" w:cs="굴림"/>
      <w:sz w:val="24"/>
      <w:szCs w:val="24"/>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 Id="rId3" Type="http://schemas.openxmlformats.org/officeDocument/2006/relationships/image" Target="media/image3.png" /><Relationship Id="rId4" Type="http://schemas.openxmlformats.org/officeDocument/2006/relationships/image" Target="media/image4.png" /><Relationship Id="rId5" Type="http://schemas.openxmlformats.org/officeDocument/2006/relationships/image" Target="media/image5.png" /><Relationship Id="rId6" Type="http://schemas.openxmlformats.org/officeDocument/2006/relationships/image" Target="media/image6.png" /><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fontTable" Target="fontTable.xml" /><Relationship Id="rId10" Type="http://schemas.openxmlformats.org/officeDocument/2006/relationships/webSettings" Target="webSettings.xml" /><Relationship Id="rId11"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2024-11-27T08:16:00Z</dcterms:created>
  <dcterms:modified xsi:type="dcterms:W3CDTF">2025-07-29T00:23:13Z</dcterms:modified>
  <cp:version>1000.0100.01</cp:version>
</cp:coreProperties>
</file>