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D82" w:rsidRPr="00FB0A3E" w:rsidRDefault="00C65D82" w:rsidP="00C65D82">
      <w:pPr>
        <w:pBdr>
          <w:bottom w:val="single" w:sz="8" w:space="4" w:color="5B9BD5" w:themeColor="accent1"/>
        </w:pBdr>
        <w:spacing w:after="300" w:line="480" w:lineRule="auto"/>
        <w:contextualSpacing/>
        <w:rPr>
          <w:rFonts w:ascii="CMU Sans Serif" w:eastAsiaTheme="majorEastAsia" w:hAnsi="CMU Sans Serif" w:cs="CMU Sans Serif"/>
          <w:b/>
          <w:bCs/>
          <w:color w:val="323E4F" w:themeColor="text2" w:themeShade="BF"/>
          <w:spacing w:val="5"/>
          <w:kern w:val="28"/>
          <w:sz w:val="48"/>
          <w:szCs w:val="48"/>
        </w:rPr>
      </w:pPr>
      <w:r w:rsidRPr="00FB0A3E">
        <w:rPr>
          <w:rFonts w:ascii="CMU Sans Serif" w:eastAsiaTheme="majorEastAsia" w:hAnsi="CMU Sans Serif" w:cs="CMU Sans Serif"/>
          <w:b/>
          <w:bCs/>
          <w:color w:val="323E4F" w:themeColor="text2" w:themeShade="BF"/>
          <w:spacing w:val="5"/>
          <w:kern w:val="28"/>
          <w:sz w:val="48"/>
          <w:szCs w:val="48"/>
        </w:rPr>
        <w:t>Comparative analysis of molecular and chromatographic methods for detecting palm oil adulteration in yogurt</w:t>
      </w:r>
    </w:p>
    <w:p w:rsidR="00C65D82" w:rsidRDefault="00C65D82" w:rsidP="00C65D82">
      <w:pPr>
        <w:spacing w:after="0" w:line="480" w:lineRule="auto"/>
        <w:rPr>
          <w:rFonts w:ascii="CMU Sans Serif" w:eastAsia="Times New Roman" w:hAnsi="CMU Sans Serif" w:cs="CMU Sans Serif"/>
          <w:b/>
          <w:bCs/>
          <w:sz w:val="24"/>
          <w:szCs w:val="24"/>
        </w:rPr>
      </w:pPr>
    </w:p>
    <w:p w:rsidR="00C65D82" w:rsidRPr="00FB0A3E" w:rsidRDefault="00C65D82" w:rsidP="00C65D82">
      <w:pPr>
        <w:spacing w:after="0" w:line="480" w:lineRule="auto"/>
        <w:rPr>
          <w:rFonts w:ascii="CMU Sans Serif" w:eastAsia="Times New Roman" w:hAnsi="CMU Sans Serif" w:cs="CMU Sans Serif"/>
          <w:sz w:val="24"/>
          <w:szCs w:val="24"/>
        </w:rPr>
      </w:pPr>
      <w:r w:rsidRPr="00FB0A3E">
        <w:rPr>
          <w:rFonts w:ascii="CMU Sans Serif" w:eastAsia="Times New Roman" w:hAnsi="CMU Sans Serif" w:cs="CMU Sans Serif"/>
          <w:b/>
          <w:bCs/>
          <w:sz w:val="24"/>
          <w:szCs w:val="24"/>
        </w:rPr>
        <w:t xml:space="preserve">Mohammad Dowlatabadi¹, Seyed Ali Mortazavi²*, Hasan Ravansalar³, Mohammad Reza </w:t>
      </w:r>
      <w:proofErr w:type="spellStart"/>
      <w:r w:rsidRPr="00FB0A3E">
        <w:rPr>
          <w:rFonts w:ascii="CMU Sans Serif" w:eastAsia="Times New Roman" w:hAnsi="CMU Sans Serif" w:cs="CMU Sans Serif"/>
          <w:b/>
          <w:bCs/>
          <w:sz w:val="24"/>
          <w:szCs w:val="24"/>
        </w:rPr>
        <w:t>Saedi</w:t>
      </w:r>
      <w:proofErr w:type="spellEnd"/>
      <w:r w:rsidRPr="00FB0A3E">
        <w:rPr>
          <w:rFonts w:ascii="CMU Sans Serif" w:eastAsia="Times New Roman" w:hAnsi="CMU Sans Serif" w:cs="CMU Sans Serif"/>
          <w:b/>
          <w:bCs/>
          <w:sz w:val="24"/>
          <w:szCs w:val="24"/>
        </w:rPr>
        <w:t xml:space="preserve"> Asl¹, Ahmad Pedramnia¹</w:t>
      </w:r>
    </w:p>
    <w:p w:rsidR="00C65D82" w:rsidRPr="00FB0A3E" w:rsidRDefault="00C65D82" w:rsidP="00C65D82">
      <w:pPr>
        <w:spacing w:after="0" w:line="480" w:lineRule="auto"/>
        <w:rPr>
          <w:rFonts w:ascii="CMU Sans Serif" w:eastAsia="Times New Roman" w:hAnsi="CMU Sans Serif" w:cs="CMU Sans Serif"/>
          <w:sz w:val="24"/>
          <w:szCs w:val="24"/>
        </w:rPr>
      </w:pPr>
      <w:r w:rsidRPr="00FB0A3E">
        <w:rPr>
          <w:rFonts w:ascii="CMU Sans Serif" w:eastAsia="Times New Roman" w:hAnsi="CMU Sans Serif" w:cs="CMU Sans Serif"/>
          <w:sz w:val="24"/>
          <w:szCs w:val="24"/>
        </w:rPr>
        <w:br/>
        <w:t>¹ Department of Food Science and Technology, Sab.C., Islamic Azad University, Sabzevar, Iran</w:t>
      </w:r>
      <w:r w:rsidRPr="00FB0A3E">
        <w:rPr>
          <w:rFonts w:ascii="CMU Sans Serif" w:eastAsia="Times New Roman" w:hAnsi="CMU Sans Serif" w:cs="CMU Sans Serif"/>
          <w:sz w:val="24"/>
          <w:szCs w:val="24"/>
        </w:rPr>
        <w:br/>
        <w:t>² Department of Food Science and Technology, Faculty of Agriculture, Ferdowsi University of Mashhad, Mashhad, Iran</w:t>
      </w:r>
      <w:r w:rsidRPr="00FB0A3E">
        <w:rPr>
          <w:rFonts w:ascii="CMU Sans Serif" w:eastAsia="Times New Roman" w:hAnsi="CMU Sans Serif" w:cs="CMU Sans Serif"/>
          <w:sz w:val="24"/>
          <w:szCs w:val="24"/>
        </w:rPr>
        <w:br/>
        <w:t>³ Department of Microbiology, Faculty of Medicine, Sabzevar University of Medical Science, Sabzevar, Iran</w:t>
      </w:r>
    </w:p>
    <w:p w:rsidR="00C65D82" w:rsidRPr="00FB0A3E" w:rsidRDefault="00C65D82" w:rsidP="00C65D82">
      <w:pPr>
        <w:spacing w:after="0" w:line="480" w:lineRule="auto"/>
        <w:rPr>
          <w:rFonts w:ascii="CMU Sans Serif" w:eastAsia="Times New Roman" w:hAnsi="CMU Sans Serif" w:cs="CMU Sans Serif"/>
          <w:sz w:val="24"/>
          <w:szCs w:val="24"/>
        </w:rPr>
      </w:pPr>
      <w:r w:rsidRPr="00FB0A3E">
        <w:rPr>
          <w:rFonts w:ascii="CMU Sans Serif" w:eastAsia="Times New Roman" w:hAnsi="CMU Sans Serif" w:cs="CMU Sans Serif"/>
          <w:sz w:val="24"/>
          <w:szCs w:val="24"/>
        </w:rPr>
        <w:br/>
      </w:r>
      <w:hyperlink r:id="rId5" w:history="1">
        <w:r w:rsidRPr="00FB0A3E">
          <w:rPr>
            <w:rFonts w:ascii="CMU Sans Serif" w:eastAsia="Times New Roman" w:hAnsi="CMU Sans Serif" w:cs="CMU Sans Serif"/>
            <w:color w:val="0563C1" w:themeColor="hyperlink"/>
            <w:sz w:val="24"/>
            <w:szCs w:val="24"/>
            <w:u w:val="single"/>
            <w:vertAlign w:val="superscript"/>
          </w:rPr>
          <w:t>*</w:t>
        </w:r>
        <w:r w:rsidRPr="00FB0A3E">
          <w:rPr>
            <w:rFonts w:ascii="CMU Sans Serif" w:eastAsia="Times New Roman" w:hAnsi="CMU Sans Serif" w:cs="CMU Sans Serif"/>
            <w:color w:val="0563C1" w:themeColor="hyperlink"/>
            <w:sz w:val="24"/>
            <w:szCs w:val="24"/>
            <w:u w:val="single"/>
          </w:rPr>
          <w:t>mortazaviali802@gmail.com</w:t>
        </w:r>
      </w:hyperlink>
    </w:p>
    <w:p w:rsidR="00C65D82" w:rsidRDefault="00C65D82" w:rsidP="00C65D82">
      <w:pPr>
        <w:rPr>
          <w:rFonts w:asciiTheme="majorHAnsi" w:eastAsiaTheme="majorEastAsia" w:hAnsiTheme="majorHAnsi" w:cstheme="majorBidi"/>
          <w:b/>
          <w:bCs/>
          <w:color w:val="5B9BD5" w:themeColor="accent1"/>
          <w:sz w:val="26"/>
          <w:szCs w:val="26"/>
        </w:rPr>
      </w:pPr>
    </w:p>
    <w:p w:rsidR="00C65D82" w:rsidRDefault="00C65D82" w:rsidP="00C65D82"/>
    <w:p w:rsidR="00C65D82" w:rsidRDefault="00C65D82" w:rsidP="00C65D82"/>
    <w:p w:rsidR="00C65D82" w:rsidRDefault="00C65D82" w:rsidP="00C65D82"/>
    <w:p w:rsidR="00B02CDF" w:rsidRPr="0089140F" w:rsidRDefault="003E7003" w:rsidP="003E7003">
      <w:pPr>
        <w:pStyle w:val="Heading1"/>
        <w:rPr>
          <w:rFonts w:ascii="CMU Sans Serif" w:hAnsi="CMU Sans Serif" w:cs="CMU Sans Serif"/>
          <w:b/>
          <w:bCs/>
          <w:sz w:val="28"/>
          <w:szCs w:val="28"/>
        </w:rPr>
      </w:pPr>
      <w:r w:rsidRPr="0089140F">
        <w:rPr>
          <w:rFonts w:ascii="CMU Sans Serif" w:hAnsi="CMU Sans Serif" w:cs="CMU Sans Serif"/>
          <w:b/>
          <w:bCs/>
          <w:sz w:val="28"/>
          <w:szCs w:val="28"/>
        </w:rPr>
        <w:lastRenderedPageBreak/>
        <w:t>Table S2.</w:t>
      </w:r>
      <w:r w:rsidR="00B02CDF" w:rsidRPr="0089140F">
        <w:rPr>
          <w:rFonts w:ascii="CMU Sans Serif" w:hAnsi="CMU Sans Serif" w:cs="CMU Sans Serif"/>
          <w:b/>
          <w:bCs/>
          <w:sz w:val="28"/>
          <w:szCs w:val="28"/>
        </w:rPr>
        <w:t xml:space="preserve"> Assumptions and calculation basis for time and cost estimates reported in Table 3.</w:t>
      </w:r>
    </w:p>
    <w:p w:rsidR="00B02CDF" w:rsidRPr="00C65D82" w:rsidRDefault="00B02CDF" w:rsidP="007B0933">
      <w:pPr>
        <w:rPr>
          <w:rFonts w:ascii="CMU Sans Serif" w:hAnsi="CMU Sans Serif" w:cs="CMU Sans Serif"/>
          <w:sz w:val="24"/>
          <w:szCs w:val="24"/>
        </w:rPr>
      </w:pPr>
    </w:p>
    <w:tbl>
      <w:tblPr>
        <w:tblW w:w="10348" w:type="dxa"/>
        <w:jc w:val="center"/>
        <w:tblCellSpacing w:w="15" w:type="dxa"/>
        <w:tblCellMar>
          <w:top w:w="15" w:type="dxa"/>
          <w:left w:w="15" w:type="dxa"/>
          <w:bottom w:w="15" w:type="dxa"/>
          <w:right w:w="15" w:type="dxa"/>
        </w:tblCellMar>
        <w:tblLook w:val="04A0" w:firstRow="1" w:lastRow="0" w:firstColumn="1" w:lastColumn="0" w:noHBand="0" w:noVBand="1"/>
      </w:tblPr>
      <w:tblGrid>
        <w:gridCol w:w="3391"/>
        <w:gridCol w:w="3416"/>
        <w:gridCol w:w="3433"/>
        <w:gridCol w:w="108"/>
      </w:tblGrid>
      <w:tr w:rsidR="00801E51" w:rsidRPr="00C65D82" w:rsidTr="003D5C3B">
        <w:trPr>
          <w:tblHeader/>
          <w:tblCellSpacing w:w="15" w:type="dxa"/>
          <w:jc w:val="center"/>
        </w:trPr>
        <w:tc>
          <w:tcPr>
            <w:tcW w:w="4536" w:type="dxa"/>
            <w:tcBorders>
              <w:bottom w:val="single" w:sz="4" w:space="0" w:color="auto"/>
            </w:tcBorders>
            <w:hideMark/>
          </w:tcPr>
          <w:p w:rsidR="007B0933" w:rsidRPr="00821928" w:rsidRDefault="007B0933" w:rsidP="004D099A">
            <w:pPr>
              <w:jc w:val="center"/>
              <w:rPr>
                <w:rFonts w:ascii="CMU Sans Serif" w:hAnsi="CMU Sans Serif" w:cs="CMU Sans Serif"/>
                <w:b/>
                <w:bCs/>
                <w:sz w:val="24"/>
                <w:szCs w:val="24"/>
              </w:rPr>
            </w:pPr>
            <w:r w:rsidRPr="00821928">
              <w:rPr>
                <w:rFonts w:ascii="CMU Sans Serif" w:hAnsi="CMU Sans Serif" w:cs="CMU Sans Serif"/>
                <w:b/>
                <w:bCs/>
                <w:sz w:val="24"/>
                <w:szCs w:val="24"/>
              </w:rPr>
              <w:t>Parameter</w:t>
            </w:r>
          </w:p>
        </w:tc>
        <w:tc>
          <w:tcPr>
            <w:tcW w:w="4536" w:type="dxa"/>
            <w:tcBorders>
              <w:bottom w:val="single" w:sz="4" w:space="0" w:color="auto"/>
            </w:tcBorders>
            <w:hideMark/>
          </w:tcPr>
          <w:p w:rsidR="007B0933" w:rsidRPr="00821928" w:rsidRDefault="007B0933" w:rsidP="004D099A">
            <w:pPr>
              <w:jc w:val="center"/>
              <w:rPr>
                <w:rFonts w:ascii="CMU Sans Serif" w:hAnsi="CMU Sans Serif" w:cs="CMU Sans Serif"/>
                <w:b/>
                <w:bCs/>
                <w:sz w:val="24"/>
                <w:szCs w:val="24"/>
              </w:rPr>
            </w:pPr>
            <w:r w:rsidRPr="00821928">
              <w:rPr>
                <w:rFonts w:ascii="CMU Sans Serif" w:hAnsi="CMU Sans Serif" w:cs="CMU Sans Serif"/>
                <w:b/>
                <w:bCs/>
                <w:sz w:val="24"/>
                <w:szCs w:val="24"/>
              </w:rPr>
              <w:t>qPCR (MT3-B gene detection)</w:t>
            </w:r>
          </w:p>
        </w:tc>
        <w:tc>
          <w:tcPr>
            <w:tcW w:w="4536" w:type="dxa"/>
            <w:gridSpan w:val="2"/>
            <w:tcBorders>
              <w:bottom w:val="single" w:sz="4" w:space="0" w:color="auto"/>
            </w:tcBorders>
            <w:hideMark/>
          </w:tcPr>
          <w:p w:rsidR="007B0933" w:rsidRPr="00821928" w:rsidRDefault="007B0933" w:rsidP="004D099A">
            <w:pPr>
              <w:jc w:val="center"/>
              <w:rPr>
                <w:rFonts w:ascii="CMU Sans Serif" w:hAnsi="CMU Sans Serif" w:cs="CMU Sans Serif"/>
                <w:b/>
                <w:bCs/>
                <w:sz w:val="24"/>
                <w:szCs w:val="24"/>
              </w:rPr>
            </w:pPr>
            <w:r w:rsidRPr="00821928">
              <w:rPr>
                <w:rFonts w:ascii="CMU Sans Serif" w:hAnsi="CMU Sans Serif" w:cs="CMU Sans Serif"/>
                <w:b/>
                <w:bCs/>
                <w:sz w:val="24"/>
                <w:szCs w:val="24"/>
              </w:rPr>
              <w:t>GC-FID (Phytosterol profiling)</w:t>
            </w:r>
          </w:p>
        </w:tc>
      </w:tr>
      <w:tr w:rsidR="00801E51" w:rsidRPr="00C65D82" w:rsidTr="003D5C3B">
        <w:trPr>
          <w:gridAfter w:val="1"/>
          <w:wAfter w:w="97" w:type="dxa"/>
          <w:tblCellSpacing w:w="15" w:type="dxa"/>
          <w:jc w:val="center"/>
        </w:trPr>
        <w:tc>
          <w:tcPr>
            <w:tcW w:w="4536" w:type="dxa"/>
            <w:hideMark/>
          </w:tcPr>
          <w:p w:rsidR="007B0933" w:rsidRPr="00E35CD8" w:rsidRDefault="007B0933" w:rsidP="004D099A">
            <w:pPr>
              <w:jc w:val="center"/>
              <w:rPr>
                <w:rFonts w:ascii="CMU Sans Serif" w:hAnsi="CMU Sans Serif" w:cs="CMU Sans Serif"/>
                <w:sz w:val="24"/>
                <w:szCs w:val="24"/>
              </w:rPr>
            </w:pPr>
            <w:r w:rsidRPr="00E35CD8">
              <w:rPr>
                <w:rFonts w:ascii="CMU Sans Serif" w:hAnsi="CMU Sans Serif" w:cs="CMU Sans Serif"/>
                <w:sz w:val="24"/>
                <w:szCs w:val="24"/>
              </w:rPr>
              <w:t>Estimated time per sample</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2–3 hours (normalized from batch 96-well format)</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4–6 hours (including prep, derivatization, and runtime)</w:t>
            </w:r>
          </w:p>
        </w:tc>
      </w:tr>
      <w:tr w:rsidR="00801E51" w:rsidRPr="00C65D82" w:rsidTr="003D5C3B">
        <w:trPr>
          <w:gridAfter w:val="1"/>
          <w:wAfter w:w="97" w:type="dxa"/>
          <w:tblCellSpacing w:w="15" w:type="dxa"/>
          <w:jc w:val="center"/>
        </w:trPr>
        <w:tc>
          <w:tcPr>
            <w:tcW w:w="4536" w:type="dxa"/>
            <w:hideMark/>
          </w:tcPr>
          <w:p w:rsidR="007B0933" w:rsidRPr="00E35CD8" w:rsidRDefault="007B0933" w:rsidP="004D099A">
            <w:pPr>
              <w:jc w:val="center"/>
              <w:rPr>
                <w:rFonts w:ascii="CMU Sans Serif" w:hAnsi="CMU Sans Serif" w:cs="CMU Sans Serif"/>
                <w:sz w:val="24"/>
                <w:szCs w:val="24"/>
              </w:rPr>
            </w:pPr>
            <w:r w:rsidRPr="00E35CD8">
              <w:rPr>
                <w:rFonts w:ascii="CMU Sans Serif" w:hAnsi="CMU Sans Serif" w:cs="CMU Sans Serif"/>
                <w:sz w:val="24"/>
                <w:szCs w:val="24"/>
              </w:rPr>
              <w:t>Processing steps included</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DNA extraction, qPCR mix setup, thermocycling</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Lipid extraction, saponification, derivatization, GC-FID</w:t>
            </w:r>
          </w:p>
        </w:tc>
      </w:tr>
      <w:tr w:rsidR="00801E51" w:rsidRPr="00C65D82" w:rsidTr="003D5C3B">
        <w:trPr>
          <w:gridAfter w:val="1"/>
          <w:wAfter w:w="97" w:type="dxa"/>
          <w:tblCellSpacing w:w="15" w:type="dxa"/>
          <w:jc w:val="center"/>
        </w:trPr>
        <w:tc>
          <w:tcPr>
            <w:tcW w:w="4536" w:type="dxa"/>
            <w:hideMark/>
          </w:tcPr>
          <w:p w:rsidR="007B0933" w:rsidRPr="00E35CD8" w:rsidRDefault="007B0933" w:rsidP="004D099A">
            <w:pPr>
              <w:jc w:val="center"/>
              <w:rPr>
                <w:rFonts w:ascii="CMU Sans Serif" w:hAnsi="CMU Sans Serif" w:cs="CMU Sans Serif"/>
                <w:sz w:val="24"/>
                <w:szCs w:val="24"/>
              </w:rPr>
            </w:pPr>
            <w:r w:rsidRPr="00E35CD8">
              <w:rPr>
                <w:rFonts w:ascii="CMU Sans Serif" w:hAnsi="CMU Sans Serif" w:cs="CMU Sans Serif"/>
                <w:sz w:val="24"/>
                <w:szCs w:val="24"/>
              </w:rPr>
              <w:t>Typical sample throughput</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Up to 96 samples per plate (batch)</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 xml:space="preserve">10–15 samples per </w:t>
            </w:r>
            <w:proofErr w:type="spellStart"/>
            <w:r w:rsidRPr="00C65D82">
              <w:rPr>
                <w:rFonts w:ascii="CMU Sans Serif" w:hAnsi="CMU Sans Serif" w:cs="CMU Sans Serif"/>
                <w:sz w:val="24"/>
                <w:szCs w:val="24"/>
              </w:rPr>
              <w:t>autosampler</w:t>
            </w:r>
            <w:proofErr w:type="spellEnd"/>
            <w:r w:rsidRPr="00C65D82">
              <w:rPr>
                <w:rFonts w:ascii="CMU Sans Serif" w:hAnsi="CMU Sans Serif" w:cs="CMU Sans Serif"/>
                <w:sz w:val="24"/>
                <w:szCs w:val="24"/>
              </w:rPr>
              <w:t xml:space="preserve"> batch</w:t>
            </w:r>
          </w:p>
        </w:tc>
      </w:tr>
      <w:tr w:rsidR="00801E51" w:rsidRPr="00C65D82" w:rsidTr="003D5C3B">
        <w:trPr>
          <w:gridAfter w:val="1"/>
          <w:wAfter w:w="97" w:type="dxa"/>
          <w:tblCellSpacing w:w="15" w:type="dxa"/>
          <w:jc w:val="center"/>
        </w:trPr>
        <w:tc>
          <w:tcPr>
            <w:tcW w:w="4536" w:type="dxa"/>
            <w:hideMark/>
          </w:tcPr>
          <w:p w:rsidR="007B0933" w:rsidRPr="00E35CD8" w:rsidRDefault="007B0933" w:rsidP="004D099A">
            <w:pPr>
              <w:jc w:val="center"/>
              <w:rPr>
                <w:rFonts w:ascii="CMU Sans Serif" w:hAnsi="CMU Sans Serif" w:cs="CMU Sans Serif"/>
                <w:sz w:val="24"/>
                <w:szCs w:val="24"/>
              </w:rPr>
            </w:pPr>
            <w:r w:rsidRPr="00E35CD8">
              <w:rPr>
                <w:rFonts w:ascii="CMU Sans Serif" w:hAnsi="CMU Sans Serif" w:cs="CMU Sans Serif"/>
                <w:sz w:val="24"/>
                <w:szCs w:val="24"/>
              </w:rPr>
              <w:t>Per-sample injection time</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Not applicable (plate-based)</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~25 minutes</w:t>
            </w:r>
          </w:p>
        </w:tc>
      </w:tr>
      <w:tr w:rsidR="00801E51" w:rsidRPr="00C65D82" w:rsidTr="003D5C3B">
        <w:trPr>
          <w:gridAfter w:val="1"/>
          <w:wAfter w:w="97" w:type="dxa"/>
          <w:tblCellSpacing w:w="15" w:type="dxa"/>
          <w:jc w:val="center"/>
        </w:trPr>
        <w:tc>
          <w:tcPr>
            <w:tcW w:w="4536" w:type="dxa"/>
            <w:hideMark/>
          </w:tcPr>
          <w:p w:rsidR="007B0933" w:rsidRPr="00E35CD8" w:rsidRDefault="007B0933" w:rsidP="004D099A">
            <w:pPr>
              <w:jc w:val="center"/>
              <w:rPr>
                <w:rFonts w:ascii="CMU Sans Serif" w:hAnsi="CMU Sans Serif" w:cs="CMU Sans Serif"/>
                <w:sz w:val="24"/>
                <w:szCs w:val="24"/>
              </w:rPr>
            </w:pPr>
            <w:r w:rsidRPr="00E35CD8">
              <w:rPr>
                <w:rFonts w:ascii="CMU Sans Serif" w:hAnsi="CMU Sans Serif" w:cs="CMU Sans Serif"/>
                <w:sz w:val="24"/>
                <w:szCs w:val="24"/>
              </w:rPr>
              <w:t>Injection mode</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Not applicable</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Splitless</w:t>
            </w:r>
          </w:p>
        </w:tc>
      </w:tr>
      <w:tr w:rsidR="00801E51" w:rsidRPr="00C65D82" w:rsidTr="003D5C3B">
        <w:trPr>
          <w:gridAfter w:val="1"/>
          <w:wAfter w:w="97" w:type="dxa"/>
          <w:tblCellSpacing w:w="15" w:type="dxa"/>
          <w:jc w:val="center"/>
        </w:trPr>
        <w:tc>
          <w:tcPr>
            <w:tcW w:w="4536" w:type="dxa"/>
            <w:hideMark/>
          </w:tcPr>
          <w:p w:rsidR="007B0933" w:rsidRPr="00E35CD8" w:rsidRDefault="007B0933" w:rsidP="004D099A">
            <w:pPr>
              <w:jc w:val="center"/>
              <w:rPr>
                <w:rFonts w:ascii="CMU Sans Serif" w:hAnsi="CMU Sans Serif" w:cs="CMU Sans Serif"/>
                <w:sz w:val="24"/>
                <w:szCs w:val="24"/>
              </w:rPr>
            </w:pPr>
            <w:r w:rsidRPr="00E35CD8">
              <w:rPr>
                <w:rFonts w:ascii="CMU Sans Serif" w:hAnsi="CMU Sans Serif" w:cs="CMU Sans Serif"/>
                <w:sz w:val="24"/>
                <w:szCs w:val="24"/>
              </w:rPr>
              <w:t>Injection volume</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Not applicable</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1</w:t>
            </w:r>
            <w:r w:rsidRPr="00C65D82">
              <w:rPr>
                <w:rFonts w:ascii="Cambria Math" w:hAnsi="Cambria Math" w:cs="Cambria Math"/>
                <w:sz w:val="24"/>
                <w:szCs w:val="24"/>
              </w:rPr>
              <w:t> </w:t>
            </w:r>
            <w:proofErr w:type="spellStart"/>
            <w:r w:rsidRPr="00C65D82">
              <w:rPr>
                <w:rFonts w:ascii="CMU Sans Serif" w:hAnsi="CMU Sans Serif" w:cs="CMU Sans Serif"/>
                <w:sz w:val="24"/>
                <w:szCs w:val="24"/>
              </w:rPr>
              <w:t>μL</w:t>
            </w:r>
            <w:proofErr w:type="spellEnd"/>
          </w:p>
        </w:tc>
      </w:tr>
      <w:tr w:rsidR="00801E51" w:rsidRPr="00C65D82" w:rsidTr="003D5C3B">
        <w:trPr>
          <w:gridAfter w:val="1"/>
          <w:wAfter w:w="97" w:type="dxa"/>
          <w:tblCellSpacing w:w="15" w:type="dxa"/>
          <w:jc w:val="center"/>
        </w:trPr>
        <w:tc>
          <w:tcPr>
            <w:tcW w:w="4536" w:type="dxa"/>
            <w:hideMark/>
          </w:tcPr>
          <w:p w:rsidR="007B0933" w:rsidRPr="00E35CD8" w:rsidRDefault="007B0933" w:rsidP="004D099A">
            <w:pPr>
              <w:jc w:val="center"/>
              <w:rPr>
                <w:rFonts w:ascii="CMU Sans Serif" w:hAnsi="CMU Sans Serif" w:cs="CMU Sans Serif"/>
                <w:sz w:val="24"/>
                <w:szCs w:val="24"/>
              </w:rPr>
            </w:pPr>
            <w:r w:rsidRPr="00E35CD8">
              <w:rPr>
                <w:rFonts w:ascii="CMU Sans Serif" w:hAnsi="CMU Sans Serif" w:cs="CMU Sans Serif"/>
                <w:sz w:val="24"/>
                <w:szCs w:val="24"/>
              </w:rPr>
              <w:t>Key reagents and consumables</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SYBR Green Master Mix, MT3-B primers, PCR tubes, buffers</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Saponification reagents, BSTFA + TMCS, solvents, betulin</w:t>
            </w:r>
          </w:p>
        </w:tc>
      </w:tr>
      <w:tr w:rsidR="00801E51" w:rsidRPr="00C65D82" w:rsidTr="003D5C3B">
        <w:trPr>
          <w:gridAfter w:val="1"/>
          <w:wAfter w:w="97" w:type="dxa"/>
          <w:tblCellSpacing w:w="15" w:type="dxa"/>
          <w:jc w:val="center"/>
        </w:trPr>
        <w:tc>
          <w:tcPr>
            <w:tcW w:w="4536" w:type="dxa"/>
            <w:hideMark/>
          </w:tcPr>
          <w:p w:rsidR="007B0933" w:rsidRPr="00E35CD8" w:rsidRDefault="007B0933" w:rsidP="004D099A">
            <w:pPr>
              <w:jc w:val="center"/>
              <w:rPr>
                <w:rFonts w:ascii="CMU Sans Serif" w:hAnsi="CMU Sans Serif" w:cs="CMU Sans Serif"/>
                <w:sz w:val="24"/>
                <w:szCs w:val="24"/>
              </w:rPr>
            </w:pPr>
            <w:r w:rsidRPr="00E35CD8">
              <w:rPr>
                <w:rFonts w:ascii="CMU Sans Serif" w:hAnsi="CMU Sans Serif" w:cs="CMU Sans Serif"/>
                <w:sz w:val="24"/>
                <w:szCs w:val="24"/>
              </w:rPr>
              <w:t>Estimated reagent cost per sample</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$3–5</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$10–15</w:t>
            </w:r>
          </w:p>
        </w:tc>
      </w:tr>
      <w:tr w:rsidR="00801E51" w:rsidRPr="00C65D82" w:rsidTr="003D5C3B">
        <w:trPr>
          <w:gridAfter w:val="1"/>
          <w:wAfter w:w="97" w:type="dxa"/>
          <w:tblCellSpacing w:w="15" w:type="dxa"/>
          <w:jc w:val="center"/>
        </w:trPr>
        <w:tc>
          <w:tcPr>
            <w:tcW w:w="4536" w:type="dxa"/>
            <w:hideMark/>
          </w:tcPr>
          <w:p w:rsidR="007B0933" w:rsidRPr="00E35CD8" w:rsidRDefault="007B0933" w:rsidP="004D099A">
            <w:pPr>
              <w:jc w:val="center"/>
              <w:rPr>
                <w:rFonts w:ascii="CMU Sans Serif" w:hAnsi="CMU Sans Serif" w:cs="CMU Sans Serif"/>
                <w:sz w:val="24"/>
                <w:szCs w:val="24"/>
              </w:rPr>
            </w:pPr>
            <w:r w:rsidRPr="00E35CD8">
              <w:rPr>
                <w:rFonts w:ascii="CMU Sans Serif" w:hAnsi="CMU Sans Serif" w:cs="CMU Sans Serif"/>
                <w:sz w:val="24"/>
                <w:szCs w:val="24"/>
              </w:rPr>
              <w:t>Instrument requirements</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Real-time PCR cycler (96-well compatible)</w:t>
            </w:r>
          </w:p>
        </w:tc>
        <w:tc>
          <w:tcPr>
            <w:tcW w:w="4536" w:type="dxa"/>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 xml:space="preserve">GC-FID with </w:t>
            </w:r>
            <w:proofErr w:type="spellStart"/>
            <w:r w:rsidRPr="00C65D82">
              <w:rPr>
                <w:rFonts w:ascii="CMU Sans Serif" w:hAnsi="CMU Sans Serif" w:cs="CMU Sans Serif"/>
                <w:sz w:val="24"/>
                <w:szCs w:val="24"/>
              </w:rPr>
              <w:t>autosampler</w:t>
            </w:r>
            <w:proofErr w:type="spellEnd"/>
          </w:p>
        </w:tc>
      </w:tr>
      <w:tr w:rsidR="00801E51" w:rsidRPr="00C65D82" w:rsidTr="003D5C3B">
        <w:trPr>
          <w:gridAfter w:val="1"/>
          <w:wAfter w:w="97" w:type="dxa"/>
          <w:tblCellSpacing w:w="15" w:type="dxa"/>
          <w:jc w:val="center"/>
        </w:trPr>
        <w:tc>
          <w:tcPr>
            <w:tcW w:w="4536" w:type="dxa"/>
            <w:tcBorders>
              <w:bottom w:val="single" w:sz="4" w:space="0" w:color="auto"/>
            </w:tcBorders>
            <w:hideMark/>
          </w:tcPr>
          <w:p w:rsidR="007B0933" w:rsidRPr="00E35CD8" w:rsidRDefault="007B0933" w:rsidP="004D099A">
            <w:pPr>
              <w:jc w:val="center"/>
              <w:rPr>
                <w:rFonts w:ascii="CMU Sans Serif" w:hAnsi="CMU Sans Serif" w:cs="CMU Sans Serif"/>
                <w:sz w:val="24"/>
                <w:szCs w:val="24"/>
              </w:rPr>
            </w:pPr>
            <w:r w:rsidRPr="00E35CD8">
              <w:rPr>
                <w:rFonts w:ascii="CMU Sans Serif" w:hAnsi="CMU Sans Serif" w:cs="CMU Sans Serif"/>
                <w:sz w:val="24"/>
                <w:szCs w:val="24"/>
              </w:rPr>
              <w:t>Internal standard used</w:t>
            </w:r>
          </w:p>
        </w:tc>
        <w:tc>
          <w:tcPr>
            <w:tcW w:w="4536" w:type="dxa"/>
            <w:tcBorders>
              <w:bottom w:val="single" w:sz="4" w:space="0" w:color="auto"/>
            </w:tcBorders>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Not applicable</w:t>
            </w:r>
          </w:p>
        </w:tc>
        <w:tc>
          <w:tcPr>
            <w:tcW w:w="4536" w:type="dxa"/>
            <w:tcBorders>
              <w:bottom w:val="single" w:sz="4" w:space="0" w:color="auto"/>
            </w:tcBorders>
            <w:hideMark/>
          </w:tcPr>
          <w:p w:rsidR="007B0933" w:rsidRPr="00C65D82" w:rsidRDefault="007B0933" w:rsidP="004D099A">
            <w:pPr>
              <w:jc w:val="center"/>
              <w:rPr>
                <w:rFonts w:ascii="CMU Sans Serif" w:hAnsi="CMU Sans Serif" w:cs="CMU Sans Serif"/>
                <w:sz w:val="24"/>
                <w:szCs w:val="24"/>
              </w:rPr>
            </w:pPr>
            <w:r w:rsidRPr="00C65D82">
              <w:rPr>
                <w:rFonts w:ascii="CMU Sans Serif" w:hAnsi="CMU Sans Serif" w:cs="CMU Sans Serif"/>
                <w:sz w:val="24"/>
                <w:szCs w:val="24"/>
              </w:rPr>
              <w:t>Betulin</w:t>
            </w:r>
          </w:p>
        </w:tc>
      </w:tr>
    </w:tbl>
    <w:p w:rsidR="007B0933" w:rsidRDefault="007B0933" w:rsidP="007B0933"/>
    <w:p w:rsidR="007B0933" w:rsidRDefault="003D5C3B" w:rsidP="003D5C3B">
      <w:pPr>
        <w:spacing w:line="360" w:lineRule="auto"/>
        <w:rPr>
          <w:rFonts w:ascii="CMU Sans Serif" w:hAnsi="CMU Sans Serif" w:cs="CMU Sans Serif"/>
          <w:sz w:val="24"/>
          <w:szCs w:val="24"/>
          <w:rtl/>
        </w:rPr>
      </w:pPr>
      <w:r w:rsidRPr="001F5030">
        <w:rPr>
          <w:rFonts w:ascii="CMU Sans Serif" w:hAnsi="CMU Sans Serif" w:cs="CMU Sans Serif"/>
          <w:b/>
          <w:bCs/>
          <w:sz w:val="24"/>
          <w:szCs w:val="24"/>
        </w:rPr>
        <w:t>Notes</w:t>
      </w:r>
      <w:proofErr w:type="gramStart"/>
      <w:r w:rsidRPr="001F5030">
        <w:rPr>
          <w:rFonts w:ascii="CMU Sans Serif" w:hAnsi="CMU Sans Serif" w:cs="CMU Sans Serif"/>
          <w:b/>
          <w:bCs/>
          <w:sz w:val="24"/>
          <w:szCs w:val="24"/>
        </w:rPr>
        <w:t>:</w:t>
      </w:r>
      <w:proofErr w:type="gramEnd"/>
      <w:r w:rsidRPr="003D5C3B">
        <w:rPr>
          <w:rFonts w:ascii="CMU Sans Serif" w:hAnsi="CMU Sans Serif" w:cs="CMU Sans Serif"/>
          <w:sz w:val="24"/>
          <w:szCs w:val="24"/>
        </w:rPr>
        <w:br/>
        <w:t>All time and cost estimates are based on individual sample processing under typical laboratory conditions. Costs reflect consumables and reagents only, excluding technician labor, equipment depreciation, and overhead. For qPCR, processing time is normalized from parallel processing on a 96-well plate. For GC-FID, time includes sample preparation and chromatographic runtime. Reagents and protocol steps correspond to those described in the Methods section of the main manuscript.</w:t>
      </w:r>
    </w:p>
    <w:p w:rsidR="00535F86" w:rsidRDefault="00535F86" w:rsidP="003D5C3B">
      <w:pPr>
        <w:spacing w:line="360" w:lineRule="auto"/>
        <w:rPr>
          <w:rFonts w:ascii="CMU Sans Serif" w:hAnsi="CMU Sans Serif" w:cs="CMU Sans Serif"/>
          <w:sz w:val="24"/>
          <w:szCs w:val="24"/>
          <w:rtl/>
        </w:rPr>
      </w:pPr>
      <w:bookmarkStart w:id="0" w:name="_GoBack"/>
      <w:bookmarkEnd w:id="0"/>
    </w:p>
    <w:sectPr w:rsidR="00535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MU Sans Serif">
    <w:panose1 w:val="00000000000000000000"/>
    <w:charset w:val="00"/>
    <w:family w:val="modern"/>
    <w:notTrueType/>
    <w:pitch w:val="variable"/>
    <w:sig w:usb0="E10002FF" w:usb1="5201E9EB" w:usb2="00020004" w:usb3="00000000" w:csb0="0000011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B0A47"/>
    <w:multiLevelType w:val="multilevel"/>
    <w:tmpl w:val="0FA0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3760D1"/>
    <w:multiLevelType w:val="multilevel"/>
    <w:tmpl w:val="17B28E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F40"/>
    <w:rsid w:val="00064AAD"/>
    <w:rsid w:val="001F5030"/>
    <w:rsid w:val="00251F4E"/>
    <w:rsid w:val="00326341"/>
    <w:rsid w:val="003D5C3B"/>
    <w:rsid w:val="003E7003"/>
    <w:rsid w:val="004D099A"/>
    <w:rsid w:val="00535F86"/>
    <w:rsid w:val="006754C3"/>
    <w:rsid w:val="007B0933"/>
    <w:rsid w:val="00801E51"/>
    <w:rsid w:val="00821928"/>
    <w:rsid w:val="00823162"/>
    <w:rsid w:val="0089140F"/>
    <w:rsid w:val="00986EED"/>
    <w:rsid w:val="00B02CDF"/>
    <w:rsid w:val="00C12E81"/>
    <w:rsid w:val="00C65D82"/>
    <w:rsid w:val="00D26F40"/>
    <w:rsid w:val="00E35C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A58C84-7C16-4A47-BBCB-DD08F760D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02C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D26F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26F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6F4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26F4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26F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26F40"/>
    <w:rPr>
      <w:b/>
      <w:bCs/>
    </w:rPr>
  </w:style>
  <w:style w:type="character" w:styleId="Emphasis">
    <w:name w:val="Emphasis"/>
    <w:basedOn w:val="DefaultParagraphFont"/>
    <w:uiPriority w:val="20"/>
    <w:qFormat/>
    <w:rsid w:val="00D26F40"/>
    <w:rPr>
      <w:i/>
      <w:iCs/>
    </w:rPr>
  </w:style>
  <w:style w:type="character" w:styleId="HTMLCode">
    <w:name w:val="HTML Code"/>
    <w:basedOn w:val="DefaultParagraphFont"/>
    <w:uiPriority w:val="99"/>
    <w:semiHidden/>
    <w:unhideWhenUsed/>
    <w:rsid w:val="00D26F40"/>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B02CD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3525173">
      <w:bodyDiv w:val="1"/>
      <w:marLeft w:val="0"/>
      <w:marRight w:val="0"/>
      <w:marTop w:val="0"/>
      <w:marBottom w:val="0"/>
      <w:divBdr>
        <w:top w:val="none" w:sz="0" w:space="0" w:color="auto"/>
        <w:left w:val="none" w:sz="0" w:space="0" w:color="auto"/>
        <w:bottom w:val="none" w:sz="0" w:space="0" w:color="auto"/>
        <w:right w:val="none" w:sz="0" w:space="0" w:color="auto"/>
      </w:divBdr>
    </w:div>
    <w:div w:id="1247956809">
      <w:bodyDiv w:val="1"/>
      <w:marLeft w:val="0"/>
      <w:marRight w:val="0"/>
      <w:marTop w:val="0"/>
      <w:marBottom w:val="0"/>
      <w:divBdr>
        <w:top w:val="none" w:sz="0" w:space="0" w:color="auto"/>
        <w:left w:val="none" w:sz="0" w:space="0" w:color="auto"/>
        <w:bottom w:val="none" w:sz="0" w:space="0" w:color="auto"/>
        <w:right w:val="none" w:sz="0" w:space="0" w:color="auto"/>
      </w:divBdr>
    </w:div>
    <w:div w:id="1782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ortazaviali80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Aslan</dc:creator>
  <cp:keywords/>
  <dc:description/>
  <cp:lastModifiedBy>Aslan</cp:lastModifiedBy>
  <cp:revision>6</cp:revision>
  <dcterms:created xsi:type="dcterms:W3CDTF">2025-07-29T19:17:00Z</dcterms:created>
  <dcterms:modified xsi:type="dcterms:W3CDTF">2025-08-05T14:08:00Z</dcterms:modified>
</cp:coreProperties>
</file>