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both"/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lang w:val="en-US" w:eastAsia="zh-CN" w:bidi="ar"/>
        </w:rPr>
      </w:pPr>
    </w:p>
    <w:p>
      <w:pPr>
        <w:pStyle w:val="2"/>
        <w:keepNext w:val="0"/>
        <w:keepLines w:val="0"/>
        <w:widowControl/>
        <w:suppressLineNumbers w:val="0"/>
        <w:spacing w:line="360" w:lineRule="auto"/>
        <w:ind w:left="0" w:firstLine="0"/>
        <w:jc w:val="both"/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lang w:val="en-US" w:eastAsia="zh-CN" w:bidi="ar"/>
        </w:rPr>
        <w:t>Supplementary Figure 1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V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olcano plot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s of MR results. A, V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olcano plot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s show risk and protective factors using cis-eQTL in the discovery cohort (ieu_b_4953 dataset). B, V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olcano plot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s show risk and protective factors using cis-eQTL in the </w:t>
      </w:r>
      <w:r>
        <w:rPr>
          <w:rFonts w:hint="eastAsia" w:ascii="Times New Roman" w:hAnsi="Times New Roman" w:eastAsia="黑体" w:cs="Times New Roman"/>
          <w:color w:val="000000" w:themeColor="text1"/>
          <w:kern w:val="2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replication</w:t>
      </w:r>
      <w:r>
        <w:rPr>
          <w:rFonts w:hint="default" w:ascii="Times New Roman" w:hAnsi="Times New Roman" w:eastAsia="黑体" w:cs="Times New Roman"/>
          <w:color w:val="000000" w:themeColor="text1"/>
          <w:kern w:val="2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 xml:space="preserve"> cohort (finngen_R10_c3_HEPATOCELLU-CARC-EXALLC dataset)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. C, V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olcano plot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s show risk and protective factors based on cis-pQTL in the training cohort (ieu_b_4953 dataset). D, V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olcano plot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s show risk and protective factors based on cis-pQTL in the </w:t>
      </w:r>
      <w:r>
        <w:rPr>
          <w:rFonts w:hint="default" w:ascii="Times New Roman" w:hAnsi="Times New Roman" w:eastAsia="黑体" w:cs="Times New Roman"/>
          <w:color w:val="000000" w:themeColor="text1"/>
          <w:kern w:val="2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validation cohort (finngen_R10_c3_HEPATOCELLU-CARC-EXALLC dataset)</w:t>
      </w:r>
      <w:r>
        <w:rPr>
          <w:rFonts w:hint="eastAsia" w:ascii="Times New Roman" w:hAnsi="Times New Roman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. </w:t>
      </w:r>
      <w:bookmarkStart w:id="0" w:name="_GoBack"/>
      <w:bookmarkEnd w:id="0"/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both"/>
        <w:rPr>
          <w:rFonts w:hint="default" w:ascii="Times New Roman" w:hAnsi="Times New Roman" w:eastAsia="黑体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lang w:val="en-US" w:eastAsia="zh-CN" w:bidi="ar"/>
        </w:rPr>
        <w:t xml:space="preserve">Supplementary Figure </w:t>
      </w:r>
      <w:r>
        <w:rPr>
          <w:rFonts w:hint="eastAsia" w:ascii="Times New Roman" w:hAnsi="Times New Roman" w:eastAsia="黑体" w:cs="Times New Roman"/>
          <w:b/>
          <w:bCs/>
          <w:kern w:val="2"/>
          <w:sz w:val="24"/>
          <w:szCs w:val="24"/>
          <w:lang w:val="en-US" w:eastAsia="zh-CN" w:bidi="ar"/>
        </w:rPr>
        <w:t>2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Phenotype-wide MR analysis results of CPA4 (A) and DNMT1 gene (B). Circles represent risk factors, while triangles represent protective factors.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both"/>
        <w:rPr>
          <w:rFonts w:hint="default" w:ascii="Times New Roman" w:hAnsi="Times New Roman" w:eastAsia="黑体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lang w:val="en-US" w:eastAsia="zh-CN" w:bidi="ar"/>
        </w:rPr>
        <w:t xml:space="preserve">Supplementary Figure </w:t>
      </w:r>
      <w:r>
        <w:rPr>
          <w:rFonts w:hint="eastAsia" w:ascii="Times New Roman" w:hAnsi="Times New Roman" w:eastAsia="黑体" w:cs="Times New Roman"/>
          <w:b/>
          <w:bCs/>
          <w:kern w:val="2"/>
          <w:sz w:val="24"/>
          <w:szCs w:val="24"/>
          <w:lang w:val="en-US" w:eastAsia="zh-CN" w:bidi="ar"/>
        </w:rPr>
        <w:t>3</w:t>
      </w:r>
      <w:r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Functional enrichment analysis results of 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8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genes. A, Enrichment results of biological processes of 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8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genes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.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B, Cell composition enrichment results of 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8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genes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.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C, Molecular functional enrichment results of eight genes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.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D, KEGG enrichment results of eight genes.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both"/>
        <w:rPr>
          <w:rFonts w:hint="default" w:ascii="Times New Roman" w:hAnsi="Times New Roman" w:eastAsia="黑体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lang w:val="en-US" w:eastAsia="zh-CN" w:bidi="ar"/>
        </w:rPr>
        <w:t xml:space="preserve">Supplementary Figure </w:t>
      </w:r>
      <w:r>
        <w:rPr>
          <w:rFonts w:hint="eastAsia" w:ascii="Times New Roman" w:hAnsi="Times New Roman" w:eastAsia="黑体" w:cs="Times New Roman"/>
          <w:b/>
          <w:bCs/>
          <w:kern w:val="2"/>
          <w:sz w:val="24"/>
          <w:szCs w:val="24"/>
          <w:lang w:val="en-US" w:eastAsia="zh-CN" w:bidi="ar"/>
        </w:rPr>
        <w:t>4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The scRNA-seq data quality control. A The number of genes, the total Coun, and the percentage of mitochondrial gene in each cell of each sample before quality control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.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B, After quality control, the number of gene, the total Coun, and the percentage of chondriogene in each cell in each sample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.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C, The number of genesis positively correlated with sequencing depth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.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D, Scatter plots of the first 2000 highly variable genes</w:t>
      </w:r>
      <w:r>
        <w:rPr>
          <w:rFonts w:hint="eastAsia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>.</w:t>
      </w:r>
      <w:r>
        <w:rPr>
          <w:rFonts w:hint="default" w:ascii="Times New Roman" w:hAnsi="Times New Roman" w:eastAsia="黑体" w:cs="Times New Roman"/>
          <w:kern w:val="2"/>
          <w:sz w:val="24"/>
          <w:szCs w:val="24"/>
          <w:lang w:val="en-US" w:eastAsia="zh-CN" w:bidi="ar"/>
        </w:rPr>
        <w:t xml:space="preserve"> E, Classify cells using PCA and the top 20 PCs.</w:t>
      </w:r>
    </w:p>
    <w:p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3NWYwYjM1NDlhZjVhM2U3NWU3NWMwZmVmZDI1YjYifQ=="/>
  </w:docVars>
  <w:rsids>
    <w:rsidRoot w:val="00000000"/>
    <w:rsid w:val="280E513B"/>
    <w:rsid w:val="3CA85A98"/>
    <w:rsid w:val="4CA3574C"/>
    <w:rsid w:val="57A143EE"/>
    <w:rsid w:val="590267D8"/>
    <w:rsid w:val="5BE87F29"/>
    <w:rsid w:val="6D87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等线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等线" w:hAnsi="等线" w:eastAsia="等线" w:cs="等线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2024-08-20T01:51:00Z</dcterms:created>
  <dc:creator>86158</dc:creator>
  <cp:lastModifiedBy>user</cp:lastModifiedBy>
  <dcterms:modified xsi:type="dcterms:W3CDTF">2025-07-01T05:18:01Z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46AB8B8CE421441AA75A3B9E852AD77E_12</vt:lpwstr>
  </property>
</Properties>
</file>