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DBE44" w14:textId="51319762" w:rsidR="135052B8" w:rsidRDefault="135052B8" w:rsidP="1043B294">
      <w:pPr>
        <w:spacing w:before="240" w:after="240" w:line="480" w:lineRule="auto"/>
        <w:jc w:val="both"/>
        <w:rPr>
          <w:rFonts w:ascii="Times New Roman" w:eastAsia="Times New Roman" w:hAnsi="Times New Roman" w:cs="Times New Roman"/>
        </w:rPr>
      </w:pPr>
      <w:r w:rsidRPr="1043B294">
        <w:rPr>
          <w:rFonts w:ascii="Times New Roman" w:eastAsia="Times New Roman" w:hAnsi="Times New Roman" w:cs="Times New Roman"/>
          <w:b/>
          <w:bCs/>
        </w:rPr>
        <w:t>Figure S1</w:t>
      </w:r>
      <w:r w:rsidR="4FABE4F2" w:rsidRPr="1043B294">
        <w:rPr>
          <w:rFonts w:ascii="Times New Roman" w:eastAsia="Times New Roman" w:hAnsi="Times New Roman" w:cs="Times New Roman"/>
          <w:b/>
          <w:bCs/>
        </w:rPr>
        <w:t xml:space="preserve">: </w:t>
      </w:r>
      <w:r w:rsidRPr="1043B294">
        <w:rPr>
          <w:rFonts w:ascii="Times New Roman" w:eastAsia="Times New Roman" w:hAnsi="Times New Roman" w:cs="Times New Roman"/>
          <w:b/>
          <w:bCs/>
        </w:rPr>
        <w:t>Radius of gyration (</w:t>
      </w:r>
      <w:proofErr w:type="spellStart"/>
      <w:r w:rsidRPr="1043B294">
        <w:rPr>
          <w:rFonts w:ascii="Times New Roman" w:eastAsia="Times New Roman" w:hAnsi="Times New Roman" w:cs="Times New Roman"/>
          <w:b/>
          <w:bCs/>
        </w:rPr>
        <w:t>Rg</w:t>
      </w:r>
      <w:proofErr w:type="spellEnd"/>
      <w:r w:rsidRPr="1043B294">
        <w:rPr>
          <w:rFonts w:ascii="Times New Roman" w:eastAsia="Times New Roman" w:hAnsi="Times New Roman" w:cs="Times New Roman"/>
          <w:b/>
          <w:bCs/>
        </w:rPr>
        <w:t>) profiles of SARS-CoV-2 RBD mutants and ACE2 during 100 ns molecular dynamics simulations</w:t>
      </w:r>
      <w:r w:rsidRPr="1043B294">
        <w:rPr>
          <w:rFonts w:ascii="Times New Roman" w:eastAsia="Times New Roman" w:hAnsi="Times New Roman" w:cs="Times New Roman"/>
          <w:i/>
          <w:iCs/>
        </w:rPr>
        <w:t>.</w:t>
      </w:r>
      <w:r>
        <w:br/>
      </w:r>
      <w:r w:rsidRPr="1043B294">
        <w:rPr>
          <w:rFonts w:ascii="Times New Roman" w:eastAsia="Times New Roman" w:hAnsi="Times New Roman" w:cs="Times New Roman"/>
        </w:rPr>
        <w:t xml:space="preserve"> (A) Time evolution of </w:t>
      </w:r>
      <w:proofErr w:type="spellStart"/>
      <w:r w:rsidRPr="1043B294">
        <w:rPr>
          <w:rFonts w:ascii="Times New Roman" w:eastAsia="Times New Roman" w:hAnsi="Times New Roman" w:cs="Times New Roman"/>
        </w:rPr>
        <w:t>Rg</w:t>
      </w:r>
      <w:proofErr w:type="spellEnd"/>
      <w:r w:rsidRPr="1043B294">
        <w:rPr>
          <w:rFonts w:ascii="Times New Roman" w:eastAsia="Times New Roman" w:hAnsi="Times New Roman" w:cs="Times New Roman"/>
        </w:rPr>
        <w:t xml:space="preserve"> for SARS-CoV-2 wild-type and mutant RBDs (E484K, G496S, T478K, F490S, Q493E, T478A, T478E, Y369C), showing differences in structural compactness.(B) </w:t>
      </w:r>
      <w:proofErr w:type="spellStart"/>
      <w:r w:rsidRPr="1043B294">
        <w:rPr>
          <w:rFonts w:ascii="Times New Roman" w:eastAsia="Times New Roman" w:hAnsi="Times New Roman" w:cs="Times New Roman"/>
        </w:rPr>
        <w:t>Rg</w:t>
      </w:r>
      <w:proofErr w:type="spellEnd"/>
      <w:r w:rsidRPr="1043B294">
        <w:rPr>
          <w:rFonts w:ascii="Times New Roman" w:eastAsia="Times New Roman" w:hAnsi="Times New Roman" w:cs="Times New Roman"/>
        </w:rPr>
        <w:t xml:space="preserve"> trajectories of ACE2 in complex with each corresponding RBD variant, indicating mutation-induced alterations in receptor flexibility. Variations in </w:t>
      </w:r>
      <w:proofErr w:type="spellStart"/>
      <w:r w:rsidRPr="1043B294">
        <w:rPr>
          <w:rFonts w:ascii="Times New Roman" w:eastAsia="Times New Roman" w:hAnsi="Times New Roman" w:cs="Times New Roman"/>
        </w:rPr>
        <w:t>Rg</w:t>
      </w:r>
      <w:proofErr w:type="spellEnd"/>
      <w:r w:rsidRPr="1043B294">
        <w:rPr>
          <w:rFonts w:ascii="Times New Roman" w:eastAsia="Times New Roman" w:hAnsi="Times New Roman" w:cs="Times New Roman"/>
        </w:rPr>
        <w:t xml:space="preserve"> reflect differences in global structural stability and compactness of the protein complexes over the simulation time.</w:t>
      </w:r>
    </w:p>
    <w:p w14:paraId="4DAE73D1" w14:textId="1DACE24B" w:rsidR="4A06EA95" w:rsidRDefault="4A06EA95" w:rsidP="1043B294">
      <w:pPr>
        <w:spacing w:line="480" w:lineRule="auto"/>
        <w:jc w:val="both"/>
        <w:rPr>
          <w:rFonts w:ascii="Times New Roman" w:eastAsia="Times New Roman" w:hAnsi="Times New Roman" w:cs="Times New Roman"/>
        </w:rPr>
      </w:pPr>
      <w:r w:rsidRPr="1043B294">
        <w:rPr>
          <w:rFonts w:ascii="Times New Roman" w:eastAsia="Times New Roman" w:hAnsi="Times New Roman" w:cs="Times New Roman"/>
          <w:b/>
          <w:bCs/>
        </w:rPr>
        <w:t>Figure S2:</w:t>
      </w:r>
      <w:r w:rsidR="5C8322B7" w:rsidRPr="1043B294">
        <w:rPr>
          <w:rFonts w:ascii="Times New Roman" w:eastAsia="Times New Roman" w:hAnsi="Times New Roman" w:cs="Times New Roman"/>
          <w:b/>
          <w:bCs/>
        </w:rPr>
        <w:t xml:space="preserve"> </w:t>
      </w:r>
      <w:r w:rsidRPr="1043B294">
        <w:rPr>
          <w:rFonts w:ascii="Times New Roman" w:eastAsia="Times New Roman" w:hAnsi="Times New Roman" w:cs="Times New Roman"/>
        </w:rPr>
        <w:t>Free Energy Landscapes (FEL) with identified energy wells for the SARS-CoV-2 RBD wild type and eight mutant variants: T478K, E484K, G496S, F490S, Q493E, Y369C, T478A, and T478E. Each panel presents a 2D FEL plot generated from principal component analysis (PCA), using PC1 and PC2 as reaction coordinates. The number of local minima or energy wells identified by non-parametric clustering is indicated in each panel title. Color bars represent the relative energy level (kcal/mol), where yellow indicates high-energy regions and purple indicates low-energy basins. Black circles mark the positions of identified local minima. These variations in the number and distribution of wells reflect differences in the conformational flexibility and energy landscape ruggedness of each RBD mutant relative to the wild type.</w:t>
      </w:r>
    </w:p>
    <w:p w14:paraId="3C59C3AF" w14:textId="3C1732DB" w:rsidR="113A56E7" w:rsidRDefault="113A56E7" w:rsidP="1043B294">
      <w:pPr>
        <w:spacing w:line="480" w:lineRule="auto"/>
        <w:jc w:val="both"/>
        <w:rPr>
          <w:rFonts w:ascii="Times New Roman" w:eastAsia="Times New Roman" w:hAnsi="Times New Roman" w:cs="Times New Roman"/>
        </w:rPr>
      </w:pPr>
      <w:r w:rsidRPr="1043B294">
        <w:rPr>
          <w:rFonts w:ascii="Times New Roman" w:eastAsia="Times New Roman" w:hAnsi="Times New Roman" w:cs="Times New Roman"/>
          <w:b/>
          <w:bCs/>
        </w:rPr>
        <w:t>Figure S3.</w:t>
      </w:r>
      <w:r w:rsidRPr="1043B294">
        <w:rPr>
          <w:rFonts w:ascii="Times New Roman" w:eastAsia="Times New Roman" w:hAnsi="Times New Roman" w:cs="Times New Roman"/>
        </w:rPr>
        <w:t xml:space="preserve"> </w:t>
      </w:r>
      <w:r w:rsidRPr="1043B294">
        <w:rPr>
          <w:rFonts w:ascii="Times New Roman" w:eastAsia="Times New Roman" w:hAnsi="Times New Roman" w:cs="Times New Roman"/>
          <w:b/>
          <w:bCs/>
        </w:rPr>
        <w:t xml:space="preserve">Molecular Mechanics Poisson–Boltzmann Surface Area (MM-PBSA) binding free energy analysis of SARS-CoV-2 RBD–ACE2 complexes during 100 ns molecular dynamics simulations. </w:t>
      </w:r>
      <w:r w:rsidRPr="1043B294">
        <w:rPr>
          <w:rFonts w:ascii="Times New Roman" w:eastAsia="Times New Roman" w:hAnsi="Times New Roman" w:cs="Times New Roman"/>
        </w:rPr>
        <w:t>Binding free energy (</w:t>
      </w:r>
      <w:proofErr w:type="spellStart"/>
      <w:r w:rsidRPr="1043B294">
        <w:rPr>
          <w:rFonts w:ascii="Times New Roman" w:eastAsia="Times New Roman" w:hAnsi="Times New Roman" w:cs="Times New Roman"/>
        </w:rPr>
        <w:t>ΔG_bind</w:t>
      </w:r>
      <w:proofErr w:type="spellEnd"/>
      <w:r w:rsidRPr="1043B294">
        <w:rPr>
          <w:rFonts w:ascii="Times New Roman" w:eastAsia="Times New Roman" w:hAnsi="Times New Roman" w:cs="Times New Roman"/>
        </w:rPr>
        <w:t xml:space="preserve">) was computed for the wild-type complex and RBD mutants (T478K, E484K, G496S, F490S, Q493E, Y369C, T478A, and T478E). The </w:t>
      </w:r>
      <w:proofErr w:type="gramStart"/>
      <w:r w:rsidRPr="1043B294">
        <w:rPr>
          <w:rFonts w:ascii="Times New Roman" w:eastAsia="Times New Roman" w:hAnsi="Times New Roman" w:cs="Times New Roman"/>
        </w:rPr>
        <w:t>plots show</w:t>
      </w:r>
      <w:proofErr w:type="gramEnd"/>
      <w:r w:rsidRPr="1043B294">
        <w:rPr>
          <w:rFonts w:ascii="Times New Roman" w:eastAsia="Times New Roman" w:hAnsi="Times New Roman" w:cs="Times New Roman"/>
        </w:rPr>
        <w:t xml:space="preserve"> the frame-wise </w:t>
      </w:r>
      <w:proofErr w:type="spellStart"/>
      <w:r w:rsidRPr="1043B294">
        <w:rPr>
          <w:rFonts w:ascii="Times New Roman" w:eastAsia="Times New Roman" w:hAnsi="Times New Roman" w:cs="Times New Roman"/>
        </w:rPr>
        <w:t>ΔG_bind</w:t>
      </w:r>
      <w:proofErr w:type="spellEnd"/>
      <w:r w:rsidRPr="1043B294">
        <w:rPr>
          <w:rFonts w:ascii="Times New Roman" w:eastAsia="Times New Roman" w:hAnsi="Times New Roman" w:cs="Times New Roman"/>
        </w:rPr>
        <w:t xml:space="preserve"> values over time, with the </w:t>
      </w:r>
      <w:r w:rsidRPr="1043B294">
        <w:rPr>
          <w:rFonts w:ascii="Times New Roman" w:eastAsia="Times New Roman" w:hAnsi="Times New Roman" w:cs="Times New Roman"/>
          <w:b/>
          <w:bCs/>
        </w:rPr>
        <w:t xml:space="preserve">red line indicating the average binding free </w:t>
      </w:r>
      <w:r w:rsidRPr="1043B294">
        <w:rPr>
          <w:rFonts w:ascii="Times New Roman" w:eastAsia="Times New Roman" w:hAnsi="Times New Roman" w:cs="Times New Roman"/>
          <w:b/>
          <w:bCs/>
        </w:rPr>
        <w:lastRenderedPageBreak/>
        <w:t>energy</w:t>
      </w:r>
      <w:r w:rsidRPr="1043B294">
        <w:rPr>
          <w:rFonts w:ascii="Times New Roman" w:eastAsia="Times New Roman" w:hAnsi="Times New Roman" w:cs="Times New Roman"/>
        </w:rPr>
        <w:t xml:space="preserve"> across the simulation. Mutation-specific deviations in </w:t>
      </w:r>
      <w:proofErr w:type="spellStart"/>
      <w:r w:rsidRPr="1043B294">
        <w:rPr>
          <w:rFonts w:ascii="Times New Roman" w:eastAsia="Times New Roman" w:hAnsi="Times New Roman" w:cs="Times New Roman"/>
        </w:rPr>
        <w:t>ΔG_bind</w:t>
      </w:r>
      <w:proofErr w:type="spellEnd"/>
      <w:r w:rsidRPr="1043B294">
        <w:rPr>
          <w:rFonts w:ascii="Times New Roman" w:eastAsia="Times New Roman" w:hAnsi="Times New Roman" w:cs="Times New Roman"/>
        </w:rPr>
        <w:t xml:space="preserve"> suggest distinct impacts on complex stability and receptor affinity.</w:t>
      </w:r>
    </w:p>
    <w:p w14:paraId="48C29FB5" w14:textId="3B07F2F7" w:rsidR="113A56E7" w:rsidRDefault="113A56E7" w:rsidP="1043B294">
      <w:pPr>
        <w:spacing w:line="480" w:lineRule="auto"/>
        <w:jc w:val="both"/>
      </w:pPr>
      <w:r w:rsidRPr="1043B294">
        <w:rPr>
          <w:rFonts w:ascii="Times New Roman" w:eastAsia="Times New Roman" w:hAnsi="Times New Roman" w:cs="Times New Roman"/>
          <w:b/>
          <w:bCs/>
        </w:rPr>
        <w:t>Figure S4.</w:t>
      </w:r>
      <w:r w:rsidRPr="1043B294">
        <w:rPr>
          <w:rFonts w:ascii="Times New Roman" w:eastAsia="Times New Roman" w:hAnsi="Times New Roman" w:cs="Times New Roman"/>
        </w:rPr>
        <w:t xml:space="preserve"> </w:t>
      </w:r>
      <w:r w:rsidRPr="1043B294">
        <w:rPr>
          <w:rFonts w:ascii="Times New Roman" w:eastAsia="Times New Roman" w:hAnsi="Times New Roman" w:cs="Times New Roman"/>
          <w:b/>
          <w:bCs/>
        </w:rPr>
        <w:t xml:space="preserve">Minimum inter-residue distance analysis between ACE2 (residues 80–120) and SARS-CoV-2 RBD variants over 100 ns molecular dynamics simulations. </w:t>
      </w:r>
      <w:r w:rsidRPr="1043B294">
        <w:rPr>
          <w:rFonts w:ascii="Times New Roman" w:eastAsia="Times New Roman" w:hAnsi="Times New Roman" w:cs="Times New Roman"/>
        </w:rPr>
        <w:t>Minimum distance profiles are shown for the wild-type complex (A) and eight RBD mutants: T478K (B), E478K (C), G496S (D), F490S (E), Q493E (F), Y369C (G), T478A (H), and T478E (I). Each plot represents the temporal evolution of the closest distance (in nm) between ACE2 and the RBD interface, indicating the degree of molecular proximity and interaction dynamics. Fluctuations in distance suggest mutation-specific variations in interface stability and contact retention during the simulation.</w:t>
      </w:r>
    </w:p>
    <w:p w14:paraId="584E0A08" w14:textId="7354E177" w:rsidR="1043B294" w:rsidRDefault="1043B294" w:rsidP="1043B294">
      <w:pPr>
        <w:spacing w:line="480" w:lineRule="auto"/>
        <w:jc w:val="both"/>
        <w:rPr>
          <w:rFonts w:ascii="Times New Roman" w:eastAsia="Times New Roman" w:hAnsi="Times New Roman" w:cs="Times New Roman"/>
        </w:rPr>
      </w:pPr>
    </w:p>
    <w:p w14:paraId="421E45AD" w14:textId="349AD2A4" w:rsidR="113A56E7" w:rsidRDefault="113A56E7" w:rsidP="1043B294">
      <w:pPr>
        <w:spacing w:before="240" w:after="240" w:line="480" w:lineRule="auto"/>
        <w:jc w:val="both"/>
      </w:pPr>
      <w:r w:rsidRPr="1043B294">
        <w:rPr>
          <w:rFonts w:ascii="Times New Roman" w:eastAsia="Times New Roman" w:hAnsi="Times New Roman" w:cs="Times New Roman"/>
          <w:b/>
          <w:bCs/>
        </w:rPr>
        <w:t>Table S1.</w:t>
      </w:r>
      <w:r w:rsidRPr="1043B294">
        <w:rPr>
          <w:rFonts w:ascii="Times New Roman" w:eastAsia="Times New Roman" w:hAnsi="Times New Roman" w:cs="Times New Roman"/>
        </w:rPr>
        <w:t xml:space="preserve"> </w:t>
      </w:r>
      <w:r w:rsidRPr="1043B294">
        <w:rPr>
          <w:rFonts w:ascii="Times New Roman" w:eastAsia="Times New Roman" w:hAnsi="Times New Roman" w:cs="Times New Roman"/>
          <w:b/>
          <w:bCs/>
        </w:rPr>
        <w:t xml:space="preserve">Protein–protein docking scores of SARS-CoV-2 RBD mutants with human ACE2 receptor. </w:t>
      </w:r>
      <w:r w:rsidRPr="1043B294">
        <w:rPr>
          <w:rFonts w:ascii="Times New Roman" w:eastAsia="Times New Roman" w:hAnsi="Times New Roman" w:cs="Times New Roman"/>
        </w:rPr>
        <w:t xml:space="preserve">Docking was performed to evaluate the binding affinities of wild-type and mutant RBD variants to ACE2. The table ranks the variants based on their docking scores (in kcal/mol), with </w:t>
      </w:r>
      <w:r w:rsidRPr="1043B294">
        <w:rPr>
          <w:rFonts w:ascii="Times New Roman" w:eastAsia="Times New Roman" w:hAnsi="Times New Roman" w:cs="Times New Roman"/>
          <w:b/>
          <w:bCs/>
        </w:rPr>
        <w:t>more negative values indicating stronger predicted binding affinity</w:t>
      </w:r>
      <w:r w:rsidRPr="1043B294">
        <w:rPr>
          <w:rFonts w:ascii="Times New Roman" w:eastAsia="Times New Roman" w:hAnsi="Times New Roman" w:cs="Times New Roman"/>
        </w:rPr>
        <w:t>. The Q493E mutant showed the most favorable binding (−351.52 kcal/mol), followed by T478A and T478E. Wild-type RBD ranked 7th, while Y369C and F490S exhibited the weakest binding among the tested variants.</w:t>
      </w:r>
    </w:p>
    <w:p w14:paraId="17A9147A" w14:textId="5567CE6D" w:rsidR="1043B294" w:rsidRDefault="1043B294" w:rsidP="1043B294">
      <w:pPr>
        <w:spacing w:line="480" w:lineRule="auto"/>
        <w:jc w:val="both"/>
        <w:rPr>
          <w:rFonts w:ascii="Times New Roman" w:eastAsia="Times New Roman" w:hAnsi="Times New Roman" w:cs="Times New Roman"/>
        </w:rPr>
      </w:pPr>
    </w:p>
    <w:p w14:paraId="4F3D95AD" w14:textId="39969580" w:rsidR="00510D19" w:rsidRDefault="00510D19">
      <w:pPr>
        <w:rPr>
          <w:rFonts w:ascii="Times New Roman" w:eastAsia="Times New Roman" w:hAnsi="Times New Roman" w:cs="Times New Roman"/>
        </w:rPr>
      </w:pPr>
      <w:r>
        <w:rPr>
          <w:rFonts w:ascii="Times New Roman" w:eastAsia="Times New Roman" w:hAnsi="Times New Roman" w:cs="Times New Roman"/>
        </w:rPr>
        <w:br w:type="page"/>
      </w:r>
    </w:p>
    <w:p w14:paraId="15913EDE" w14:textId="77777777" w:rsidR="00476B0A" w:rsidRDefault="00476B0A" w:rsidP="1043B294">
      <w:pPr>
        <w:spacing w:line="480" w:lineRule="auto"/>
        <w:jc w:val="both"/>
        <w:rPr>
          <w:rFonts w:ascii="Times New Roman" w:eastAsia="Times New Roman" w:hAnsi="Times New Roman" w:cs="Times New Roman"/>
        </w:rPr>
      </w:pPr>
    </w:p>
    <w:sectPr w:rsidR="00476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0B4969"/>
    <w:rsid w:val="00476B0A"/>
    <w:rsid w:val="004C60EF"/>
    <w:rsid w:val="00510D19"/>
    <w:rsid w:val="050B4969"/>
    <w:rsid w:val="1043B294"/>
    <w:rsid w:val="113A56E7"/>
    <w:rsid w:val="12777238"/>
    <w:rsid w:val="135052B8"/>
    <w:rsid w:val="139FE858"/>
    <w:rsid w:val="1912E34C"/>
    <w:rsid w:val="31044232"/>
    <w:rsid w:val="4A06EA95"/>
    <w:rsid w:val="4FABE4F2"/>
    <w:rsid w:val="547997E9"/>
    <w:rsid w:val="5C8322B7"/>
    <w:rsid w:val="71EAB708"/>
    <w:rsid w:val="739D96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B4969"/>
  <w15:chartTrackingRefBased/>
  <w15:docId w15:val="{4B1325F1-F790-43E5-B09F-AA3011000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2702</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ul Eman</dc:creator>
  <cp:keywords/>
  <dc:description/>
  <cp:lastModifiedBy>Saad Serfraz</cp:lastModifiedBy>
  <cp:revision>3</cp:revision>
  <dcterms:created xsi:type="dcterms:W3CDTF">2025-07-04T18:45:00Z</dcterms:created>
  <dcterms:modified xsi:type="dcterms:W3CDTF">2025-07-23T08:22:00Z</dcterms:modified>
</cp:coreProperties>
</file>