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45DB" w14:textId="6479FC85" w:rsidR="001B5E6C" w:rsidRPr="007970AE" w:rsidRDefault="001B5E6C" w:rsidP="006E15C3">
      <w:pPr>
        <w:spacing w:line="480" w:lineRule="auto"/>
        <w:rPr>
          <w:rFonts w:ascii="Arial" w:hAnsi="Arial" w:cs="Arial"/>
          <w:b/>
          <w:bCs/>
          <w:sz w:val="24"/>
          <w:szCs w:val="24"/>
        </w:rPr>
      </w:pPr>
      <w:r w:rsidRPr="007970AE">
        <w:rPr>
          <w:rFonts w:ascii="Arial" w:hAnsi="Arial" w:cs="Arial"/>
          <w:b/>
          <w:bCs/>
          <w:sz w:val="24"/>
          <w:szCs w:val="24"/>
        </w:rPr>
        <w:t>Supplementary Data</w:t>
      </w:r>
    </w:p>
    <w:p w14:paraId="4E0AAB56" w14:textId="7BF2CF0C" w:rsidR="007970AE" w:rsidRDefault="007970AE" w:rsidP="006E15C3">
      <w:pPr>
        <w:spacing w:line="480" w:lineRule="auto"/>
        <w:rPr>
          <w:rFonts w:ascii="Arial" w:hAnsi="Arial" w:cs="Arial"/>
          <w:sz w:val="24"/>
          <w:szCs w:val="24"/>
        </w:rPr>
      </w:pPr>
      <w:r>
        <w:rPr>
          <w:rFonts w:ascii="Arial" w:hAnsi="Arial" w:cs="Arial"/>
          <w:sz w:val="24"/>
          <w:szCs w:val="24"/>
        </w:rPr>
        <w:t xml:space="preserve">Taru Singh et al.: </w:t>
      </w:r>
      <w:r w:rsidRPr="007970AE">
        <w:rPr>
          <w:rFonts w:ascii="Arial" w:hAnsi="Arial" w:cs="Arial"/>
          <w:sz w:val="24"/>
          <w:szCs w:val="24"/>
        </w:rPr>
        <w:t xml:space="preserve">Integrating Computational Approaches to Uncover β-Lactamase-Associated Resistance in Diarrheagenic </w:t>
      </w:r>
      <w:r w:rsidRPr="007970AE">
        <w:rPr>
          <w:rFonts w:ascii="Arial" w:hAnsi="Arial" w:cs="Arial"/>
          <w:i/>
          <w:iCs/>
          <w:sz w:val="24"/>
          <w:szCs w:val="24"/>
        </w:rPr>
        <w:t>Escherichia coli</w:t>
      </w:r>
      <w:r w:rsidRPr="007970AE">
        <w:rPr>
          <w:rFonts w:ascii="Arial" w:hAnsi="Arial" w:cs="Arial"/>
          <w:sz w:val="24"/>
          <w:szCs w:val="24"/>
        </w:rPr>
        <w:t xml:space="preserve"> from Pediatric Patients</w:t>
      </w:r>
      <w:r>
        <w:rPr>
          <w:rFonts w:ascii="Arial" w:hAnsi="Arial" w:cs="Arial"/>
          <w:sz w:val="24"/>
          <w:szCs w:val="24"/>
        </w:rPr>
        <w:t xml:space="preserve">. </w:t>
      </w:r>
    </w:p>
    <w:p w14:paraId="2922138A" w14:textId="77777777" w:rsidR="007970AE" w:rsidRDefault="007970AE">
      <w:pPr>
        <w:rPr>
          <w:rFonts w:ascii="Arial" w:hAnsi="Arial" w:cs="Arial"/>
          <w:sz w:val="24"/>
          <w:szCs w:val="24"/>
        </w:rPr>
      </w:pPr>
    </w:p>
    <w:p w14:paraId="0DD0DF0F" w14:textId="77777777" w:rsidR="007970AE" w:rsidRDefault="007970AE">
      <w:pPr>
        <w:rPr>
          <w:rFonts w:ascii="Arial" w:hAnsi="Arial" w:cs="Arial"/>
          <w:sz w:val="24"/>
          <w:szCs w:val="24"/>
        </w:rPr>
      </w:pPr>
    </w:p>
    <w:p w14:paraId="1806A16F" w14:textId="77777777" w:rsidR="007970AE" w:rsidRDefault="007970AE">
      <w:pPr>
        <w:rPr>
          <w:rFonts w:ascii="Arial" w:hAnsi="Arial" w:cs="Arial"/>
          <w:sz w:val="24"/>
          <w:szCs w:val="24"/>
        </w:rPr>
      </w:pPr>
    </w:p>
    <w:p w14:paraId="3206E2B0" w14:textId="77777777" w:rsidR="007970AE" w:rsidRDefault="007970AE">
      <w:pPr>
        <w:rPr>
          <w:rFonts w:ascii="Arial" w:hAnsi="Arial" w:cs="Arial"/>
          <w:sz w:val="24"/>
          <w:szCs w:val="24"/>
        </w:rPr>
      </w:pPr>
    </w:p>
    <w:p w14:paraId="422DCCFA" w14:textId="77777777" w:rsidR="007970AE" w:rsidRDefault="007970AE">
      <w:pPr>
        <w:rPr>
          <w:rFonts w:ascii="Arial" w:hAnsi="Arial" w:cs="Arial"/>
          <w:sz w:val="24"/>
          <w:szCs w:val="24"/>
        </w:rPr>
      </w:pPr>
    </w:p>
    <w:p w14:paraId="6F3FF128" w14:textId="77777777" w:rsidR="007970AE" w:rsidRDefault="007970AE">
      <w:pPr>
        <w:rPr>
          <w:rFonts w:ascii="Arial" w:hAnsi="Arial" w:cs="Arial"/>
          <w:sz w:val="24"/>
          <w:szCs w:val="24"/>
        </w:rPr>
      </w:pPr>
    </w:p>
    <w:p w14:paraId="1E9CCBCA" w14:textId="77777777" w:rsidR="007970AE" w:rsidRDefault="007970AE">
      <w:pPr>
        <w:rPr>
          <w:rFonts w:ascii="Arial" w:hAnsi="Arial" w:cs="Arial"/>
          <w:sz w:val="24"/>
          <w:szCs w:val="24"/>
        </w:rPr>
      </w:pPr>
    </w:p>
    <w:p w14:paraId="1CF8A00E" w14:textId="77777777" w:rsidR="007970AE" w:rsidRDefault="007970AE">
      <w:pPr>
        <w:rPr>
          <w:rFonts w:ascii="Arial" w:hAnsi="Arial" w:cs="Arial"/>
          <w:sz w:val="24"/>
          <w:szCs w:val="24"/>
        </w:rPr>
      </w:pPr>
    </w:p>
    <w:p w14:paraId="4E6278E8" w14:textId="77777777" w:rsidR="007970AE" w:rsidRDefault="007970AE">
      <w:pPr>
        <w:rPr>
          <w:rFonts w:ascii="Arial" w:hAnsi="Arial" w:cs="Arial"/>
          <w:sz w:val="24"/>
          <w:szCs w:val="24"/>
        </w:rPr>
      </w:pPr>
    </w:p>
    <w:p w14:paraId="52751809" w14:textId="77777777" w:rsidR="007970AE" w:rsidRDefault="007970AE">
      <w:pPr>
        <w:rPr>
          <w:rFonts w:ascii="Arial" w:hAnsi="Arial" w:cs="Arial"/>
          <w:sz w:val="24"/>
          <w:szCs w:val="24"/>
        </w:rPr>
      </w:pPr>
    </w:p>
    <w:p w14:paraId="26B4FD57" w14:textId="77777777" w:rsidR="007970AE" w:rsidRDefault="007970AE">
      <w:pPr>
        <w:rPr>
          <w:rFonts w:ascii="Arial" w:hAnsi="Arial" w:cs="Arial"/>
          <w:sz w:val="24"/>
          <w:szCs w:val="24"/>
        </w:rPr>
      </w:pPr>
    </w:p>
    <w:p w14:paraId="10298DF4" w14:textId="77777777" w:rsidR="007970AE" w:rsidRDefault="007970AE">
      <w:pPr>
        <w:rPr>
          <w:rFonts w:ascii="Arial" w:hAnsi="Arial" w:cs="Arial"/>
          <w:sz w:val="24"/>
          <w:szCs w:val="24"/>
        </w:rPr>
      </w:pPr>
    </w:p>
    <w:p w14:paraId="5CD8F8CB" w14:textId="77777777" w:rsidR="007970AE" w:rsidRDefault="007970AE">
      <w:pPr>
        <w:rPr>
          <w:rFonts w:ascii="Arial" w:hAnsi="Arial" w:cs="Arial"/>
          <w:sz w:val="24"/>
          <w:szCs w:val="24"/>
        </w:rPr>
      </w:pPr>
    </w:p>
    <w:p w14:paraId="0585FE68" w14:textId="77777777" w:rsidR="007970AE" w:rsidRDefault="007970AE">
      <w:pPr>
        <w:rPr>
          <w:rFonts w:ascii="Arial" w:hAnsi="Arial" w:cs="Arial"/>
          <w:sz w:val="24"/>
          <w:szCs w:val="24"/>
        </w:rPr>
      </w:pPr>
    </w:p>
    <w:tbl>
      <w:tblPr>
        <w:tblStyle w:val="TableGrid"/>
        <w:tblW w:w="13467" w:type="dxa"/>
        <w:tblInd w:w="-318" w:type="dxa"/>
        <w:tblLook w:val="04A0" w:firstRow="1" w:lastRow="0" w:firstColumn="1" w:lastColumn="0" w:noHBand="0" w:noVBand="1"/>
      </w:tblPr>
      <w:tblGrid>
        <w:gridCol w:w="1672"/>
        <w:gridCol w:w="804"/>
        <w:gridCol w:w="1999"/>
        <w:gridCol w:w="1806"/>
        <w:gridCol w:w="1674"/>
        <w:gridCol w:w="2202"/>
        <w:gridCol w:w="1687"/>
        <w:gridCol w:w="1623"/>
      </w:tblGrid>
      <w:tr w:rsidR="004840AB" w:rsidRPr="009B3BB6" w14:paraId="74D971CC" w14:textId="506A0DE6" w:rsidTr="008428B7">
        <w:tc>
          <w:tcPr>
            <w:tcW w:w="13467" w:type="dxa"/>
            <w:gridSpan w:val="8"/>
          </w:tcPr>
          <w:p w14:paraId="44E73498" w14:textId="02A23AE3" w:rsidR="004840AB" w:rsidRPr="009B3BB6" w:rsidRDefault="004840AB" w:rsidP="00E818B6">
            <w:pPr>
              <w:rPr>
                <w:rFonts w:ascii="Arial" w:hAnsi="Arial" w:cs="Arial"/>
                <w:b/>
                <w:bCs/>
              </w:rPr>
            </w:pPr>
            <w:r>
              <w:rPr>
                <w:rFonts w:ascii="Arial" w:hAnsi="Arial" w:cs="Arial"/>
                <w:b/>
                <w:bCs/>
              </w:rPr>
              <w:lastRenderedPageBreak/>
              <w:t xml:space="preserve">Table S1: </w:t>
            </w:r>
            <w:r w:rsidRPr="00276937">
              <w:rPr>
                <w:rFonts w:ascii="Arial" w:hAnsi="Arial" w:cs="Arial"/>
              </w:rPr>
              <w:t>Overview of the β-Lactamase Families of This Study and Their Phylogenetic Context</w:t>
            </w:r>
          </w:p>
        </w:tc>
      </w:tr>
      <w:tr w:rsidR="004840AB" w:rsidRPr="009B3BB6" w14:paraId="3AE38614" w14:textId="77777777" w:rsidTr="008428B7">
        <w:tc>
          <w:tcPr>
            <w:tcW w:w="1672" w:type="dxa"/>
          </w:tcPr>
          <w:p w14:paraId="54EFA35B" w14:textId="77777777" w:rsidR="004840AB" w:rsidRPr="009B3BB6" w:rsidRDefault="004840AB" w:rsidP="00E818B6">
            <w:pPr>
              <w:rPr>
                <w:rFonts w:ascii="Arial" w:hAnsi="Arial" w:cs="Arial"/>
                <w:b/>
                <w:bCs/>
              </w:rPr>
            </w:pPr>
            <w:r w:rsidRPr="009B3BB6">
              <w:rPr>
                <w:rFonts w:ascii="Arial" w:hAnsi="Arial" w:cs="Arial"/>
                <w:b/>
                <w:bCs/>
              </w:rPr>
              <w:t>β-Lactamase</w:t>
            </w:r>
          </w:p>
        </w:tc>
        <w:tc>
          <w:tcPr>
            <w:tcW w:w="804" w:type="dxa"/>
          </w:tcPr>
          <w:p w14:paraId="085ACAD4" w14:textId="77777777" w:rsidR="004840AB" w:rsidRPr="009B3BB6" w:rsidRDefault="004840AB" w:rsidP="00E818B6">
            <w:pPr>
              <w:rPr>
                <w:rFonts w:ascii="Arial" w:hAnsi="Arial" w:cs="Arial"/>
                <w:b/>
                <w:bCs/>
              </w:rPr>
            </w:pPr>
            <w:r w:rsidRPr="009B3BB6">
              <w:rPr>
                <w:rFonts w:ascii="Arial" w:hAnsi="Arial" w:cs="Arial"/>
                <w:b/>
                <w:bCs/>
              </w:rPr>
              <w:t>Class</w:t>
            </w:r>
          </w:p>
        </w:tc>
        <w:tc>
          <w:tcPr>
            <w:tcW w:w="1999" w:type="dxa"/>
          </w:tcPr>
          <w:p w14:paraId="1E23E8A8" w14:textId="77777777" w:rsidR="004840AB" w:rsidRPr="009B3BB6" w:rsidRDefault="004840AB" w:rsidP="00E818B6">
            <w:pPr>
              <w:rPr>
                <w:rFonts w:ascii="Arial" w:hAnsi="Arial" w:cs="Arial"/>
                <w:b/>
                <w:bCs/>
              </w:rPr>
            </w:pPr>
            <w:r w:rsidRPr="009B3BB6">
              <w:rPr>
                <w:rFonts w:ascii="Arial" w:hAnsi="Arial" w:cs="Arial"/>
                <w:b/>
                <w:bCs/>
              </w:rPr>
              <w:t>Characteristics</w:t>
            </w:r>
          </w:p>
        </w:tc>
        <w:tc>
          <w:tcPr>
            <w:tcW w:w="1806" w:type="dxa"/>
          </w:tcPr>
          <w:p w14:paraId="62A12D00" w14:textId="77777777" w:rsidR="004840AB" w:rsidRPr="009B3BB6" w:rsidRDefault="004840AB" w:rsidP="00E818B6">
            <w:pPr>
              <w:rPr>
                <w:rFonts w:ascii="Arial" w:hAnsi="Arial" w:cs="Arial"/>
                <w:b/>
                <w:bCs/>
              </w:rPr>
            </w:pPr>
            <w:r w:rsidRPr="009B3BB6">
              <w:rPr>
                <w:rFonts w:ascii="Arial" w:hAnsi="Arial" w:cs="Arial"/>
                <w:b/>
                <w:bCs/>
              </w:rPr>
              <w:t>Substrate Profile</w:t>
            </w:r>
          </w:p>
        </w:tc>
        <w:tc>
          <w:tcPr>
            <w:tcW w:w="1674" w:type="dxa"/>
          </w:tcPr>
          <w:p w14:paraId="5C484D23" w14:textId="77777777" w:rsidR="004840AB" w:rsidRPr="009B3BB6" w:rsidRDefault="004840AB" w:rsidP="00E818B6">
            <w:pPr>
              <w:rPr>
                <w:rFonts w:ascii="Arial" w:hAnsi="Arial" w:cs="Arial"/>
                <w:b/>
                <w:bCs/>
              </w:rPr>
            </w:pPr>
            <w:r w:rsidRPr="009B3BB6">
              <w:rPr>
                <w:rFonts w:ascii="Arial" w:hAnsi="Arial" w:cs="Arial"/>
                <w:b/>
                <w:bCs/>
              </w:rPr>
              <w:t>Inhibitor Susceptibility</w:t>
            </w:r>
          </w:p>
        </w:tc>
        <w:tc>
          <w:tcPr>
            <w:tcW w:w="2202" w:type="dxa"/>
          </w:tcPr>
          <w:p w14:paraId="5CC42662" w14:textId="77777777" w:rsidR="004840AB" w:rsidRPr="009B3BB6" w:rsidRDefault="004840AB" w:rsidP="00E818B6">
            <w:pPr>
              <w:rPr>
                <w:rFonts w:ascii="Arial" w:hAnsi="Arial" w:cs="Arial"/>
                <w:b/>
                <w:bCs/>
              </w:rPr>
            </w:pPr>
            <w:r w:rsidRPr="009B3BB6">
              <w:rPr>
                <w:rFonts w:ascii="Arial" w:hAnsi="Arial" w:cs="Arial"/>
                <w:b/>
                <w:bCs/>
              </w:rPr>
              <w:t>Clinical Relevance</w:t>
            </w:r>
          </w:p>
        </w:tc>
        <w:tc>
          <w:tcPr>
            <w:tcW w:w="1687" w:type="dxa"/>
          </w:tcPr>
          <w:p w14:paraId="6C01624E" w14:textId="77777777" w:rsidR="004840AB" w:rsidRPr="009B3BB6" w:rsidRDefault="004840AB" w:rsidP="00E818B6">
            <w:pPr>
              <w:rPr>
                <w:rFonts w:ascii="Arial" w:hAnsi="Arial" w:cs="Arial"/>
                <w:b/>
                <w:bCs/>
              </w:rPr>
            </w:pPr>
            <w:r w:rsidRPr="009B3BB6">
              <w:rPr>
                <w:rFonts w:ascii="Arial" w:hAnsi="Arial" w:cs="Arial"/>
                <w:b/>
                <w:bCs/>
              </w:rPr>
              <w:t>Phylogeny</w:t>
            </w:r>
          </w:p>
        </w:tc>
        <w:tc>
          <w:tcPr>
            <w:tcW w:w="1623" w:type="dxa"/>
          </w:tcPr>
          <w:p w14:paraId="0C2528F9" w14:textId="77777777" w:rsidR="004840AB" w:rsidRPr="009B3BB6" w:rsidRDefault="004840AB" w:rsidP="00E818B6">
            <w:pPr>
              <w:rPr>
                <w:rFonts w:ascii="Arial" w:hAnsi="Arial" w:cs="Arial"/>
                <w:b/>
                <w:bCs/>
              </w:rPr>
            </w:pPr>
            <w:r w:rsidRPr="009B3BB6">
              <w:rPr>
                <w:rFonts w:ascii="Arial" w:hAnsi="Arial" w:cs="Arial"/>
                <w:b/>
                <w:bCs/>
              </w:rPr>
              <w:t>Global Prevalence</w:t>
            </w:r>
          </w:p>
        </w:tc>
      </w:tr>
      <w:tr w:rsidR="004840AB" w:rsidRPr="009B3BB6" w14:paraId="0C39D12F" w14:textId="77777777" w:rsidTr="008428B7">
        <w:tc>
          <w:tcPr>
            <w:tcW w:w="1672" w:type="dxa"/>
            <w:vAlign w:val="center"/>
          </w:tcPr>
          <w:p w14:paraId="459B8F59" w14:textId="77777777" w:rsidR="004840AB" w:rsidRPr="0095618F" w:rsidRDefault="004840AB" w:rsidP="00CF0C7F">
            <w:pPr>
              <w:rPr>
                <w:rFonts w:ascii="Arial" w:hAnsi="Arial" w:cs="Arial"/>
                <w:b/>
                <w:bCs/>
              </w:rPr>
            </w:pPr>
            <w:r w:rsidRPr="0095618F">
              <w:rPr>
                <w:rFonts w:ascii="Arial" w:hAnsi="Arial" w:cs="Arial"/>
                <w:b/>
                <w:bCs/>
              </w:rPr>
              <w:t>TEM</w:t>
            </w:r>
          </w:p>
        </w:tc>
        <w:tc>
          <w:tcPr>
            <w:tcW w:w="804" w:type="dxa"/>
            <w:vAlign w:val="center"/>
          </w:tcPr>
          <w:p w14:paraId="7BD71A40" w14:textId="77777777" w:rsidR="004840AB" w:rsidRPr="009B3BB6" w:rsidRDefault="004840AB" w:rsidP="00CF0C7F">
            <w:pPr>
              <w:rPr>
                <w:rFonts w:ascii="Arial" w:hAnsi="Arial" w:cs="Arial"/>
              </w:rPr>
            </w:pPr>
            <w:r w:rsidRPr="009B3BB6">
              <w:rPr>
                <w:rFonts w:ascii="Arial" w:hAnsi="Arial" w:cs="Arial"/>
              </w:rPr>
              <w:t>A</w:t>
            </w:r>
          </w:p>
        </w:tc>
        <w:tc>
          <w:tcPr>
            <w:tcW w:w="1999" w:type="dxa"/>
          </w:tcPr>
          <w:p w14:paraId="0617100D" w14:textId="77777777" w:rsidR="004840AB" w:rsidRPr="009B3BB6" w:rsidRDefault="004840AB" w:rsidP="00E818B6">
            <w:pPr>
              <w:rPr>
                <w:rFonts w:ascii="Arial" w:hAnsi="Arial" w:cs="Arial"/>
              </w:rPr>
            </w:pPr>
            <w:r w:rsidRPr="009B3BB6">
              <w:rPr>
                <w:rFonts w:ascii="Arial" w:hAnsi="Arial" w:cs="Arial"/>
              </w:rPr>
              <w:t xml:space="preserve">Most common in Gram-negative bacteria, confers resistance to </w:t>
            </w:r>
            <w:proofErr w:type="spellStart"/>
            <w:r w:rsidRPr="009B3BB6">
              <w:rPr>
                <w:rFonts w:ascii="Arial" w:hAnsi="Arial" w:cs="Arial"/>
              </w:rPr>
              <w:t>penicillins</w:t>
            </w:r>
            <w:proofErr w:type="spellEnd"/>
            <w:r w:rsidRPr="009B3BB6">
              <w:rPr>
                <w:rFonts w:ascii="Arial" w:hAnsi="Arial" w:cs="Arial"/>
              </w:rPr>
              <w:t xml:space="preserve"> and early cephalosporins.</w:t>
            </w:r>
          </w:p>
        </w:tc>
        <w:tc>
          <w:tcPr>
            <w:tcW w:w="1806" w:type="dxa"/>
          </w:tcPr>
          <w:p w14:paraId="3DCF6D82" w14:textId="77777777" w:rsidR="004840AB" w:rsidRPr="009B3BB6" w:rsidRDefault="004840AB" w:rsidP="00E818B6">
            <w:pPr>
              <w:rPr>
                <w:rFonts w:ascii="Arial" w:hAnsi="Arial" w:cs="Arial"/>
              </w:rPr>
            </w:pPr>
            <w:proofErr w:type="spellStart"/>
            <w:r w:rsidRPr="009B3BB6">
              <w:rPr>
                <w:rFonts w:ascii="Arial" w:hAnsi="Arial" w:cs="Arial"/>
              </w:rPr>
              <w:t>Penicillins</w:t>
            </w:r>
            <w:proofErr w:type="spellEnd"/>
            <w:r w:rsidRPr="009B3BB6">
              <w:rPr>
                <w:rFonts w:ascii="Arial" w:hAnsi="Arial" w:cs="Arial"/>
              </w:rPr>
              <w:t>, early cephalosporins</w:t>
            </w:r>
          </w:p>
        </w:tc>
        <w:tc>
          <w:tcPr>
            <w:tcW w:w="1674" w:type="dxa"/>
          </w:tcPr>
          <w:p w14:paraId="59A8E333" w14:textId="77777777" w:rsidR="004840AB" w:rsidRPr="009B3BB6" w:rsidRDefault="004840AB" w:rsidP="00E818B6">
            <w:pPr>
              <w:rPr>
                <w:rFonts w:ascii="Arial" w:hAnsi="Arial" w:cs="Arial"/>
              </w:rPr>
            </w:pPr>
            <w:r w:rsidRPr="009B3BB6">
              <w:rPr>
                <w:rFonts w:ascii="Arial" w:hAnsi="Arial" w:cs="Arial"/>
              </w:rPr>
              <w:t>Inhibited by clavulanic acid and tazobactam</w:t>
            </w:r>
          </w:p>
        </w:tc>
        <w:tc>
          <w:tcPr>
            <w:tcW w:w="2202" w:type="dxa"/>
          </w:tcPr>
          <w:p w14:paraId="3F21069A" w14:textId="77777777" w:rsidR="004840AB" w:rsidRPr="009B3BB6" w:rsidRDefault="004840AB" w:rsidP="00E818B6">
            <w:pPr>
              <w:rPr>
                <w:rFonts w:ascii="Arial" w:hAnsi="Arial" w:cs="Arial"/>
              </w:rPr>
            </w:pPr>
            <w:r w:rsidRPr="009B3BB6">
              <w:rPr>
                <w:rFonts w:ascii="Arial" w:hAnsi="Arial" w:cs="Arial"/>
              </w:rPr>
              <w:t xml:space="preserve">Common in </w:t>
            </w:r>
            <w:r w:rsidRPr="009B3BB6">
              <w:rPr>
                <w:rFonts w:ascii="Arial" w:hAnsi="Arial" w:cs="Arial"/>
                <w:i/>
                <w:iCs/>
              </w:rPr>
              <w:t>E. coli</w:t>
            </w:r>
            <w:r w:rsidRPr="009B3BB6">
              <w:rPr>
                <w:rFonts w:ascii="Arial" w:hAnsi="Arial" w:cs="Arial"/>
              </w:rPr>
              <w:t xml:space="preserve"> infections</w:t>
            </w:r>
          </w:p>
        </w:tc>
        <w:tc>
          <w:tcPr>
            <w:tcW w:w="1687" w:type="dxa"/>
          </w:tcPr>
          <w:p w14:paraId="71070B13" w14:textId="77777777" w:rsidR="004840AB" w:rsidRPr="009B3BB6" w:rsidRDefault="004840AB" w:rsidP="00E818B6">
            <w:pPr>
              <w:rPr>
                <w:rFonts w:ascii="Arial" w:hAnsi="Arial" w:cs="Arial"/>
              </w:rPr>
            </w:pPr>
            <w:r w:rsidRPr="009B3BB6">
              <w:rPr>
                <w:rFonts w:ascii="Arial" w:hAnsi="Arial" w:cs="Arial"/>
              </w:rPr>
              <w:t>Shares significant homology with other class A β-lactamases</w:t>
            </w:r>
          </w:p>
        </w:tc>
        <w:tc>
          <w:tcPr>
            <w:tcW w:w="1623" w:type="dxa"/>
          </w:tcPr>
          <w:p w14:paraId="3640BC88" w14:textId="77777777" w:rsidR="004840AB" w:rsidRPr="009B3BB6" w:rsidRDefault="004840AB" w:rsidP="00E818B6">
            <w:pPr>
              <w:rPr>
                <w:rFonts w:ascii="Arial" w:hAnsi="Arial" w:cs="Arial"/>
              </w:rPr>
            </w:pPr>
            <w:r w:rsidRPr="009B3BB6">
              <w:rPr>
                <w:rFonts w:ascii="Arial" w:hAnsi="Arial" w:cs="Arial"/>
              </w:rPr>
              <w:t>Global</w:t>
            </w:r>
          </w:p>
        </w:tc>
      </w:tr>
      <w:tr w:rsidR="004840AB" w:rsidRPr="009B3BB6" w14:paraId="0A153A6B" w14:textId="77777777" w:rsidTr="008428B7">
        <w:tc>
          <w:tcPr>
            <w:tcW w:w="1672" w:type="dxa"/>
            <w:vAlign w:val="center"/>
          </w:tcPr>
          <w:p w14:paraId="211AAB8D" w14:textId="77777777" w:rsidR="004840AB" w:rsidRPr="0095618F" w:rsidRDefault="004840AB" w:rsidP="00CF0C7F">
            <w:pPr>
              <w:rPr>
                <w:rFonts w:ascii="Arial" w:hAnsi="Arial" w:cs="Arial"/>
                <w:b/>
                <w:bCs/>
              </w:rPr>
            </w:pPr>
            <w:r w:rsidRPr="0095618F">
              <w:rPr>
                <w:rFonts w:ascii="Arial" w:hAnsi="Arial" w:cs="Arial"/>
                <w:b/>
                <w:bCs/>
              </w:rPr>
              <w:t>SHV</w:t>
            </w:r>
          </w:p>
        </w:tc>
        <w:tc>
          <w:tcPr>
            <w:tcW w:w="804" w:type="dxa"/>
            <w:vAlign w:val="center"/>
          </w:tcPr>
          <w:p w14:paraId="173411E6" w14:textId="77777777" w:rsidR="004840AB" w:rsidRPr="009B3BB6" w:rsidRDefault="004840AB" w:rsidP="00CF0C7F">
            <w:pPr>
              <w:rPr>
                <w:rFonts w:ascii="Arial" w:hAnsi="Arial" w:cs="Arial"/>
              </w:rPr>
            </w:pPr>
            <w:r w:rsidRPr="009B3BB6">
              <w:rPr>
                <w:rFonts w:ascii="Arial" w:hAnsi="Arial" w:cs="Arial"/>
              </w:rPr>
              <w:t>A</w:t>
            </w:r>
          </w:p>
        </w:tc>
        <w:tc>
          <w:tcPr>
            <w:tcW w:w="1999" w:type="dxa"/>
          </w:tcPr>
          <w:p w14:paraId="439F5795" w14:textId="77777777" w:rsidR="004840AB" w:rsidRPr="009B3BB6" w:rsidRDefault="004840AB" w:rsidP="00E818B6">
            <w:pPr>
              <w:rPr>
                <w:rFonts w:ascii="Arial" w:hAnsi="Arial" w:cs="Arial"/>
              </w:rPr>
            </w:pPr>
            <w:r w:rsidRPr="009B3BB6">
              <w:rPr>
                <w:rFonts w:ascii="Arial" w:hAnsi="Arial" w:cs="Arial"/>
              </w:rPr>
              <w:t>Shares ~68% identity with TEM-1, responsible for ampicillin resistance.</w:t>
            </w:r>
          </w:p>
        </w:tc>
        <w:tc>
          <w:tcPr>
            <w:tcW w:w="1806" w:type="dxa"/>
          </w:tcPr>
          <w:p w14:paraId="52EFBD5A" w14:textId="77777777" w:rsidR="004840AB" w:rsidRPr="009B3BB6" w:rsidRDefault="004840AB" w:rsidP="00E818B6">
            <w:pPr>
              <w:rPr>
                <w:rFonts w:ascii="Arial" w:hAnsi="Arial" w:cs="Arial"/>
              </w:rPr>
            </w:pPr>
            <w:proofErr w:type="spellStart"/>
            <w:r w:rsidRPr="009B3BB6">
              <w:rPr>
                <w:rFonts w:ascii="Arial" w:hAnsi="Arial" w:cs="Arial"/>
              </w:rPr>
              <w:t>Penicillins</w:t>
            </w:r>
            <w:proofErr w:type="spellEnd"/>
            <w:r w:rsidRPr="009B3BB6">
              <w:rPr>
                <w:rFonts w:ascii="Arial" w:hAnsi="Arial" w:cs="Arial"/>
              </w:rPr>
              <w:t>, cephalosporins</w:t>
            </w:r>
          </w:p>
        </w:tc>
        <w:tc>
          <w:tcPr>
            <w:tcW w:w="1674" w:type="dxa"/>
          </w:tcPr>
          <w:p w14:paraId="524017CF" w14:textId="77777777" w:rsidR="004840AB" w:rsidRPr="009B3BB6" w:rsidRDefault="004840AB" w:rsidP="00E818B6">
            <w:pPr>
              <w:rPr>
                <w:rFonts w:ascii="Arial" w:hAnsi="Arial" w:cs="Arial"/>
              </w:rPr>
            </w:pPr>
            <w:r w:rsidRPr="009B3BB6">
              <w:rPr>
                <w:rFonts w:ascii="Arial" w:hAnsi="Arial" w:cs="Arial"/>
              </w:rPr>
              <w:t>Susceptible to β-lactamase inhibitors</w:t>
            </w:r>
          </w:p>
        </w:tc>
        <w:tc>
          <w:tcPr>
            <w:tcW w:w="2202" w:type="dxa"/>
          </w:tcPr>
          <w:p w14:paraId="7FDE5289" w14:textId="77777777" w:rsidR="004840AB" w:rsidRPr="009B3BB6" w:rsidRDefault="004840AB" w:rsidP="00E818B6">
            <w:pPr>
              <w:rPr>
                <w:rFonts w:ascii="Arial" w:hAnsi="Arial" w:cs="Arial"/>
              </w:rPr>
            </w:pPr>
            <w:r w:rsidRPr="009B3BB6">
              <w:rPr>
                <w:rFonts w:ascii="Arial" w:hAnsi="Arial" w:cs="Arial"/>
              </w:rPr>
              <w:t xml:space="preserve">Prevalent in </w:t>
            </w:r>
            <w:r w:rsidRPr="009B3BB6">
              <w:rPr>
                <w:rFonts w:ascii="Arial" w:hAnsi="Arial" w:cs="Arial"/>
                <w:i/>
                <w:iCs/>
              </w:rPr>
              <w:t>Klebsiella pneumoniae</w:t>
            </w:r>
          </w:p>
        </w:tc>
        <w:tc>
          <w:tcPr>
            <w:tcW w:w="1687" w:type="dxa"/>
          </w:tcPr>
          <w:p w14:paraId="0F115905" w14:textId="77777777" w:rsidR="004840AB" w:rsidRPr="009B3BB6" w:rsidRDefault="004840AB" w:rsidP="00E818B6">
            <w:pPr>
              <w:rPr>
                <w:rFonts w:ascii="Arial" w:hAnsi="Arial" w:cs="Arial"/>
              </w:rPr>
            </w:pPr>
            <w:r w:rsidRPr="009B3BB6">
              <w:rPr>
                <w:rFonts w:ascii="Arial" w:hAnsi="Arial" w:cs="Arial"/>
              </w:rPr>
              <w:t>Evolved through mutations, leading to ESBL variants</w:t>
            </w:r>
          </w:p>
        </w:tc>
        <w:tc>
          <w:tcPr>
            <w:tcW w:w="1623" w:type="dxa"/>
          </w:tcPr>
          <w:p w14:paraId="2790C30D" w14:textId="77777777" w:rsidR="004840AB" w:rsidRPr="009B3BB6" w:rsidRDefault="004840AB" w:rsidP="00E818B6">
            <w:pPr>
              <w:rPr>
                <w:rFonts w:ascii="Arial" w:hAnsi="Arial" w:cs="Arial"/>
              </w:rPr>
            </w:pPr>
            <w:r w:rsidRPr="009B3BB6">
              <w:rPr>
                <w:rFonts w:ascii="Arial" w:hAnsi="Arial" w:cs="Arial"/>
              </w:rPr>
              <w:t>Global</w:t>
            </w:r>
          </w:p>
        </w:tc>
      </w:tr>
      <w:tr w:rsidR="004840AB" w:rsidRPr="009B3BB6" w14:paraId="144EABC9" w14:textId="77777777" w:rsidTr="008428B7">
        <w:tc>
          <w:tcPr>
            <w:tcW w:w="1672" w:type="dxa"/>
            <w:vAlign w:val="center"/>
          </w:tcPr>
          <w:p w14:paraId="6B6ECEF2" w14:textId="77777777" w:rsidR="004840AB" w:rsidRPr="0095618F" w:rsidRDefault="004840AB" w:rsidP="00CF0C7F">
            <w:pPr>
              <w:rPr>
                <w:rFonts w:ascii="Arial" w:hAnsi="Arial" w:cs="Arial"/>
                <w:b/>
                <w:bCs/>
              </w:rPr>
            </w:pPr>
            <w:r w:rsidRPr="0095618F">
              <w:rPr>
                <w:rFonts w:ascii="Arial" w:hAnsi="Arial" w:cs="Arial"/>
                <w:b/>
                <w:bCs/>
              </w:rPr>
              <w:t>CTX-M</w:t>
            </w:r>
          </w:p>
        </w:tc>
        <w:tc>
          <w:tcPr>
            <w:tcW w:w="804" w:type="dxa"/>
            <w:vAlign w:val="center"/>
          </w:tcPr>
          <w:p w14:paraId="1505FCF9" w14:textId="77777777" w:rsidR="004840AB" w:rsidRPr="009B3BB6" w:rsidRDefault="004840AB" w:rsidP="00CF0C7F">
            <w:pPr>
              <w:rPr>
                <w:rFonts w:ascii="Arial" w:hAnsi="Arial" w:cs="Arial"/>
              </w:rPr>
            </w:pPr>
            <w:r w:rsidRPr="009B3BB6">
              <w:rPr>
                <w:rFonts w:ascii="Arial" w:hAnsi="Arial" w:cs="Arial"/>
              </w:rPr>
              <w:t>A</w:t>
            </w:r>
          </w:p>
        </w:tc>
        <w:tc>
          <w:tcPr>
            <w:tcW w:w="1999" w:type="dxa"/>
          </w:tcPr>
          <w:p w14:paraId="21C69508" w14:textId="77777777" w:rsidR="004840AB" w:rsidRPr="009B3BB6" w:rsidRDefault="004840AB" w:rsidP="00E818B6">
            <w:pPr>
              <w:rPr>
                <w:rFonts w:ascii="Arial" w:hAnsi="Arial" w:cs="Arial"/>
              </w:rPr>
            </w:pPr>
            <w:r w:rsidRPr="009B3BB6">
              <w:rPr>
                <w:rFonts w:ascii="Arial" w:hAnsi="Arial" w:cs="Arial"/>
              </w:rPr>
              <w:t>Globally prevalent, high activity against cefotaxime.</w:t>
            </w:r>
          </w:p>
        </w:tc>
        <w:tc>
          <w:tcPr>
            <w:tcW w:w="1806" w:type="dxa"/>
          </w:tcPr>
          <w:p w14:paraId="5A500CB3" w14:textId="77777777" w:rsidR="004840AB" w:rsidRPr="009B3BB6" w:rsidRDefault="004840AB" w:rsidP="00E818B6">
            <w:pPr>
              <w:rPr>
                <w:rFonts w:ascii="Arial" w:hAnsi="Arial" w:cs="Arial"/>
              </w:rPr>
            </w:pPr>
            <w:proofErr w:type="gramStart"/>
            <w:r w:rsidRPr="009B3BB6">
              <w:rPr>
                <w:rFonts w:ascii="Arial" w:hAnsi="Arial" w:cs="Arial"/>
              </w:rPr>
              <w:t>Extended-spectrum</w:t>
            </w:r>
            <w:proofErr w:type="gramEnd"/>
            <w:r w:rsidRPr="009B3BB6">
              <w:rPr>
                <w:rFonts w:ascii="Arial" w:hAnsi="Arial" w:cs="Arial"/>
              </w:rPr>
              <w:t xml:space="preserve"> cephalosporins</w:t>
            </w:r>
          </w:p>
        </w:tc>
        <w:tc>
          <w:tcPr>
            <w:tcW w:w="1674" w:type="dxa"/>
          </w:tcPr>
          <w:p w14:paraId="4C042317" w14:textId="77777777" w:rsidR="004840AB" w:rsidRPr="009B3BB6" w:rsidRDefault="004840AB" w:rsidP="00E818B6">
            <w:pPr>
              <w:rPr>
                <w:rFonts w:ascii="Arial" w:hAnsi="Arial" w:cs="Arial"/>
              </w:rPr>
            </w:pPr>
            <w:r w:rsidRPr="009B3BB6">
              <w:rPr>
                <w:rFonts w:ascii="Arial" w:hAnsi="Arial" w:cs="Arial"/>
              </w:rPr>
              <w:t>Susceptible to avibactam, variable for others</w:t>
            </w:r>
          </w:p>
        </w:tc>
        <w:tc>
          <w:tcPr>
            <w:tcW w:w="2202" w:type="dxa"/>
          </w:tcPr>
          <w:p w14:paraId="55C3110E" w14:textId="77777777" w:rsidR="004840AB" w:rsidRPr="009B3BB6" w:rsidRDefault="004840AB" w:rsidP="00E818B6">
            <w:pPr>
              <w:rPr>
                <w:rFonts w:ascii="Arial" w:hAnsi="Arial" w:cs="Arial"/>
              </w:rPr>
            </w:pPr>
            <w:r w:rsidRPr="009B3BB6">
              <w:rPr>
                <w:rFonts w:ascii="Arial" w:hAnsi="Arial" w:cs="Arial"/>
              </w:rPr>
              <w:t>Widespread in multidrug-resistant Enterobacteriaceae</w:t>
            </w:r>
          </w:p>
        </w:tc>
        <w:tc>
          <w:tcPr>
            <w:tcW w:w="1687" w:type="dxa"/>
          </w:tcPr>
          <w:p w14:paraId="37722EE9" w14:textId="77777777" w:rsidR="004840AB" w:rsidRPr="009B3BB6" w:rsidRDefault="004840AB" w:rsidP="00E818B6">
            <w:pPr>
              <w:rPr>
                <w:rFonts w:ascii="Arial" w:hAnsi="Arial" w:cs="Arial"/>
              </w:rPr>
            </w:pPr>
            <w:r w:rsidRPr="009B3BB6">
              <w:rPr>
                <w:rFonts w:ascii="Arial" w:hAnsi="Arial" w:cs="Arial"/>
              </w:rPr>
              <w:t>Distinct lineage in class A β-lactamases</w:t>
            </w:r>
          </w:p>
        </w:tc>
        <w:tc>
          <w:tcPr>
            <w:tcW w:w="1623" w:type="dxa"/>
          </w:tcPr>
          <w:p w14:paraId="327E7EE8" w14:textId="77777777" w:rsidR="004840AB" w:rsidRPr="009B3BB6" w:rsidRDefault="004840AB" w:rsidP="00E818B6">
            <w:pPr>
              <w:rPr>
                <w:rFonts w:ascii="Arial" w:hAnsi="Arial" w:cs="Arial"/>
              </w:rPr>
            </w:pPr>
            <w:r w:rsidRPr="009B3BB6">
              <w:rPr>
                <w:rFonts w:ascii="Arial" w:hAnsi="Arial" w:cs="Arial"/>
              </w:rPr>
              <w:t>Highly prevalent in Asia, Europe, Americas</w:t>
            </w:r>
          </w:p>
        </w:tc>
      </w:tr>
      <w:tr w:rsidR="004840AB" w:rsidRPr="009B3BB6" w14:paraId="33E74A58" w14:textId="77777777" w:rsidTr="008428B7">
        <w:tc>
          <w:tcPr>
            <w:tcW w:w="1672" w:type="dxa"/>
            <w:vAlign w:val="center"/>
          </w:tcPr>
          <w:p w14:paraId="2920FBFD" w14:textId="77777777" w:rsidR="004840AB" w:rsidRPr="0095618F" w:rsidRDefault="004840AB" w:rsidP="00CF0C7F">
            <w:pPr>
              <w:rPr>
                <w:rFonts w:ascii="Arial" w:hAnsi="Arial" w:cs="Arial"/>
                <w:b/>
                <w:bCs/>
              </w:rPr>
            </w:pPr>
            <w:r w:rsidRPr="0095618F">
              <w:rPr>
                <w:rFonts w:ascii="Arial" w:hAnsi="Arial" w:cs="Arial"/>
                <w:b/>
                <w:bCs/>
              </w:rPr>
              <w:t>OXA</w:t>
            </w:r>
          </w:p>
        </w:tc>
        <w:tc>
          <w:tcPr>
            <w:tcW w:w="804" w:type="dxa"/>
            <w:vAlign w:val="center"/>
          </w:tcPr>
          <w:p w14:paraId="716FD4B3" w14:textId="77777777" w:rsidR="004840AB" w:rsidRPr="009B3BB6" w:rsidRDefault="004840AB" w:rsidP="00CF0C7F">
            <w:pPr>
              <w:rPr>
                <w:rFonts w:ascii="Arial" w:hAnsi="Arial" w:cs="Arial"/>
              </w:rPr>
            </w:pPr>
            <w:r w:rsidRPr="009B3BB6">
              <w:rPr>
                <w:rFonts w:ascii="Arial" w:hAnsi="Arial" w:cs="Arial"/>
              </w:rPr>
              <w:t>D</w:t>
            </w:r>
          </w:p>
        </w:tc>
        <w:tc>
          <w:tcPr>
            <w:tcW w:w="1999" w:type="dxa"/>
          </w:tcPr>
          <w:p w14:paraId="6A3FD547" w14:textId="77777777" w:rsidR="004840AB" w:rsidRPr="009B3BB6" w:rsidRDefault="004840AB" w:rsidP="00E818B6">
            <w:pPr>
              <w:rPr>
                <w:rFonts w:ascii="Arial" w:hAnsi="Arial" w:cs="Arial"/>
              </w:rPr>
            </w:pPr>
            <w:r w:rsidRPr="009B3BB6">
              <w:rPr>
                <w:rFonts w:ascii="Arial" w:hAnsi="Arial" w:cs="Arial"/>
              </w:rPr>
              <w:t>Hydrolyzes oxacillin and cloxacillin, poorly inhibited by clavulanic acid.</w:t>
            </w:r>
          </w:p>
        </w:tc>
        <w:tc>
          <w:tcPr>
            <w:tcW w:w="1806" w:type="dxa"/>
          </w:tcPr>
          <w:p w14:paraId="2DE6078B" w14:textId="77777777" w:rsidR="004840AB" w:rsidRPr="009B3BB6" w:rsidRDefault="004840AB" w:rsidP="00E818B6">
            <w:pPr>
              <w:rPr>
                <w:rFonts w:ascii="Arial" w:hAnsi="Arial" w:cs="Arial"/>
              </w:rPr>
            </w:pPr>
            <w:r w:rsidRPr="009B3BB6">
              <w:rPr>
                <w:rFonts w:ascii="Arial" w:hAnsi="Arial" w:cs="Arial"/>
              </w:rPr>
              <w:t>Oxacillin, cloxacillin, carbapenems</w:t>
            </w:r>
          </w:p>
        </w:tc>
        <w:tc>
          <w:tcPr>
            <w:tcW w:w="1674" w:type="dxa"/>
          </w:tcPr>
          <w:p w14:paraId="6CBC37E9" w14:textId="77777777" w:rsidR="004840AB" w:rsidRPr="009B3BB6" w:rsidRDefault="004840AB" w:rsidP="00E818B6">
            <w:pPr>
              <w:rPr>
                <w:rFonts w:ascii="Arial" w:hAnsi="Arial" w:cs="Arial"/>
              </w:rPr>
            </w:pPr>
            <w:r w:rsidRPr="009B3BB6">
              <w:rPr>
                <w:rFonts w:ascii="Arial" w:hAnsi="Arial" w:cs="Arial"/>
              </w:rPr>
              <w:t>Poor inhibition by clavulanic acid; some inhibited by avibactam</w:t>
            </w:r>
          </w:p>
        </w:tc>
        <w:tc>
          <w:tcPr>
            <w:tcW w:w="2202" w:type="dxa"/>
          </w:tcPr>
          <w:p w14:paraId="0BB9CC60" w14:textId="77777777" w:rsidR="004840AB" w:rsidRPr="009B3BB6" w:rsidRDefault="004840AB" w:rsidP="00E818B6">
            <w:pPr>
              <w:rPr>
                <w:rFonts w:ascii="Arial" w:hAnsi="Arial" w:cs="Arial"/>
              </w:rPr>
            </w:pPr>
            <w:r w:rsidRPr="009B3BB6">
              <w:rPr>
                <w:rFonts w:ascii="Arial" w:hAnsi="Arial" w:cs="Arial"/>
              </w:rPr>
              <w:t>Acinetobacter and carbapenem-resistant Pseudomonas</w:t>
            </w:r>
          </w:p>
        </w:tc>
        <w:tc>
          <w:tcPr>
            <w:tcW w:w="1687" w:type="dxa"/>
          </w:tcPr>
          <w:p w14:paraId="71E2338C" w14:textId="77777777" w:rsidR="004840AB" w:rsidRPr="009B3BB6" w:rsidRDefault="004840AB" w:rsidP="00E818B6">
            <w:pPr>
              <w:rPr>
                <w:rFonts w:ascii="Arial" w:hAnsi="Arial" w:cs="Arial"/>
              </w:rPr>
            </w:pPr>
            <w:r w:rsidRPr="009B3BB6">
              <w:rPr>
                <w:rFonts w:ascii="Arial" w:hAnsi="Arial" w:cs="Arial"/>
              </w:rPr>
              <w:t>Broad evolutionary lineage, low homology with other classes</w:t>
            </w:r>
          </w:p>
        </w:tc>
        <w:tc>
          <w:tcPr>
            <w:tcW w:w="1623" w:type="dxa"/>
          </w:tcPr>
          <w:p w14:paraId="0DE0764D" w14:textId="77777777" w:rsidR="004840AB" w:rsidRPr="009B3BB6" w:rsidRDefault="004840AB" w:rsidP="00E818B6">
            <w:pPr>
              <w:rPr>
                <w:rFonts w:ascii="Arial" w:hAnsi="Arial" w:cs="Arial"/>
              </w:rPr>
            </w:pPr>
            <w:r w:rsidRPr="009B3BB6">
              <w:rPr>
                <w:rFonts w:ascii="Arial" w:hAnsi="Arial" w:cs="Arial"/>
              </w:rPr>
              <w:t>Global</w:t>
            </w:r>
          </w:p>
        </w:tc>
      </w:tr>
      <w:tr w:rsidR="004840AB" w:rsidRPr="009B3BB6" w14:paraId="14939F3C" w14:textId="77777777" w:rsidTr="008428B7">
        <w:tc>
          <w:tcPr>
            <w:tcW w:w="1672" w:type="dxa"/>
            <w:vAlign w:val="center"/>
          </w:tcPr>
          <w:p w14:paraId="4B1BEA02" w14:textId="77777777" w:rsidR="004840AB" w:rsidRPr="0095618F" w:rsidRDefault="004840AB" w:rsidP="00CF0C7F">
            <w:pPr>
              <w:rPr>
                <w:rFonts w:ascii="Arial" w:hAnsi="Arial" w:cs="Arial"/>
                <w:b/>
                <w:bCs/>
              </w:rPr>
            </w:pPr>
            <w:r w:rsidRPr="0095618F">
              <w:rPr>
                <w:rFonts w:ascii="Arial" w:hAnsi="Arial" w:cs="Arial"/>
                <w:b/>
                <w:bCs/>
              </w:rPr>
              <w:t>NDM</w:t>
            </w:r>
          </w:p>
        </w:tc>
        <w:tc>
          <w:tcPr>
            <w:tcW w:w="804" w:type="dxa"/>
            <w:vAlign w:val="center"/>
          </w:tcPr>
          <w:p w14:paraId="08ED38FB" w14:textId="77777777" w:rsidR="004840AB" w:rsidRPr="009B3BB6" w:rsidRDefault="004840AB" w:rsidP="00CF0C7F">
            <w:pPr>
              <w:rPr>
                <w:rFonts w:ascii="Arial" w:hAnsi="Arial" w:cs="Arial"/>
              </w:rPr>
            </w:pPr>
            <w:r w:rsidRPr="009B3BB6">
              <w:rPr>
                <w:rFonts w:ascii="Arial" w:hAnsi="Arial" w:cs="Arial"/>
              </w:rPr>
              <w:t>B</w:t>
            </w:r>
          </w:p>
        </w:tc>
        <w:tc>
          <w:tcPr>
            <w:tcW w:w="1999" w:type="dxa"/>
          </w:tcPr>
          <w:p w14:paraId="0FAF9807" w14:textId="77777777" w:rsidR="004840AB" w:rsidRPr="009B3BB6" w:rsidRDefault="004840AB" w:rsidP="00E818B6">
            <w:pPr>
              <w:rPr>
                <w:rFonts w:ascii="Arial" w:hAnsi="Arial" w:cs="Arial"/>
              </w:rPr>
            </w:pPr>
            <w:proofErr w:type="gramStart"/>
            <w:r w:rsidRPr="009B3BB6">
              <w:rPr>
                <w:rFonts w:ascii="Arial" w:hAnsi="Arial" w:cs="Arial"/>
              </w:rPr>
              <w:t>Metallo-β-lactamase</w:t>
            </w:r>
            <w:proofErr w:type="gramEnd"/>
            <w:r w:rsidRPr="009B3BB6">
              <w:rPr>
                <w:rFonts w:ascii="Arial" w:hAnsi="Arial" w:cs="Arial"/>
              </w:rPr>
              <w:t xml:space="preserve"> hydrolyzing carbapenems.</w:t>
            </w:r>
          </w:p>
        </w:tc>
        <w:tc>
          <w:tcPr>
            <w:tcW w:w="1806" w:type="dxa"/>
          </w:tcPr>
          <w:p w14:paraId="5E6809C6" w14:textId="77777777" w:rsidR="004840AB" w:rsidRPr="009B3BB6" w:rsidRDefault="004840AB" w:rsidP="00E818B6">
            <w:pPr>
              <w:rPr>
                <w:rFonts w:ascii="Arial" w:hAnsi="Arial" w:cs="Arial"/>
              </w:rPr>
            </w:pPr>
            <w:r w:rsidRPr="009B3BB6">
              <w:rPr>
                <w:rFonts w:ascii="Arial" w:hAnsi="Arial" w:cs="Arial"/>
              </w:rPr>
              <w:t>Carbapenems, cephalosporins</w:t>
            </w:r>
          </w:p>
        </w:tc>
        <w:tc>
          <w:tcPr>
            <w:tcW w:w="1674" w:type="dxa"/>
          </w:tcPr>
          <w:p w14:paraId="584BEAD6" w14:textId="77777777" w:rsidR="004840AB" w:rsidRPr="009B3BB6" w:rsidRDefault="004840AB" w:rsidP="00E818B6">
            <w:pPr>
              <w:rPr>
                <w:rFonts w:ascii="Arial" w:hAnsi="Arial" w:cs="Arial"/>
              </w:rPr>
            </w:pPr>
            <w:r w:rsidRPr="009B3BB6">
              <w:rPr>
                <w:rFonts w:ascii="Arial" w:hAnsi="Arial" w:cs="Arial"/>
              </w:rPr>
              <w:t>Not inhibited by clavulanic acid, inhibited by EDTA</w:t>
            </w:r>
          </w:p>
        </w:tc>
        <w:tc>
          <w:tcPr>
            <w:tcW w:w="2202" w:type="dxa"/>
          </w:tcPr>
          <w:p w14:paraId="737D01E2" w14:textId="77777777" w:rsidR="004840AB" w:rsidRPr="009B3BB6" w:rsidRDefault="004840AB" w:rsidP="00E818B6">
            <w:pPr>
              <w:rPr>
                <w:rFonts w:ascii="Arial" w:hAnsi="Arial" w:cs="Arial"/>
              </w:rPr>
            </w:pPr>
            <w:r w:rsidRPr="009B3BB6">
              <w:rPr>
                <w:rFonts w:ascii="Arial" w:hAnsi="Arial" w:cs="Arial"/>
              </w:rPr>
              <w:t xml:space="preserve">Multidrug-resistant </w:t>
            </w:r>
            <w:r w:rsidRPr="009B3BB6">
              <w:rPr>
                <w:rFonts w:ascii="Arial" w:hAnsi="Arial" w:cs="Arial"/>
                <w:i/>
                <w:iCs/>
              </w:rPr>
              <w:t xml:space="preserve">K. pneumoniae </w:t>
            </w:r>
            <w:r w:rsidRPr="009B3BB6">
              <w:rPr>
                <w:rFonts w:ascii="Arial" w:hAnsi="Arial" w:cs="Arial"/>
              </w:rPr>
              <w:t xml:space="preserve">and </w:t>
            </w:r>
            <w:r w:rsidRPr="009B3BB6">
              <w:rPr>
                <w:rFonts w:ascii="Arial" w:hAnsi="Arial" w:cs="Arial"/>
                <w:i/>
                <w:iCs/>
              </w:rPr>
              <w:t>E. coli</w:t>
            </w:r>
            <w:r w:rsidRPr="009B3BB6">
              <w:rPr>
                <w:rFonts w:ascii="Arial" w:hAnsi="Arial" w:cs="Arial"/>
              </w:rPr>
              <w:t xml:space="preserve"> infections</w:t>
            </w:r>
          </w:p>
        </w:tc>
        <w:tc>
          <w:tcPr>
            <w:tcW w:w="1687" w:type="dxa"/>
          </w:tcPr>
          <w:p w14:paraId="1DBE3BC2" w14:textId="77777777" w:rsidR="004840AB" w:rsidRPr="009B3BB6" w:rsidRDefault="004840AB" w:rsidP="00E818B6">
            <w:pPr>
              <w:rPr>
                <w:rFonts w:ascii="Arial" w:hAnsi="Arial" w:cs="Arial"/>
              </w:rPr>
            </w:pPr>
            <w:r w:rsidRPr="009B3BB6">
              <w:rPr>
                <w:rFonts w:ascii="Arial" w:hAnsi="Arial" w:cs="Arial"/>
              </w:rPr>
              <w:t xml:space="preserve">Separate evolutionary branch in </w:t>
            </w:r>
            <w:proofErr w:type="spellStart"/>
            <w:r w:rsidRPr="009B3BB6">
              <w:rPr>
                <w:rFonts w:ascii="Arial" w:hAnsi="Arial" w:cs="Arial"/>
              </w:rPr>
              <w:t>metallo</w:t>
            </w:r>
            <w:proofErr w:type="spellEnd"/>
            <w:r w:rsidRPr="009B3BB6">
              <w:rPr>
                <w:rFonts w:ascii="Arial" w:hAnsi="Arial" w:cs="Arial"/>
              </w:rPr>
              <w:t>-β-lactamases</w:t>
            </w:r>
          </w:p>
        </w:tc>
        <w:tc>
          <w:tcPr>
            <w:tcW w:w="1623" w:type="dxa"/>
          </w:tcPr>
          <w:p w14:paraId="2607304F" w14:textId="77777777" w:rsidR="004840AB" w:rsidRPr="009B3BB6" w:rsidRDefault="004840AB" w:rsidP="00E818B6">
            <w:pPr>
              <w:rPr>
                <w:rFonts w:ascii="Arial" w:hAnsi="Arial" w:cs="Arial"/>
              </w:rPr>
            </w:pPr>
            <w:r w:rsidRPr="009B3BB6">
              <w:rPr>
                <w:rFonts w:ascii="Arial" w:hAnsi="Arial" w:cs="Arial"/>
              </w:rPr>
              <w:t>Emerging globally, especially in India and the Middle East</w:t>
            </w:r>
          </w:p>
        </w:tc>
      </w:tr>
      <w:tr w:rsidR="004840AB" w:rsidRPr="009B3BB6" w14:paraId="37A96BE1" w14:textId="77777777" w:rsidTr="008428B7">
        <w:tc>
          <w:tcPr>
            <w:tcW w:w="1672" w:type="dxa"/>
            <w:vAlign w:val="center"/>
          </w:tcPr>
          <w:p w14:paraId="7E5077DE" w14:textId="77777777" w:rsidR="004840AB" w:rsidRPr="0095618F" w:rsidRDefault="004840AB" w:rsidP="00CF0C7F">
            <w:pPr>
              <w:rPr>
                <w:rFonts w:ascii="Arial" w:hAnsi="Arial" w:cs="Arial"/>
                <w:b/>
                <w:bCs/>
              </w:rPr>
            </w:pPr>
            <w:proofErr w:type="spellStart"/>
            <w:r w:rsidRPr="0095618F">
              <w:rPr>
                <w:rFonts w:ascii="Arial" w:hAnsi="Arial" w:cs="Arial"/>
                <w:b/>
                <w:bCs/>
              </w:rPr>
              <w:t>AmpC</w:t>
            </w:r>
            <w:proofErr w:type="spellEnd"/>
          </w:p>
        </w:tc>
        <w:tc>
          <w:tcPr>
            <w:tcW w:w="804" w:type="dxa"/>
            <w:vAlign w:val="center"/>
          </w:tcPr>
          <w:p w14:paraId="70136CE4" w14:textId="77777777" w:rsidR="004840AB" w:rsidRPr="009B3BB6" w:rsidRDefault="004840AB" w:rsidP="00CF0C7F">
            <w:pPr>
              <w:rPr>
                <w:rFonts w:ascii="Arial" w:hAnsi="Arial" w:cs="Arial"/>
              </w:rPr>
            </w:pPr>
            <w:r w:rsidRPr="009B3BB6">
              <w:rPr>
                <w:rFonts w:ascii="Arial" w:hAnsi="Arial" w:cs="Arial"/>
              </w:rPr>
              <w:t>C</w:t>
            </w:r>
          </w:p>
        </w:tc>
        <w:tc>
          <w:tcPr>
            <w:tcW w:w="1999" w:type="dxa"/>
          </w:tcPr>
          <w:p w14:paraId="344560BD" w14:textId="77777777" w:rsidR="004840AB" w:rsidRPr="009B3BB6" w:rsidRDefault="004840AB" w:rsidP="00E818B6">
            <w:pPr>
              <w:rPr>
                <w:rFonts w:ascii="Arial" w:hAnsi="Arial" w:cs="Arial"/>
              </w:rPr>
            </w:pPr>
            <w:r w:rsidRPr="009B3BB6">
              <w:rPr>
                <w:rFonts w:ascii="Arial" w:hAnsi="Arial" w:cs="Arial"/>
              </w:rPr>
              <w:t>Hydrolyzes cephalosporins, resistant to clavulanic acid.</w:t>
            </w:r>
          </w:p>
        </w:tc>
        <w:tc>
          <w:tcPr>
            <w:tcW w:w="1806" w:type="dxa"/>
          </w:tcPr>
          <w:p w14:paraId="649CFA84" w14:textId="77777777" w:rsidR="004840AB" w:rsidRPr="009B3BB6" w:rsidRDefault="004840AB" w:rsidP="00E818B6">
            <w:pPr>
              <w:rPr>
                <w:rFonts w:ascii="Arial" w:hAnsi="Arial" w:cs="Arial"/>
              </w:rPr>
            </w:pPr>
            <w:r w:rsidRPr="009B3BB6">
              <w:rPr>
                <w:rFonts w:ascii="Arial" w:hAnsi="Arial" w:cs="Arial"/>
              </w:rPr>
              <w:t xml:space="preserve">Cephalosporins, </w:t>
            </w:r>
            <w:proofErr w:type="spellStart"/>
            <w:r w:rsidRPr="009B3BB6">
              <w:rPr>
                <w:rFonts w:ascii="Arial" w:hAnsi="Arial" w:cs="Arial"/>
              </w:rPr>
              <w:t>penicillins</w:t>
            </w:r>
            <w:proofErr w:type="spellEnd"/>
          </w:p>
        </w:tc>
        <w:tc>
          <w:tcPr>
            <w:tcW w:w="1674" w:type="dxa"/>
          </w:tcPr>
          <w:p w14:paraId="75437B35" w14:textId="77777777" w:rsidR="004840AB" w:rsidRPr="009B3BB6" w:rsidRDefault="004840AB" w:rsidP="00E818B6">
            <w:pPr>
              <w:rPr>
                <w:rFonts w:ascii="Arial" w:hAnsi="Arial" w:cs="Arial"/>
              </w:rPr>
            </w:pPr>
            <w:r w:rsidRPr="009B3BB6">
              <w:rPr>
                <w:rFonts w:ascii="Arial" w:hAnsi="Arial" w:cs="Arial"/>
              </w:rPr>
              <w:t>Poorly inhibited by clavulanic acid, partially inhibited by avibactam</w:t>
            </w:r>
          </w:p>
        </w:tc>
        <w:tc>
          <w:tcPr>
            <w:tcW w:w="2202" w:type="dxa"/>
          </w:tcPr>
          <w:p w14:paraId="38DA979E" w14:textId="77777777" w:rsidR="004840AB" w:rsidRPr="009B3BB6" w:rsidRDefault="004840AB" w:rsidP="00E818B6">
            <w:pPr>
              <w:rPr>
                <w:rFonts w:ascii="Arial" w:hAnsi="Arial" w:cs="Arial"/>
              </w:rPr>
            </w:pPr>
            <w:r w:rsidRPr="009B3BB6">
              <w:rPr>
                <w:rFonts w:ascii="Arial" w:hAnsi="Arial" w:cs="Arial"/>
              </w:rPr>
              <w:t>Enterobacteriaceae, especially in nosocomial settings</w:t>
            </w:r>
          </w:p>
        </w:tc>
        <w:tc>
          <w:tcPr>
            <w:tcW w:w="1687" w:type="dxa"/>
          </w:tcPr>
          <w:p w14:paraId="34F74983" w14:textId="77777777" w:rsidR="004840AB" w:rsidRPr="009B3BB6" w:rsidRDefault="004840AB" w:rsidP="00E818B6">
            <w:pPr>
              <w:rPr>
                <w:rFonts w:ascii="Arial" w:hAnsi="Arial" w:cs="Arial"/>
              </w:rPr>
            </w:pPr>
            <w:r w:rsidRPr="009B3BB6">
              <w:rPr>
                <w:rFonts w:ascii="Arial" w:hAnsi="Arial" w:cs="Arial"/>
              </w:rPr>
              <w:t>Distinct class C lineage</w:t>
            </w:r>
          </w:p>
        </w:tc>
        <w:tc>
          <w:tcPr>
            <w:tcW w:w="1623" w:type="dxa"/>
          </w:tcPr>
          <w:p w14:paraId="0DCBFA83" w14:textId="77777777" w:rsidR="004840AB" w:rsidRPr="009B3BB6" w:rsidRDefault="004840AB" w:rsidP="00E818B6">
            <w:pPr>
              <w:rPr>
                <w:rFonts w:ascii="Arial" w:hAnsi="Arial" w:cs="Arial"/>
              </w:rPr>
            </w:pPr>
            <w:r w:rsidRPr="009B3BB6">
              <w:rPr>
                <w:rFonts w:ascii="Arial" w:hAnsi="Arial" w:cs="Arial"/>
              </w:rPr>
              <w:t>Global</w:t>
            </w:r>
          </w:p>
        </w:tc>
      </w:tr>
    </w:tbl>
    <w:p w14:paraId="5210F78B" w14:textId="77777777" w:rsidR="00E51A87" w:rsidRDefault="00E51A87"/>
    <w:p w14:paraId="0F857CD6" w14:textId="77777777" w:rsidR="00DF655C" w:rsidRDefault="00DF655C" w:rsidP="00291528">
      <w:pPr>
        <w:pStyle w:val="NormalWeb"/>
        <w:jc w:val="center"/>
      </w:pPr>
      <w:r>
        <w:rPr>
          <w:noProof/>
        </w:rPr>
        <w:lastRenderedPageBreak/>
        <w:drawing>
          <wp:inline distT="0" distB="0" distL="0" distR="0" wp14:anchorId="0F12D558" wp14:editId="37F64ACB">
            <wp:extent cx="8184109" cy="3635375"/>
            <wp:effectExtent l="19050" t="19050" r="7620" b="3175"/>
            <wp:docPr id="2" name="Picture 1" descr="A graph with a bar and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with a bar and a number of text&#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228571" cy="3655125"/>
                    </a:xfrm>
                    <a:prstGeom prst="rect">
                      <a:avLst/>
                    </a:prstGeom>
                    <a:noFill/>
                    <a:ln>
                      <a:solidFill>
                        <a:schemeClr val="tx1"/>
                      </a:solidFill>
                    </a:ln>
                  </pic:spPr>
                </pic:pic>
              </a:graphicData>
            </a:graphic>
          </wp:inline>
        </w:drawing>
      </w:r>
    </w:p>
    <w:p w14:paraId="243A1AE8" w14:textId="745780C6" w:rsidR="00182FE0" w:rsidRPr="000A21D3" w:rsidRDefault="00F9576F" w:rsidP="002801F5">
      <w:pPr>
        <w:jc w:val="both"/>
        <w:rPr>
          <w:rFonts w:ascii="Arial" w:hAnsi="Arial" w:cs="Arial"/>
        </w:rPr>
      </w:pPr>
      <w:r w:rsidRPr="000A21D3">
        <w:rPr>
          <w:rFonts w:ascii="Arial" w:hAnsi="Arial" w:cs="Arial"/>
          <w:b/>
          <w:bCs/>
          <w:noProof/>
          <w:sz w:val="24"/>
          <w:szCs w:val="24"/>
        </w:rPr>
        <w:t>Figure S1</w:t>
      </w:r>
      <w:r w:rsidRPr="000A21D3">
        <w:rPr>
          <w:rFonts w:ascii="Arial" w:hAnsi="Arial" w:cs="Arial"/>
          <w:noProof/>
          <w:sz w:val="24"/>
          <w:szCs w:val="24"/>
        </w:rPr>
        <w:t>:</w:t>
      </w:r>
      <w:r w:rsidRPr="000A21D3">
        <w:rPr>
          <w:rFonts w:ascii="Arial" w:hAnsi="Arial" w:cs="Arial"/>
        </w:rPr>
        <w:t xml:space="preserve"> </w:t>
      </w:r>
      <w:r w:rsidRPr="00DA6CC9">
        <w:rPr>
          <w:rFonts w:ascii="Arial" w:hAnsi="Arial" w:cs="Arial"/>
          <w:b/>
          <w:bCs/>
          <w:noProof/>
          <w:sz w:val="24"/>
          <w:szCs w:val="24"/>
        </w:rPr>
        <w:t>Comprehensive Analysis of DEC genes associated with MDR</w:t>
      </w:r>
      <w:r w:rsidRPr="000A21D3">
        <w:rPr>
          <w:rFonts w:ascii="Arial" w:hAnsi="Arial" w:cs="Arial"/>
          <w:noProof/>
          <w:sz w:val="24"/>
          <w:szCs w:val="24"/>
        </w:rPr>
        <w:t>: The horizontal bar chart shows the frequency of different gene roles associated with antibiotic resistance, with bars representing the occurrence frequency of each role.</w:t>
      </w:r>
    </w:p>
    <w:p w14:paraId="78C7B3FC" w14:textId="07E62269" w:rsidR="00DF655C" w:rsidRDefault="00DF655C" w:rsidP="00DF655C">
      <w:pPr>
        <w:spacing w:before="100" w:beforeAutospacing="1" w:after="100" w:afterAutospacing="1" w:line="240" w:lineRule="auto"/>
        <w:rPr>
          <w:rFonts w:ascii="Times New Roman" w:eastAsia="Times New Roman" w:hAnsi="Times New Roman" w:cs="Times New Roman"/>
          <w:noProof/>
          <w:sz w:val="24"/>
          <w:szCs w:val="24"/>
          <w:lang w:val="en-IN" w:eastAsia="ja-JP"/>
          <w14:ligatures w14:val="none"/>
        </w:rPr>
      </w:pPr>
    </w:p>
    <w:p w14:paraId="6369BCCF" w14:textId="77777777" w:rsidR="00C2255B" w:rsidRDefault="00C2255B" w:rsidP="00DF655C">
      <w:pPr>
        <w:spacing w:before="100" w:beforeAutospacing="1" w:after="100" w:afterAutospacing="1" w:line="240" w:lineRule="auto"/>
        <w:rPr>
          <w:rFonts w:ascii="Times New Roman" w:eastAsia="Times New Roman" w:hAnsi="Times New Roman" w:cs="Times New Roman"/>
          <w:noProof/>
          <w:sz w:val="24"/>
          <w:szCs w:val="24"/>
          <w:lang w:val="en-IN" w:eastAsia="ja-JP"/>
          <w14:ligatures w14:val="none"/>
        </w:rPr>
      </w:pPr>
    </w:p>
    <w:p w14:paraId="419A3472" w14:textId="77777777" w:rsidR="00C2255B" w:rsidRDefault="00C2255B" w:rsidP="00DF655C">
      <w:pPr>
        <w:spacing w:before="100" w:beforeAutospacing="1" w:after="100" w:afterAutospacing="1" w:line="240" w:lineRule="auto"/>
        <w:rPr>
          <w:rFonts w:ascii="Times New Roman" w:eastAsia="Times New Roman" w:hAnsi="Times New Roman" w:cs="Times New Roman"/>
          <w:noProof/>
          <w:sz w:val="24"/>
          <w:szCs w:val="24"/>
          <w:lang w:val="en-IN" w:eastAsia="ja-JP"/>
          <w14:ligatures w14:val="none"/>
        </w:rPr>
      </w:pPr>
    </w:p>
    <w:p w14:paraId="352C4B5E" w14:textId="77777777" w:rsidR="00B81464" w:rsidRDefault="00B81464" w:rsidP="00DF655C">
      <w:pPr>
        <w:spacing w:before="100" w:beforeAutospacing="1" w:after="100" w:afterAutospacing="1" w:line="240" w:lineRule="auto"/>
        <w:rPr>
          <w:rFonts w:ascii="Times New Roman" w:eastAsia="Times New Roman" w:hAnsi="Times New Roman" w:cs="Times New Roman"/>
          <w:noProof/>
          <w:sz w:val="24"/>
          <w:szCs w:val="24"/>
          <w:lang w:val="en-IN" w:eastAsia="ja-JP"/>
          <w14:ligatures w14:val="none"/>
        </w:rPr>
      </w:pPr>
    </w:p>
    <w:p w14:paraId="1F5A24C5" w14:textId="2CAF0599" w:rsidR="00C2255B" w:rsidRPr="00DF655C" w:rsidRDefault="00C2255B" w:rsidP="007625A1">
      <w:pPr>
        <w:spacing w:before="100" w:beforeAutospacing="1" w:after="100" w:afterAutospacing="1" w:line="240" w:lineRule="auto"/>
        <w:jc w:val="center"/>
        <w:rPr>
          <w:rFonts w:ascii="Times New Roman" w:eastAsia="Times New Roman" w:hAnsi="Times New Roman" w:cs="Times New Roman"/>
          <w:sz w:val="24"/>
          <w:szCs w:val="24"/>
          <w:lang w:val="en-IN" w:eastAsia="ja-JP"/>
          <w14:ligatures w14:val="none"/>
        </w:rPr>
      </w:pPr>
      <w:r>
        <w:rPr>
          <w:noProof/>
        </w:rPr>
        <w:lastRenderedPageBreak/>
        <w:drawing>
          <wp:inline distT="0" distB="0" distL="0" distR="0" wp14:anchorId="5E8065F5" wp14:editId="0BB645F9">
            <wp:extent cx="6254709" cy="4648200"/>
            <wp:effectExtent l="19050" t="19050" r="0" b="0"/>
            <wp:docPr id="50280493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4938" name="Picture 1" descr="A screenshot of a computer scree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59578" cy="4651819"/>
                    </a:xfrm>
                    <a:prstGeom prst="rect">
                      <a:avLst/>
                    </a:prstGeom>
                    <a:noFill/>
                    <a:ln>
                      <a:solidFill>
                        <a:schemeClr val="tx1"/>
                      </a:solidFill>
                    </a:ln>
                  </pic:spPr>
                </pic:pic>
              </a:graphicData>
            </a:graphic>
          </wp:inline>
        </w:drawing>
      </w:r>
    </w:p>
    <w:p w14:paraId="21B59607" w14:textId="60CCAD6A" w:rsidR="000A21D3" w:rsidRPr="000A21D3" w:rsidRDefault="000A21D3" w:rsidP="002801F5">
      <w:pPr>
        <w:jc w:val="both"/>
        <w:rPr>
          <w:rFonts w:ascii="Arial" w:hAnsi="Arial" w:cs="Arial"/>
        </w:rPr>
      </w:pPr>
      <w:r w:rsidRPr="000A21D3">
        <w:rPr>
          <w:rFonts w:ascii="Arial" w:hAnsi="Arial" w:cs="Arial"/>
          <w:b/>
          <w:bCs/>
          <w:noProof/>
          <w:sz w:val="24"/>
          <w:szCs w:val="24"/>
        </w:rPr>
        <w:t>Figure S</w:t>
      </w:r>
      <w:r>
        <w:rPr>
          <w:rFonts w:ascii="Arial" w:hAnsi="Arial" w:cs="Arial"/>
          <w:b/>
          <w:bCs/>
          <w:noProof/>
          <w:sz w:val="24"/>
          <w:szCs w:val="24"/>
        </w:rPr>
        <w:t>2</w:t>
      </w:r>
      <w:r w:rsidRPr="000A21D3">
        <w:rPr>
          <w:rFonts w:ascii="Arial" w:hAnsi="Arial" w:cs="Arial"/>
          <w:noProof/>
          <w:sz w:val="24"/>
          <w:szCs w:val="24"/>
        </w:rPr>
        <w:t>:</w:t>
      </w:r>
      <w:r w:rsidRPr="000A21D3">
        <w:rPr>
          <w:rFonts w:ascii="Arial" w:hAnsi="Arial" w:cs="Arial"/>
        </w:rPr>
        <w:t xml:space="preserve"> </w:t>
      </w:r>
      <w:r w:rsidRPr="00DA6CC9">
        <w:rPr>
          <w:rFonts w:ascii="Arial" w:hAnsi="Arial" w:cs="Arial"/>
          <w:b/>
          <w:bCs/>
          <w:noProof/>
          <w:sz w:val="24"/>
          <w:szCs w:val="24"/>
        </w:rPr>
        <w:t>Comprehensive Analysis of DEC genes associated with MDR</w:t>
      </w:r>
      <w:r w:rsidRPr="000A21D3">
        <w:rPr>
          <w:rFonts w:ascii="Arial" w:hAnsi="Arial" w:cs="Arial"/>
          <w:noProof/>
          <w:sz w:val="24"/>
          <w:szCs w:val="24"/>
        </w:rPr>
        <w:t>: The dot plot visualizes pathway enrichment analysis, displaying fold enrichment of pathways, with the color of the dots indicating p-values, thereby highlighting pathways with significant over-representation of genes.</w:t>
      </w:r>
    </w:p>
    <w:p w14:paraId="4EA2A906" w14:textId="77777777" w:rsidR="00A73F69" w:rsidRDefault="00A73F69" w:rsidP="007625A1">
      <w:pPr>
        <w:spacing w:before="100" w:beforeAutospacing="1" w:after="100" w:afterAutospacing="1" w:line="240" w:lineRule="auto"/>
        <w:jc w:val="center"/>
        <w:rPr>
          <w:rFonts w:ascii="Times New Roman" w:eastAsia="Times New Roman" w:hAnsi="Times New Roman" w:cs="Times New Roman"/>
          <w:sz w:val="24"/>
          <w:szCs w:val="24"/>
          <w:lang w:val="en-IN" w:eastAsia="ja-JP"/>
          <w14:ligatures w14:val="none"/>
        </w:rPr>
      </w:pPr>
      <w:r w:rsidRPr="00A73F69">
        <w:rPr>
          <w:rFonts w:ascii="Times New Roman" w:eastAsia="Times New Roman" w:hAnsi="Times New Roman" w:cs="Times New Roman"/>
          <w:noProof/>
          <w:sz w:val="24"/>
          <w:szCs w:val="24"/>
          <w:lang w:val="en-IN" w:eastAsia="ja-JP"/>
          <w14:ligatures w14:val="none"/>
        </w:rPr>
        <w:lastRenderedPageBreak/>
        <w:drawing>
          <wp:inline distT="0" distB="0" distL="0" distR="0" wp14:anchorId="513B2638" wp14:editId="0E8E60A0">
            <wp:extent cx="6105525" cy="4924101"/>
            <wp:effectExtent l="19050" t="19050" r="0" b="0"/>
            <wp:docPr id="4" name="Picture 3" descr="A diagram of a cel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cell structure&#10;&#10;Description automatically generated with medium confidence"/>
                    <pic:cNvPicPr>
                      <a:picLocks noChangeAspect="1" noChangeArrowheads="1"/>
                    </pic:cNvPicPr>
                  </pic:nvPicPr>
                  <pic:blipFill rotWithShape="1">
                    <a:blip r:embed="rId6">
                      <a:extLst>
                        <a:ext uri="{28A0092B-C50C-407E-A947-70E740481C1C}">
                          <a14:useLocalDpi xmlns:a14="http://schemas.microsoft.com/office/drawing/2010/main" val="0"/>
                        </a:ext>
                      </a:extLst>
                    </a:blip>
                    <a:srcRect l="3148" t="3093" b="3093"/>
                    <a:stretch/>
                  </pic:blipFill>
                  <pic:spPr bwMode="auto">
                    <a:xfrm>
                      <a:off x="0" y="0"/>
                      <a:ext cx="6123567" cy="493865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192B835" w14:textId="219549D9" w:rsidR="00A73F69" w:rsidRDefault="000A21D3" w:rsidP="002801F5">
      <w:pPr>
        <w:spacing w:before="100" w:beforeAutospacing="1" w:after="100" w:afterAutospacing="1" w:line="240" w:lineRule="auto"/>
        <w:jc w:val="both"/>
        <w:rPr>
          <w:rFonts w:ascii="Times New Roman" w:eastAsia="Times New Roman" w:hAnsi="Times New Roman" w:cs="Times New Roman"/>
          <w:sz w:val="24"/>
          <w:szCs w:val="24"/>
          <w:lang w:val="en-IN" w:eastAsia="ja-JP"/>
          <w14:ligatures w14:val="none"/>
        </w:rPr>
      </w:pPr>
      <w:r w:rsidRPr="000A21D3">
        <w:rPr>
          <w:rFonts w:ascii="Arial" w:hAnsi="Arial" w:cs="Arial"/>
          <w:b/>
          <w:bCs/>
          <w:noProof/>
          <w:sz w:val="24"/>
          <w:szCs w:val="24"/>
        </w:rPr>
        <w:t>Figure S</w:t>
      </w:r>
      <w:r>
        <w:rPr>
          <w:rFonts w:ascii="Arial" w:hAnsi="Arial" w:cs="Arial"/>
          <w:b/>
          <w:bCs/>
          <w:noProof/>
          <w:sz w:val="24"/>
          <w:szCs w:val="24"/>
        </w:rPr>
        <w:t>3</w:t>
      </w:r>
      <w:r w:rsidRPr="000A21D3">
        <w:rPr>
          <w:rFonts w:ascii="Arial" w:hAnsi="Arial" w:cs="Arial"/>
          <w:noProof/>
          <w:sz w:val="24"/>
          <w:szCs w:val="24"/>
        </w:rPr>
        <w:t>:</w:t>
      </w:r>
      <w:r w:rsidRPr="000A21D3">
        <w:rPr>
          <w:rFonts w:ascii="Arial" w:hAnsi="Arial" w:cs="Arial"/>
        </w:rPr>
        <w:t xml:space="preserve"> </w:t>
      </w:r>
      <w:r w:rsidRPr="00DA6CC9">
        <w:rPr>
          <w:rFonts w:ascii="Arial" w:hAnsi="Arial" w:cs="Arial"/>
          <w:b/>
          <w:bCs/>
          <w:noProof/>
          <w:sz w:val="24"/>
          <w:szCs w:val="24"/>
        </w:rPr>
        <w:t>Comprehensive Analysis of DEC genes associated with MDR</w:t>
      </w:r>
      <w:r w:rsidRPr="000A21D3">
        <w:rPr>
          <w:rFonts w:ascii="Arial" w:hAnsi="Arial" w:cs="Arial"/>
          <w:noProof/>
          <w:sz w:val="24"/>
          <w:szCs w:val="24"/>
        </w:rPr>
        <w:t>:</w:t>
      </w:r>
      <w:r>
        <w:rPr>
          <w:rFonts w:ascii="Arial" w:hAnsi="Arial" w:cs="Arial"/>
          <w:noProof/>
          <w:sz w:val="24"/>
          <w:szCs w:val="24"/>
        </w:rPr>
        <w:t xml:space="preserve"> </w:t>
      </w:r>
      <w:r w:rsidR="00C525F4" w:rsidRPr="00C525F4">
        <w:rPr>
          <w:rFonts w:ascii="Arial" w:hAnsi="Arial" w:cs="Arial"/>
          <w:noProof/>
          <w:sz w:val="24"/>
          <w:szCs w:val="24"/>
        </w:rPr>
        <w:t>The gene interaction network diagram illustrates interactions among antibiotic resistance genes, where node size reflects gene connectivity, and red nodes indicate genes with high centrality, such as bla_TEM, bla_SHV, and bla_CTX-M, critical in the resistance network.</w:t>
      </w:r>
    </w:p>
    <w:p w14:paraId="0B4823E1" w14:textId="77777777" w:rsidR="00E74E82" w:rsidRPr="00E74E82" w:rsidRDefault="00E74E82" w:rsidP="007625A1">
      <w:pPr>
        <w:spacing w:before="100" w:beforeAutospacing="1" w:after="100" w:afterAutospacing="1" w:line="240" w:lineRule="auto"/>
        <w:jc w:val="center"/>
        <w:rPr>
          <w:rFonts w:ascii="Times New Roman" w:eastAsia="Times New Roman" w:hAnsi="Times New Roman" w:cs="Times New Roman"/>
          <w:sz w:val="24"/>
          <w:szCs w:val="24"/>
          <w:lang w:val="en-IN" w:eastAsia="ja-JP"/>
          <w14:ligatures w14:val="none"/>
        </w:rPr>
      </w:pPr>
      <w:r w:rsidRPr="00E74E82">
        <w:rPr>
          <w:rFonts w:ascii="Times New Roman" w:eastAsia="Times New Roman" w:hAnsi="Times New Roman" w:cs="Times New Roman"/>
          <w:noProof/>
          <w:sz w:val="24"/>
          <w:szCs w:val="24"/>
          <w:lang w:val="en-IN" w:eastAsia="ja-JP"/>
          <w14:ligatures w14:val="none"/>
        </w:rPr>
        <w:lastRenderedPageBreak/>
        <w:drawing>
          <wp:inline distT="0" distB="0" distL="0" distR="0" wp14:anchorId="69952F8D" wp14:editId="171858BA">
            <wp:extent cx="5295900" cy="4655326"/>
            <wp:effectExtent l="19050" t="19050" r="0" b="0"/>
            <wp:docPr id="5" name="Picture 4" descr="A network of molecules with dot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network of molecules with dots and lines&#10;&#10;Description automatically generated with medium confidenc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110" t="9969" r="10009" b="6952"/>
                    <a:stretch/>
                  </pic:blipFill>
                  <pic:spPr bwMode="auto">
                    <a:xfrm>
                      <a:off x="0" y="0"/>
                      <a:ext cx="5312208" cy="466966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1290C2F" w14:textId="5179B975" w:rsidR="00182FE0" w:rsidRDefault="00C525F4" w:rsidP="002801F5">
      <w:pPr>
        <w:jc w:val="both"/>
      </w:pPr>
      <w:r w:rsidRPr="000A21D3">
        <w:rPr>
          <w:rFonts w:ascii="Arial" w:hAnsi="Arial" w:cs="Arial"/>
          <w:b/>
          <w:bCs/>
          <w:noProof/>
          <w:sz w:val="24"/>
          <w:szCs w:val="24"/>
        </w:rPr>
        <w:t>Figure S</w:t>
      </w:r>
      <w:r>
        <w:rPr>
          <w:rFonts w:ascii="Arial" w:hAnsi="Arial" w:cs="Arial"/>
          <w:b/>
          <w:bCs/>
          <w:noProof/>
          <w:sz w:val="24"/>
          <w:szCs w:val="24"/>
        </w:rPr>
        <w:t>4</w:t>
      </w:r>
      <w:r w:rsidRPr="000A21D3">
        <w:rPr>
          <w:rFonts w:ascii="Arial" w:hAnsi="Arial" w:cs="Arial"/>
          <w:noProof/>
          <w:sz w:val="24"/>
          <w:szCs w:val="24"/>
        </w:rPr>
        <w:t>:</w:t>
      </w:r>
      <w:r w:rsidRPr="000A21D3">
        <w:rPr>
          <w:rFonts w:ascii="Arial" w:hAnsi="Arial" w:cs="Arial"/>
        </w:rPr>
        <w:t xml:space="preserve"> </w:t>
      </w:r>
      <w:r w:rsidRPr="00DA6CC9">
        <w:rPr>
          <w:rFonts w:ascii="Arial" w:hAnsi="Arial" w:cs="Arial"/>
          <w:b/>
          <w:bCs/>
          <w:noProof/>
          <w:sz w:val="24"/>
          <w:szCs w:val="24"/>
        </w:rPr>
        <w:t>Comprehensive Analysis of DEC genes associated with MDR</w:t>
      </w:r>
      <w:r w:rsidRPr="000A21D3">
        <w:rPr>
          <w:rFonts w:ascii="Arial" w:hAnsi="Arial" w:cs="Arial"/>
          <w:noProof/>
          <w:sz w:val="24"/>
          <w:szCs w:val="24"/>
        </w:rPr>
        <w:t>:</w:t>
      </w:r>
      <w:r>
        <w:rPr>
          <w:rFonts w:ascii="Arial" w:hAnsi="Arial" w:cs="Arial"/>
          <w:noProof/>
          <w:sz w:val="24"/>
          <w:szCs w:val="24"/>
        </w:rPr>
        <w:t xml:space="preserve"> </w:t>
      </w:r>
      <w:r w:rsidRPr="00C525F4">
        <w:rPr>
          <w:rFonts w:ascii="Arial" w:hAnsi="Arial" w:cs="Arial"/>
          <w:noProof/>
          <w:sz w:val="24"/>
          <w:szCs w:val="24"/>
        </w:rPr>
        <w:t>The pathway interaction network diagram highlights the interactions between biological pathways, where node and edge sizes represent the strength of interactions. Key clusters involve pathways related to glycosyltransferase activity, cell membrane functions, efflux pumps, and DNA repair mechanisms, underscoring the interconnectedness of these pathways in contributing to antibiotic resistance.</w:t>
      </w:r>
      <w:r w:rsidR="00B00C87">
        <w:rPr>
          <w:rFonts w:ascii="Arial" w:hAnsi="Arial" w:cs="Arial"/>
          <w:noProof/>
          <w:sz w:val="24"/>
          <w:szCs w:val="24"/>
        </w:rPr>
        <w:t xml:space="preserve"> </w:t>
      </w:r>
    </w:p>
    <w:sectPr w:rsidR="00182FE0" w:rsidSect="00E51A8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0"/>
  </w:compat>
  <w:rsids>
    <w:rsidRoot w:val="00C84CAC"/>
    <w:rsid w:val="000668B0"/>
    <w:rsid w:val="000704CA"/>
    <w:rsid w:val="00097ABB"/>
    <w:rsid w:val="000A21D3"/>
    <w:rsid w:val="000F0143"/>
    <w:rsid w:val="000F7E0C"/>
    <w:rsid w:val="001479BA"/>
    <w:rsid w:val="00157593"/>
    <w:rsid w:val="00182FE0"/>
    <w:rsid w:val="001B5E6C"/>
    <w:rsid w:val="0021218A"/>
    <w:rsid w:val="002529C8"/>
    <w:rsid w:val="00276937"/>
    <w:rsid w:val="002801F5"/>
    <w:rsid w:val="00291528"/>
    <w:rsid w:val="004046A0"/>
    <w:rsid w:val="00426C6C"/>
    <w:rsid w:val="004840AB"/>
    <w:rsid w:val="004B3024"/>
    <w:rsid w:val="004C0FE6"/>
    <w:rsid w:val="005C2945"/>
    <w:rsid w:val="006855DE"/>
    <w:rsid w:val="00691740"/>
    <w:rsid w:val="006E15C3"/>
    <w:rsid w:val="007625A1"/>
    <w:rsid w:val="007970AE"/>
    <w:rsid w:val="007C484E"/>
    <w:rsid w:val="008201C6"/>
    <w:rsid w:val="008428B7"/>
    <w:rsid w:val="008676A6"/>
    <w:rsid w:val="00895602"/>
    <w:rsid w:val="00916553"/>
    <w:rsid w:val="00934936"/>
    <w:rsid w:val="0095618F"/>
    <w:rsid w:val="00993FAC"/>
    <w:rsid w:val="009B3BB6"/>
    <w:rsid w:val="009E56A7"/>
    <w:rsid w:val="00A30A88"/>
    <w:rsid w:val="00A73F69"/>
    <w:rsid w:val="00AB39DA"/>
    <w:rsid w:val="00B00C87"/>
    <w:rsid w:val="00B73C6E"/>
    <w:rsid w:val="00B81464"/>
    <w:rsid w:val="00BB5663"/>
    <w:rsid w:val="00C2255B"/>
    <w:rsid w:val="00C525F4"/>
    <w:rsid w:val="00C64B7B"/>
    <w:rsid w:val="00C673C0"/>
    <w:rsid w:val="00C82FE3"/>
    <w:rsid w:val="00C84CAC"/>
    <w:rsid w:val="00CB55B8"/>
    <w:rsid w:val="00CF0C7F"/>
    <w:rsid w:val="00D01C7F"/>
    <w:rsid w:val="00D247A6"/>
    <w:rsid w:val="00DA6CC9"/>
    <w:rsid w:val="00DC12FD"/>
    <w:rsid w:val="00DF655C"/>
    <w:rsid w:val="00E51A87"/>
    <w:rsid w:val="00E6389F"/>
    <w:rsid w:val="00E74E82"/>
    <w:rsid w:val="00E9442A"/>
    <w:rsid w:val="00EF0578"/>
    <w:rsid w:val="00F4368F"/>
    <w:rsid w:val="00F9576F"/>
    <w:rsid w:val="00FA1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6CFF"/>
  <w15:chartTrackingRefBased/>
  <w15:docId w15:val="{8F8A2C36-EB7F-4444-8C0E-ED429250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87"/>
    <w:rPr>
      <w:kern w:val="0"/>
      <w:lang w:eastAsia="en-US"/>
    </w:rPr>
  </w:style>
  <w:style w:type="paragraph" w:styleId="Heading1">
    <w:name w:val="heading 1"/>
    <w:basedOn w:val="Normal"/>
    <w:next w:val="Normal"/>
    <w:link w:val="Heading1Char"/>
    <w:uiPriority w:val="9"/>
    <w:qFormat/>
    <w:rsid w:val="00C84CA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84CA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84CA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84CA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84CA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84C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C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C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C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CA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84CA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84CA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84CA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84CA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84C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C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C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CAC"/>
    <w:rPr>
      <w:rFonts w:eastAsiaTheme="majorEastAsia" w:cstheme="majorBidi"/>
      <w:color w:val="272727" w:themeColor="text1" w:themeTint="D8"/>
    </w:rPr>
  </w:style>
  <w:style w:type="paragraph" w:styleId="Title">
    <w:name w:val="Title"/>
    <w:basedOn w:val="Normal"/>
    <w:next w:val="Normal"/>
    <w:link w:val="TitleChar"/>
    <w:uiPriority w:val="10"/>
    <w:qFormat/>
    <w:rsid w:val="00C84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C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C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C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C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4CAC"/>
    <w:rPr>
      <w:i/>
      <w:iCs/>
      <w:color w:val="404040" w:themeColor="text1" w:themeTint="BF"/>
    </w:rPr>
  </w:style>
  <w:style w:type="paragraph" w:styleId="ListParagraph">
    <w:name w:val="List Paragraph"/>
    <w:basedOn w:val="Normal"/>
    <w:uiPriority w:val="34"/>
    <w:qFormat/>
    <w:rsid w:val="00C84CAC"/>
    <w:pPr>
      <w:ind w:left="720"/>
      <w:contextualSpacing/>
    </w:pPr>
  </w:style>
  <w:style w:type="character" w:styleId="IntenseEmphasis">
    <w:name w:val="Intense Emphasis"/>
    <w:basedOn w:val="DefaultParagraphFont"/>
    <w:uiPriority w:val="21"/>
    <w:qFormat/>
    <w:rsid w:val="00C84CAC"/>
    <w:rPr>
      <w:i/>
      <w:iCs/>
      <w:color w:val="365F91" w:themeColor="accent1" w:themeShade="BF"/>
    </w:rPr>
  </w:style>
  <w:style w:type="paragraph" w:styleId="IntenseQuote">
    <w:name w:val="Intense Quote"/>
    <w:basedOn w:val="Normal"/>
    <w:next w:val="Normal"/>
    <w:link w:val="IntenseQuoteChar"/>
    <w:uiPriority w:val="30"/>
    <w:qFormat/>
    <w:rsid w:val="00C84CA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84CAC"/>
    <w:rPr>
      <w:i/>
      <w:iCs/>
      <w:color w:val="365F91" w:themeColor="accent1" w:themeShade="BF"/>
    </w:rPr>
  </w:style>
  <w:style w:type="character" w:styleId="IntenseReference">
    <w:name w:val="Intense Reference"/>
    <w:basedOn w:val="DefaultParagraphFont"/>
    <w:uiPriority w:val="32"/>
    <w:qFormat/>
    <w:rsid w:val="00C84CAC"/>
    <w:rPr>
      <w:b/>
      <w:bCs/>
      <w:smallCaps/>
      <w:color w:val="365F91" w:themeColor="accent1" w:themeShade="BF"/>
      <w:spacing w:val="5"/>
    </w:rPr>
  </w:style>
  <w:style w:type="table" w:styleId="TableGrid">
    <w:name w:val="Table Grid"/>
    <w:basedOn w:val="TableNormal"/>
    <w:uiPriority w:val="59"/>
    <w:rsid w:val="00E51A87"/>
    <w:pPr>
      <w:spacing w:after="0" w:line="240" w:lineRule="auto"/>
    </w:pPr>
    <w:rPr>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F655C"/>
    <w:pPr>
      <w:spacing w:before="100" w:beforeAutospacing="1" w:after="100" w:afterAutospacing="1" w:line="240" w:lineRule="auto"/>
    </w:pPr>
    <w:rPr>
      <w:rFonts w:ascii="Times New Roman" w:eastAsia="Times New Roman" w:hAnsi="Times New Roman" w:cs="Times New Roman"/>
      <w:sz w:val="24"/>
      <w:szCs w:val="24"/>
      <w:lang w:val="en-I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98428">
      <w:bodyDiv w:val="1"/>
      <w:marLeft w:val="0"/>
      <w:marRight w:val="0"/>
      <w:marTop w:val="0"/>
      <w:marBottom w:val="0"/>
      <w:divBdr>
        <w:top w:val="none" w:sz="0" w:space="0" w:color="auto"/>
        <w:left w:val="none" w:sz="0" w:space="0" w:color="auto"/>
        <w:bottom w:val="none" w:sz="0" w:space="0" w:color="auto"/>
        <w:right w:val="none" w:sz="0" w:space="0" w:color="auto"/>
      </w:divBdr>
    </w:div>
    <w:div w:id="629551739">
      <w:bodyDiv w:val="1"/>
      <w:marLeft w:val="0"/>
      <w:marRight w:val="0"/>
      <w:marTop w:val="0"/>
      <w:marBottom w:val="0"/>
      <w:divBdr>
        <w:top w:val="none" w:sz="0" w:space="0" w:color="auto"/>
        <w:left w:val="none" w:sz="0" w:space="0" w:color="auto"/>
        <w:bottom w:val="none" w:sz="0" w:space="0" w:color="auto"/>
        <w:right w:val="none" w:sz="0" w:space="0" w:color="auto"/>
      </w:divBdr>
    </w:div>
    <w:div w:id="1878665116">
      <w:bodyDiv w:val="1"/>
      <w:marLeft w:val="0"/>
      <w:marRight w:val="0"/>
      <w:marTop w:val="0"/>
      <w:marBottom w:val="0"/>
      <w:divBdr>
        <w:top w:val="none" w:sz="0" w:space="0" w:color="auto"/>
        <w:left w:val="none" w:sz="0" w:space="0" w:color="auto"/>
        <w:bottom w:val="none" w:sz="0" w:space="0" w:color="auto"/>
        <w:right w:val="none" w:sz="0" w:space="0" w:color="auto"/>
      </w:divBdr>
    </w:div>
    <w:div w:id="196931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507</Words>
  <Characters>2892</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Shekhar</dc:creator>
  <cp:keywords/>
  <dc:description/>
  <cp:lastModifiedBy>Taru Singh</cp:lastModifiedBy>
  <cp:revision>60</cp:revision>
  <dcterms:created xsi:type="dcterms:W3CDTF">2025-01-13T03:51:00Z</dcterms:created>
  <dcterms:modified xsi:type="dcterms:W3CDTF">2025-03-01T09:07:00Z</dcterms:modified>
</cp:coreProperties>
</file>