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34A89"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S1 </w:t>
      </w:r>
      <w:r>
        <w:t>Table</w:t>
      </w:r>
      <w:r>
        <w:rPr>
          <w:rFonts w:hint="eastAsia"/>
          <w:lang w:val="en-US" w:eastAsia="zh-CN"/>
        </w:rPr>
        <w:t xml:space="preserve"> 1</w:t>
      </w:r>
    </w:p>
    <w:p w14:paraId="44C2EDDF">
      <w:r>
        <w:t>Brian regions whose GMV correlated with participants’ RT in 4 back</w:t>
      </w:r>
      <w:r>
        <w:rPr>
          <w:rFonts w:hint="eastAsia"/>
          <w:lang w:val="en-US" w:eastAsia="zh-CN"/>
        </w:rPr>
        <w:t xml:space="preserve"> ( p</w:t>
      </w:r>
      <w:r>
        <w:rPr>
          <w:rFonts w:hint="eastAsia"/>
          <w:vertAlign w:val="subscript"/>
          <w:lang w:val="en-US" w:eastAsia="zh-CN"/>
        </w:rPr>
        <w:t xml:space="preserve">FDR </w:t>
      </w:r>
      <w:r>
        <w:rPr>
          <w:rFonts w:hint="eastAsia"/>
          <w:lang w:val="en-US" w:eastAsia="zh-CN"/>
        </w:rPr>
        <w:t>&lt; 0.05  K &gt; 20 )</w:t>
      </w:r>
      <w:r>
        <w:t>.</w:t>
      </w:r>
    </w:p>
    <w:tbl>
      <w:tblPr>
        <w:tblStyle w:val="3"/>
        <w:tblW w:w="8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3"/>
        <w:gridCol w:w="236"/>
        <w:gridCol w:w="794"/>
        <w:gridCol w:w="240"/>
        <w:gridCol w:w="602"/>
        <w:gridCol w:w="602"/>
        <w:gridCol w:w="603"/>
        <w:gridCol w:w="283"/>
        <w:gridCol w:w="851"/>
        <w:gridCol w:w="283"/>
        <w:gridCol w:w="1134"/>
        <w:gridCol w:w="284"/>
      </w:tblGrid>
      <w:tr w14:paraId="557D7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3" w:type="dxa"/>
            <w:tcBorders>
              <w:top w:val="single" w:color="auto" w:sz="12" w:space="0"/>
              <w:left w:val="nil"/>
              <w:right w:val="nil"/>
            </w:tcBorders>
          </w:tcPr>
          <w:p w14:paraId="32A7F70E">
            <w:r>
              <w:t>Regions</w:t>
            </w:r>
          </w:p>
        </w:tc>
        <w:tc>
          <w:tcPr>
            <w:tcW w:w="236" w:type="dxa"/>
            <w:vMerge w:val="restart"/>
            <w:tcBorders>
              <w:top w:val="single" w:color="auto" w:sz="12" w:space="0"/>
              <w:left w:val="nil"/>
              <w:right w:val="nil"/>
            </w:tcBorders>
          </w:tcPr>
          <w:p w14:paraId="6577C961"/>
        </w:tc>
        <w:tc>
          <w:tcPr>
            <w:tcW w:w="794" w:type="dxa"/>
            <w:tcBorders>
              <w:top w:val="single" w:color="auto" w:sz="12" w:space="0"/>
              <w:left w:val="nil"/>
              <w:right w:val="nil"/>
            </w:tcBorders>
          </w:tcPr>
          <w:p w14:paraId="2A2CBB7A">
            <w:r>
              <w:t>cluster</w:t>
            </w:r>
          </w:p>
        </w:tc>
        <w:tc>
          <w:tcPr>
            <w:tcW w:w="240" w:type="dxa"/>
            <w:vMerge w:val="restart"/>
            <w:tcBorders>
              <w:top w:val="single" w:color="auto" w:sz="12" w:space="0"/>
              <w:left w:val="nil"/>
              <w:right w:val="nil"/>
            </w:tcBorders>
          </w:tcPr>
          <w:p w14:paraId="04AF7010"/>
        </w:tc>
        <w:tc>
          <w:tcPr>
            <w:tcW w:w="1807" w:type="dxa"/>
            <w:gridSpan w:val="3"/>
            <w:tcBorders>
              <w:top w:val="single" w:color="auto" w:sz="12" w:space="0"/>
              <w:left w:val="nil"/>
              <w:right w:val="nil"/>
            </w:tcBorders>
          </w:tcPr>
          <w:p w14:paraId="69254A5B">
            <w:r>
              <w:t xml:space="preserve">Peak MNI </w:t>
            </w:r>
          </w:p>
          <w:p w14:paraId="1F9D5FAC">
            <w:r>
              <w:t>Coordinates</w:t>
            </w:r>
          </w:p>
        </w:tc>
        <w:tc>
          <w:tcPr>
            <w:tcW w:w="283" w:type="dxa"/>
            <w:vMerge w:val="restart"/>
            <w:tcBorders>
              <w:top w:val="single" w:color="auto" w:sz="12" w:space="0"/>
              <w:left w:val="nil"/>
              <w:right w:val="nil"/>
            </w:tcBorders>
          </w:tcPr>
          <w:p w14:paraId="1365BEF3"/>
        </w:tc>
        <w:tc>
          <w:tcPr>
            <w:tcW w:w="851" w:type="dxa"/>
            <w:tcBorders>
              <w:top w:val="single" w:color="auto" w:sz="12" w:space="0"/>
              <w:left w:val="nil"/>
              <w:right w:val="nil"/>
            </w:tcBorders>
          </w:tcPr>
          <w:p w14:paraId="2538318E">
            <w:r>
              <w:t>T</w:t>
            </w:r>
            <w:r>
              <w:rPr>
                <w:rFonts w:eastAsia="微软雅黑"/>
              </w:rPr>
              <w:t>−</w:t>
            </w:r>
          </w:p>
          <w:p w14:paraId="50ED40B9">
            <w:pPr>
              <w:rPr>
                <w:b/>
                <w:bCs/>
              </w:rPr>
            </w:pPr>
            <w:r>
              <w:t>value</w:t>
            </w:r>
          </w:p>
        </w:tc>
        <w:tc>
          <w:tcPr>
            <w:tcW w:w="283" w:type="dxa"/>
            <w:vMerge w:val="restart"/>
            <w:tcBorders>
              <w:top w:val="single" w:color="auto" w:sz="12" w:space="0"/>
              <w:left w:val="nil"/>
              <w:right w:val="nil"/>
            </w:tcBorders>
          </w:tcPr>
          <w:p w14:paraId="75288999"/>
        </w:tc>
        <w:tc>
          <w:tcPr>
            <w:tcW w:w="1134" w:type="dxa"/>
            <w:tcBorders>
              <w:top w:val="single" w:color="auto" w:sz="12" w:space="0"/>
              <w:left w:val="nil"/>
              <w:right w:val="nil"/>
            </w:tcBorders>
          </w:tcPr>
          <w:p w14:paraId="3AC33C41">
            <w:r>
              <w:t>r</w:t>
            </w:r>
            <w:r>
              <w:rPr>
                <w:vertAlign w:val="subscript"/>
              </w:rPr>
              <w:t>cluster</w:t>
            </w:r>
            <w:r>
              <w:fldChar w:fldCharType="begin"/>
            </w:r>
            <w:r>
              <w:instrText xml:space="preserve"> HYPERLINK \l "OLE_LINK1" </w:instrText>
            </w:r>
            <w:r>
              <w:fldChar w:fldCharType="separate"/>
            </w:r>
            <w:r>
              <w:rPr>
                <w:rStyle w:val="5"/>
                <w:vertAlign w:val="superscript"/>
              </w:rPr>
              <w:t>a</w:t>
            </w:r>
            <w:r>
              <w:rPr>
                <w:rStyle w:val="5"/>
                <w:vertAlign w:val="superscript"/>
              </w:rPr>
              <w:fldChar w:fldCharType="end"/>
            </w:r>
          </w:p>
        </w:tc>
        <w:tc>
          <w:tcPr>
            <w:tcW w:w="284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243A319D"/>
        </w:tc>
      </w:tr>
      <w:tr w14:paraId="499A5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3" w:type="dxa"/>
            <w:tcBorders>
              <w:left w:val="nil"/>
              <w:bottom w:val="single" w:color="auto" w:sz="12" w:space="0"/>
              <w:right w:val="nil"/>
            </w:tcBorders>
          </w:tcPr>
          <w:p w14:paraId="06AD1873"/>
        </w:tc>
        <w:tc>
          <w:tcPr>
            <w:tcW w:w="236" w:type="dxa"/>
            <w:vMerge w:val="continue"/>
            <w:tcBorders>
              <w:left w:val="nil"/>
              <w:bottom w:val="nil"/>
              <w:right w:val="nil"/>
            </w:tcBorders>
          </w:tcPr>
          <w:p w14:paraId="2529AD49"/>
        </w:tc>
        <w:tc>
          <w:tcPr>
            <w:tcW w:w="794" w:type="dxa"/>
            <w:tcBorders>
              <w:left w:val="nil"/>
              <w:bottom w:val="single" w:color="auto" w:sz="12" w:space="0"/>
              <w:right w:val="nil"/>
            </w:tcBorders>
          </w:tcPr>
          <w:p w14:paraId="7D8343F8"/>
        </w:tc>
        <w:tc>
          <w:tcPr>
            <w:tcW w:w="240" w:type="dxa"/>
            <w:vMerge w:val="continue"/>
            <w:tcBorders>
              <w:left w:val="nil"/>
              <w:bottom w:val="single" w:color="auto" w:sz="12" w:space="0"/>
              <w:right w:val="nil"/>
            </w:tcBorders>
          </w:tcPr>
          <w:p w14:paraId="04A35B48"/>
        </w:tc>
        <w:tc>
          <w:tcPr>
            <w:tcW w:w="602" w:type="dxa"/>
            <w:tcBorders>
              <w:left w:val="nil"/>
              <w:bottom w:val="single" w:color="auto" w:sz="12" w:space="0"/>
              <w:right w:val="nil"/>
            </w:tcBorders>
          </w:tcPr>
          <w:p w14:paraId="62357EB4">
            <w:r>
              <w:t>x</w:t>
            </w:r>
          </w:p>
        </w:tc>
        <w:tc>
          <w:tcPr>
            <w:tcW w:w="602" w:type="dxa"/>
            <w:tcBorders>
              <w:left w:val="nil"/>
              <w:bottom w:val="single" w:color="auto" w:sz="12" w:space="0"/>
              <w:right w:val="nil"/>
            </w:tcBorders>
          </w:tcPr>
          <w:p w14:paraId="48735B08">
            <w:r>
              <w:t>y</w:t>
            </w:r>
          </w:p>
        </w:tc>
        <w:tc>
          <w:tcPr>
            <w:tcW w:w="603" w:type="dxa"/>
            <w:tcBorders>
              <w:left w:val="nil"/>
              <w:bottom w:val="single" w:color="auto" w:sz="12" w:space="0"/>
              <w:right w:val="nil"/>
            </w:tcBorders>
          </w:tcPr>
          <w:p w14:paraId="28653E0E">
            <w:r>
              <w:t>z</w:t>
            </w:r>
          </w:p>
        </w:tc>
        <w:tc>
          <w:tcPr>
            <w:tcW w:w="283" w:type="dxa"/>
            <w:vMerge w:val="continue"/>
            <w:tcBorders>
              <w:left w:val="nil"/>
              <w:bottom w:val="single" w:color="auto" w:sz="12" w:space="0"/>
              <w:right w:val="nil"/>
            </w:tcBorders>
          </w:tcPr>
          <w:p w14:paraId="07C403B5"/>
        </w:tc>
        <w:tc>
          <w:tcPr>
            <w:tcW w:w="851" w:type="dxa"/>
            <w:tcBorders>
              <w:left w:val="nil"/>
              <w:bottom w:val="single" w:color="auto" w:sz="12" w:space="0"/>
              <w:right w:val="nil"/>
            </w:tcBorders>
          </w:tcPr>
          <w:p w14:paraId="0209F873"/>
        </w:tc>
        <w:tc>
          <w:tcPr>
            <w:tcW w:w="283" w:type="dxa"/>
            <w:vMerge w:val="continue"/>
            <w:tcBorders>
              <w:left w:val="nil"/>
              <w:bottom w:val="single" w:color="auto" w:sz="12" w:space="0"/>
              <w:right w:val="nil"/>
            </w:tcBorders>
          </w:tcPr>
          <w:p w14:paraId="71D1FF5B"/>
        </w:tc>
        <w:tc>
          <w:tcPr>
            <w:tcW w:w="1134" w:type="dxa"/>
            <w:tcBorders>
              <w:left w:val="nil"/>
              <w:bottom w:val="single" w:color="auto" w:sz="12" w:space="0"/>
              <w:right w:val="nil"/>
            </w:tcBorders>
          </w:tcPr>
          <w:p w14:paraId="44E9D1FB"/>
        </w:tc>
        <w:tc>
          <w:tcPr>
            <w:tcW w:w="284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07CC31BC"/>
        </w:tc>
      </w:tr>
      <w:tr w14:paraId="206F8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3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39F6F2D8">
            <w:r>
              <w:rPr>
                <w:b/>
                <w:bCs/>
              </w:rPr>
              <w:t>visual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677165F"/>
        </w:tc>
        <w:tc>
          <w:tcPr>
            <w:tcW w:w="794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64BA733F"/>
        </w:tc>
        <w:tc>
          <w:tcPr>
            <w:tcW w:w="240" w:type="dxa"/>
            <w:vMerge w:val="restart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</w:tcPr>
          <w:p w14:paraId="7E4F8B75"/>
        </w:tc>
        <w:tc>
          <w:tcPr>
            <w:tcW w:w="60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4E9C10A3"/>
        </w:tc>
        <w:tc>
          <w:tcPr>
            <w:tcW w:w="60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0FDB9D05"/>
        </w:tc>
        <w:tc>
          <w:tcPr>
            <w:tcW w:w="603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6B848CBC"/>
        </w:tc>
        <w:tc>
          <w:tcPr>
            <w:tcW w:w="283" w:type="dxa"/>
            <w:vMerge w:val="restart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</w:tcPr>
          <w:p w14:paraId="2D3395C2"/>
        </w:tc>
        <w:tc>
          <w:tcPr>
            <w:tcW w:w="85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04BC6C89"/>
        </w:tc>
        <w:tc>
          <w:tcPr>
            <w:tcW w:w="283" w:type="dxa"/>
            <w:vMerge w:val="restart"/>
            <w:tcBorders>
              <w:top w:val="single" w:color="auto" w:sz="12" w:space="0"/>
              <w:left w:val="nil"/>
              <w:bottom w:val="single" w:color="000000" w:sz="12" w:space="0"/>
              <w:right w:val="nil"/>
            </w:tcBorders>
          </w:tcPr>
          <w:p w14:paraId="4E335A9C"/>
        </w:tc>
        <w:tc>
          <w:tcPr>
            <w:tcW w:w="1134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7184507A"/>
        </w:tc>
        <w:tc>
          <w:tcPr>
            <w:tcW w:w="284" w:type="dxa"/>
            <w:vMerge w:val="restar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16960F35"/>
        </w:tc>
      </w:tr>
      <w:tr w14:paraId="013AC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7F940232">
            <w:r>
              <w:rPr>
                <w:i/>
                <w:iCs/>
              </w:rPr>
              <w:t>positive</w:t>
            </w:r>
          </w:p>
        </w:tc>
        <w:tc>
          <w:tcPr>
            <w:tcW w:w="236" w:type="dxa"/>
            <w:vMerge w:val="continue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3826D787"/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14:paraId="570DDC58"/>
        </w:tc>
        <w:tc>
          <w:tcPr>
            <w:tcW w:w="240" w:type="dxa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</w:tcPr>
          <w:p w14:paraId="29C9F8A3"/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6573322F"/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14:paraId="0F8C5A3C"/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14:paraId="23D1EE06"/>
        </w:tc>
        <w:tc>
          <w:tcPr>
            <w:tcW w:w="283" w:type="dxa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</w:tcPr>
          <w:p w14:paraId="6C53C0CF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B57EBA"/>
        </w:tc>
        <w:tc>
          <w:tcPr>
            <w:tcW w:w="283" w:type="dxa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</w:tcPr>
          <w:p w14:paraId="4DFBC94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6CDE8F"/>
        </w:tc>
        <w:tc>
          <w:tcPr>
            <w:tcW w:w="284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20956F62"/>
        </w:tc>
      </w:tr>
      <w:tr w14:paraId="2ACCD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C05A6E1">
            <w:r>
              <w:t>L Precentral gyrus</w:t>
            </w:r>
          </w:p>
        </w:tc>
        <w:tc>
          <w:tcPr>
            <w:tcW w:w="236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FC67336"/>
        </w:tc>
        <w:tc>
          <w:tcPr>
            <w:tcW w:w="79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D0AC025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169</w:t>
            </w:r>
          </w:p>
        </w:tc>
        <w:tc>
          <w:tcPr>
            <w:tcW w:w="240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BA0539A"/>
        </w:tc>
        <w:tc>
          <w:tcPr>
            <w:tcW w:w="60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8B0437F">
            <w:r>
              <w:t>−39</w:t>
            </w:r>
          </w:p>
        </w:tc>
        <w:tc>
          <w:tcPr>
            <w:tcW w:w="60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0ED55D6">
            <w:r>
              <w:t>−8</w:t>
            </w:r>
          </w:p>
        </w:tc>
        <w:tc>
          <w:tcPr>
            <w:tcW w:w="60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78BDD87">
            <w:r>
              <w:t>53</w:t>
            </w:r>
          </w:p>
        </w:tc>
        <w:tc>
          <w:tcPr>
            <w:tcW w:w="283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40184F6"/>
        </w:tc>
        <w:tc>
          <w:tcPr>
            <w:tcW w:w="85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0BA41E4">
            <w:r>
              <w:t>5.16</w:t>
            </w:r>
          </w:p>
        </w:tc>
        <w:tc>
          <w:tcPr>
            <w:tcW w:w="283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C26606D"/>
        </w:tc>
        <w:tc>
          <w:tcPr>
            <w:tcW w:w="113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C9CF854">
            <w:r>
              <w:t>0.57</w:t>
            </w:r>
            <w:r>
              <w:rPr>
                <w:rFonts w:hint="eastAsia"/>
                <w:lang w:val="en-US" w:eastAsia="zh-CN"/>
              </w:rPr>
              <w:t>5</w:t>
            </w:r>
            <w:r>
              <w:t>***</w:t>
            </w:r>
          </w:p>
        </w:tc>
        <w:tc>
          <w:tcPr>
            <w:tcW w:w="284" w:type="dxa"/>
            <w:vMerge w:val="continue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 w14:paraId="7EC42C5B"/>
        </w:tc>
      </w:tr>
    </w:tbl>
    <w:p w14:paraId="2FD8F990">
      <w:r>
        <w:t>Note: MNI, Montreal Neurological Institute; L: left; R: right. The significance levels were set at of p &lt; 0.001 (uncorrected) and a minimum cluster size of 20 voxels. *** p &lt; 0.001.</w:t>
      </w:r>
    </w:p>
    <w:p w14:paraId="3000F4EA">
      <w:r>
        <w:rPr>
          <w:vertAlign w:val="superscript"/>
        </w:rPr>
        <w:t>a</w:t>
      </w:r>
      <w:r>
        <w:t xml:space="preserve"> the correlation coefficient between the averaged GMV within the significant clusters and participants’ behavior data.</w:t>
      </w:r>
    </w:p>
    <w:p w14:paraId="09DCD04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9640FC"/>
    <w:rsid w:val="2B96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2025-02-20T07:36:00Z</dcterms:created>
  <dc:creator>荷风小意</dc:creator>
  <cp:lastModifiedBy>荷风小意</cp:lastModifiedBy>
  <dcterms:modified xsi:type="dcterms:W3CDTF">2025-02-20T08:25:04Z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0B836E66AC03445ABE7C67F042029571_11</vt:lpwstr>
  </property>
  <property fmtid="{D5CDD505-2E9C-101B-9397-08002B2CF9AE}" pid="4" name="KSOTemplateDocerSaveRecord">
    <vt:lpwstr>eyJoZGlkIjoiYjc0ODIzYTAyZTFlYzRlZmRjMDQ3NjFhMWZhNGNmYWYiLCJ1c2VySWQiOiIyNTAxODA2OTEifQ==</vt:lpwstr>
  </property>
</Properties>
</file>