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54A43" w14:textId="406AB4A0" w:rsidR="00295C25" w:rsidRPr="00295C25" w:rsidRDefault="00295C25" w:rsidP="002A0069">
      <w:pPr>
        <w:spacing w:after="240" w:line="360" w:lineRule="auto"/>
        <w:ind w:left="567" w:right="560"/>
        <w:jc w:val="both"/>
        <w:rPr>
          <w:b/>
          <w:bCs/>
          <w:lang w:val="en-US"/>
        </w:rPr>
      </w:pPr>
      <w:r w:rsidRPr="00295C25">
        <w:rPr>
          <w:b/>
          <w:bCs/>
          <w:lang w:val="en-US"/>
        </w:rPr>
        <w:t>S</w:t>
      </w:r>
      <w:r w:rsidR="008D2DB1">
        <w:rPr>
          <w:b/>
          <w:bCs/>
          <w:lang w:val="en-US"/>
        </w:rPr>
        <w:t>1 S</w:t>
      </w:r>
      <w:r w:rsidRPr="00295C25">
        <w:rPr>
          <w:b/>
          <w:bCs/>
          <w:lang w:val="en-US"/>
        </w:rPr>
        <w:t>upplementary Materials</w:t>
      </w:r>
    </w:p>
    <w:p w14:paraId="4F750C54" w14:textId="73361269" w:rsidR="002A0069" w:rsidRPr="00BD600C" w:rsidRDefault="00295C25" w:rsidP="002A0069">
      <w:pPr>
        <w:spacing w:after="240" w:line="360" w:lineRule="auto"/>
        <w:ind w:left="567" w:right="560"/>
        <w:jc w:val="both"/>
        <w:rPr>
          <w:noProof/>
          <w:lang w:val="en-US"/>
        </w:rPr>
      </w:pPr>
      <w:r w:rsidRPr="00295C25">
        <w:rPr>
          <w:i/>
          <w:iCs/>
          <w:lang w:val="en-US"/>
        </w:rPr>
        <w:t>1.1</w:t>
      </w:r>
      <w:r w:rsidR="002A0069" w:rsidRPr="00295C25">
        <w:rPr>
          <w:i/>
          <w:iCs/>
          <w:lang w:val="en-US"/>
        </w:rPr>
        <w:t xml:space="preserve"> Preliminary Treatment and Proximate analysis of </w:t>
      </w:r>
      <w:r w:rsidRPr="00295C25">
        <w:rPr>
          <w:lang w:val="en-US"/>
        </w:rPr>
        <w:t>Savalia savaglia</w:t>
      </w:r>
    </w:p>
    <w:p w14:paraId="5866C8C2" w14:textId="5FCFE622" w:rsidR="002A0069" w:rsidRPr="00295C25" w:rsidRDefault="002A0069" w:rsidP="002A0069">
      <w:pPr>
        <w:spacing w:after="240" w:line="360" w:lineRule="auto"/>
        <w:ind w:left="567" w:right="560"/>
        <w:jc w:val="both"/>
        <w:rPr>
          <w:color w:val="000000" w:themeColor="text1"/>
          <w:lang w:val="en-GB"/>
        </w:rPr>
      </w:pP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 xml:space="preserve">The coral has been </w:t>
      </w:r>
      <w:proofErr w:type="spellStart"/>
      <w:r w:rsidR="0055454C"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>microni</w:t>
      </w:r>
      <w:r w:rsidR="0055454C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>s</w:t>
      </w:r>
      <w:r w:rsidR="0055454C"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>ed</w:t>
      </w:r>
      <w:proofErr w:type="spellEnd"/>
      <w:r w:rsidR="0055454C"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 xml:space="preserve"> 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>and sieved at 2</w:t>
      </w:r>
      <w:r w:rsidR="00F5132B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 xml:space="preserve"> 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>mm for the analysis. The residual moisture of the coral was determined with official method AOAC 950.46B (</w:t>
      </w:r>
      <w:r w:rsidRPr="00295C25">
        <w:rPr>
          <w:color w:val="000000" w:themeColor="text1"/>
          <w:lang w:val="en-GB"/>
        </w:rPr>
        <w:t xml:space="preserve">Association of Official Analytical Chemists. </w:t>
      </w:r>
      <w:r w:rsidRPr="00295C25">
        <w:rPr>
          <w:i/>
          <w:iCs/>
          <w:color w:val="000000" w:themeColor="text1"/>
          <w:lang w:val="en-GB"/>
        </w:rPr>
        <w:t>Official Methods of Analysis of AOAC International</w:t>
      </w:r>
      <w:r w:rsidRPr="00295C25">
        <w:rPr>
          <w:color w:val="000000" w:themeColor="text1"/>
          <w:lang w:val="en-GB"/>
        </w:rPr>
        <w:t>, 19</w:t>
      </w:r>
      <w:r w:rsidRPr="00F5132B">
        <w:rPr>
          <w:color w:val="000000" w:themeColor="text1"/>
          <w:vertAlign w:val="superscript"/>
          <w:lang w:val="en-GB"/>
        </w:rPr>
        <w:t>th</w:t>
      </w:r>
      <w:r w:rsidRPr="00295C25">
        <w:rPr>
          <w:color w:val="000000" w:themeColor="text1"/>
          <w:lang w:val="en-GB"/>
        </w:rPr>
        <w:t xml:space="preserve"> ed.; Association of Official Analytical Chemists: Gaithersburg, MD, USA, 2012)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>, while the ashes content was evaluated applying</w:t>
      </w:r>
      <w:r w:rsidRPr="00295C25">
        <w:rPr>
          <w:color w:val="000000" w:themeColor="text1"/>
          <w:lang w:val="en-GB"/>
        </w:rPr>
        <w:t xml:space="preserve"> 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>AOAC 942.05 (</w:t>
      </w:r>
      <w:r w:rsidRPr="00295C25">
        <w:rPr>
          <w:color w:val="000000" w:themeColor="text1"/>
          <w:lang w:val="en-GB"/>
        </w:rPr>
        <w:t xml:space="preserve">Association of Official Analytical Chemists. </w:t>
      </w:r>
      <w:r w:rsidRPr="00295C25">
        <w:rPr>
          <w:i/>
          <w:iCs/>
          <w:color w:val="000000" w:themeColor="text1"/>
          <w:lang w:val="en-GB"/>
        </w:rPr>
        <w:t>Official Methods of Analysis of AOAC International</w:t>
      </w:r>
      <w:r w:rsidRPr="00295C25">
        <w:rPr>
          <w:color w:val="000000" w:themeColor="text1"/>
          <w:lang w:val="en-GB"/>
        </w:rPr>
        <w:t>, 19</w:t>
      </w:r>
      <w:r w:rsidRPr="00F5132B">
        <w:rPr>
          <w:color w:val="000000" w:themeColor="text1"/>
          <w:vertAlign w:val="superscript"/>
          <w:lang w:val="en-GB"/>
        </w:rPr>
        <w:t>th</w:t>
      </w:r>
      <w:r w:rsidRPr="00295C25">
        <w:rPr>
          <w:color w:val="000000" w:themeColor="text1"/>
          <w:lang w:val="en-GB"/>
        </w:rPr>
        <w:t xml:space="preserve"> ed.; Association of Official Analytical Chemists: Gaithersburg, MD, USA, 2012).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 xml:space="preserve"> An evaluation of the total nitrogen content was performed using the Kjeldahl official method according to AOAC 981.10 (</w:t>
      </w:r>
      <w:r w:rsidRPr="00295C25">
        <w:rPr>
          <w:color w:val="000000" w:themeColor="text1"/>
          <w:lang w:val="en-GB"/>
        </w:rPr>
        <w:t xml:space="preserve">Association of Official Analytical Chemists. </w:t>
      </w:r>
      <w:r w:rsidRPr="00295C25">
        <w:rPr>
          <w:i/>
          <w:iCs/>
          <w:color w:val="000000" w:themeColor="text1"/>
          <w:lang w:val="en-GB"/>
        </w:rPr>
        <w:t>Official Methods of Analysis of AOAC International</w:t>
      </w:r>
      <w:r w:rsidRPr="00295C25">
        <w:rPr>
          <w:color w:val="000000" w:themeColor="text1"/>
          <w:lang w:val="en-GB"/>
        </w:rPr>
        <w:t>, 19</w:t>
      </w:r>
      <w:r w:rsidRPr="00F5132B">
        <w:rPr>
          <w:color w:val="000000" w:themeColor="text1"/>
          <w:vertAlign w:val="superscript"/>
          <w:lang w:val="en-GB"/>
        </w:rPr>
        <w:t>th</w:t>
      </w:r>
      <w:r w:rsidRPr="00295C25">
        <w:rPr>
          <w:color w:val="000000" w:themeColor="text1"/>
          <w:lang w:val="en-GB"/>
        </w:rPr>
        <w:t xml:space="preserve"> ed.; Association of Official Analytical Chemists: Gaithersburg, MD, USA, 2012). </w:t>
      </w:r>
    </w:p>
    <w:p w14:paraId="7A3096EF" w14:textId="77777777" w:rsidR="002A0069" w:rsidRPr="00295C25" w:rsidRDefault="002A0069" w:rsidP="002A0069">
      <w:pPr>
        <w:spacing w:after="240" w:line="360" w:lineRule="auto"/>
        <w:ind w:left="567" w:right="560"/>
        <w:jc w:val="both"/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</w:pPr>
      <w:r w:rsidRPr="00295C25">
        <w:rPr>
          <w:color w:val="000000" w:themeColor="text1"/>
          <w:lang w:val="en-GB"/>
        </w:rPr>
        <w:t xml:space="preserve">The total percentage nitrogen content (N%) has been determined 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GB"/>
        </w:rPr>
        <w:t xml:space="preserve">using the following formula: </w:t>
      </w:r>
    </w:p>
    <w:p w14:paraId="351B5492" w14:textId="77777777" w:rsidR="002A0069" w:rsidRPr="00295C25" w:rsidRDefault="002A0069" w:rsidP="002A0069">
      <w:pPr>
        <w:spacing w:after="240" w:line="360" w:lineRule="auto"/>
        <w:ind w:left="567" w:right="560"/>
        <w:jc w:val="both"/>
        <w:rPr>
          <w:rStyle w:val="fontstyle01"/>
          <w:rFonts w:ascii="Times New Roman" w:eastAsiaTheme="majorEastAsia" w:hAnsi="Times New Roman"/>
          <w:iCs/>
          <w:color w:val="auto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noProof/>
              <w:lang w:val="en-GB"/>
            </w:rPr>
            <m:t>%</m:t>
          </m:r>
          <m:d>
            <m:dPr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r>
                <w:rPr>
                  <w:rFonts w:ascii="Cambria Math" w:hAnsi="Cambria Math"/>
                  <w:noProof/>
                </w:rPr>
                <m:t>N</m:t>
              </m:r>
            </m:e>
          </m:d>
          <m:r>
            <m:rPr>
              <m:sty m:val="p"/>
            </m:rPr>
            <w:rPr>
              <w:rStyle w:val="fontstyle01"/>
              <w:rFonts w:ascii="Cambria Math" w:eastAsiaTheme="majorEastAsia" w:hAnsi="Cambria Math"/>
              <w:noProof/>
              <w:color w:val="auto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Style w:val="fontstyle01"/>
                      <w:rFonts w:ascii="Cambria Math" w:eastAsiaTheme="majorEastAsia" w:hAnsi="Cambria Math"/>
                      <w:i/>
                      <w:noProof/>
                      <w:color w:val="auto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Style w:val="fontstyle01"/>
                      <w:rFonts w:ascii="Cambria Math" w:eastAsiaTheme="majorEastAsia" w:hAnsi="Cambria Math"/>
                      <w:noProof/>
                      <w:color w:val="auto"/>
                      <w:sz w:val="24"/>
                      <w:szCs w:val="24"/>
                      <w:lang w:val="en-US"/>
                    </w:rPr>
                    <m:t>Vblank-Vsample</m:t>
                  </m:r>
                </m:e>
              </m:d>
              <m: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>x</m:t>
              </m:r>
              <m: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 xml:space="preserve"> MM</m:t>
              </m:r>
              <m:d>
                <m:dPr>
                  <m:ctrlPr>
                    <w:rPr>
                      <w:rStyle w:val="fontstyle01"/>
                      <w:rFonts w:ascii="Cambria Math" w:eastAsiaTheme="majorEastAsia" w:hAnsi="Cambria Math"/>
                      <w:i/>
                      <w:noProof/>
                      <w:color w:val="auto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Style w:val="fontstyle01"/>
                      <w:rFonts w:ascii="Cambria Math" w:eastAsiaTheme="majorEastAsia" w:hAnsi="Cambria Math"/>
                      <w:noProof/>
                      <w:color w:val="auto"/>
                      <w:sz w:val="24"/>
                      <w:szCs w:val="24"/>
                      <w:lang w:val="en-US"/>
                    </w:rPr>
                    <m:t>N</m:t>
                  </m:r>
                </m:e>
              </m:d>
              <m:r>
                <m:rPr>
                  <m:sty m:val="p"/>
                </m:rP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 xml:space="preserve"> x c</m:t>
              </m:r>
              <m:d>
                <m:dPr>
                  <m:ctrlPr>
                    <w:rPr>
                      <w:rStyle w:val="fontstyle01"/>
                      <w:rFonts w:ascii="Cambria Math" w:eastAsiaTheme="majorEastAsia" w:hAnsi="Cambria Math"/>
                      <w:i/>
                      <w:noProof/>
                      <w:color w:val="auto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Style w:val="fontstyle01"/>
                      <w:rFonts w:ascii="Cambria Math" w:eastAsiaTheme="majorEastAsia" w:hAnsi="Cambria Math"/>
                      <w:noProof/>
                      <w:color w:val="auto"/>
                      <w:sz w:val="24"/>
                      <w:szCs w:val="24"/>
                      <w:lang w:val="en-US"/>
                    </w:rPr>
                    <m:t>NaOH</m:t>
                  </m:r>
                </m:e>
              </m:d>
              <m: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>x</m:t>
              </m:r>
              <m: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 xml:space="preserve"> f</m:t>
              </m:r>
              <m:d>
                <m:dPr>
                  <m:ctrlPr>
                    <w:rPr>
                      <w:rStyle w:val="fontstyle01"/>
                      <w:rFonts w:ascii="Cambria Math" w:eastAsiaTheme="majorEastAsia" w:hAnsi="Cambria Math"/>
                      <w:i/>
                      <w:noProof/>
                      <w:color w:val="auto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Style w:val="fontstyle01"/>
                      <w:rFonts w:ascii="Cambria Math" w:eastAsiaTheme="majorEastAsia" w:hAnsi="Cambria Math"/>
                      <w:noProof/>
                      <w:color w:val="auto"/>
                      <w:sz w:val="24"/>
                      <w:szCs w:val="24"/>
                      <w:lang w:val="en-US"/>
                    </w:rPr>
                    <m:t>NaOH</m:t>
                  </m:r>
                </m:e>
              </m:d>
            </m:num>
            <m:den>
              <m:r>
                <m:rPr>
                  <m:sty m:val="p"/>
                </m:rP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>m</m:t>
              </m:r>
              <m:d>
                <m:dPr>
                  <m:ctrlPr>
                    <w:rPr>
                      <w:rStyle w:val="fontstyle01"/>
                      <w:rFonts w:ascii="Cambria Math" w:eastAsiaTheme="majorEastAsia" w:hAnsi="Cambria Math"/>
                      <w:noProof/>
                      <w:color w:val="auto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eastAsiaTheme="majorEastAsia" w:hAnsi="Cambria Math"/>
                      <w:noProof/>
                      <w:color w:val="auto"/>
                      <w:sz w:val="24"/>
                      <w:szCs w:val="24"/>
                      <w:lang w:val="en-US"/>
                    </w:rPr>
                    <m:t>sample</m:t>
                  </m:r>
                </m:e>
              </m:d>
              <m: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>x</m:t>
              </m:r>
              <m:r>
                <w:rPr>
                  <w:rStyle w:val="fontstyle01"/>
                  <w:rFonts w:ascii="Cambria Math" w:eastAsiaTheme="majorEastAsia" w:hAnsi="Cambria Math"/>
                  <w:noProof/>
                  <w:color w:val="auto"/>
                  <w:sz w:val="24"/>
                  <w:szCs w:val="24"/>
                  <w:lang w:val="en-US"/>
                </w:rPr>
                <m:t xml:space="preserve"> 10</m:t>
              </m:r>
            </m:den>
          </m:f>
        </m:oMath>
      </m:oMathPara>
    </w:p>
    <w:p w14:paraId="6987E172" w14:textId="6209ED37" w:rsidR="00035BBC" w:rsidRPr="00295C25" w:rsidRDefault="002A0069" w:rsidP="00295C25">
      <w:pPr>
        <w:spacing w:after="240" w:line="360" w:lineRule="auto"/>
        <w:ind w:left="567" w:right="560"/>
        <w:jc w:val="both"/>
        <w:rPr>
          <w:color w:val="000000" w:themeColor="text1"/>
          <w:lang w:val="en-GB"/>
        </w:rPr>
      </w:pPr>
      <w:r w:rsidRPr="00295C25">
        <w:rPr>
          <w:color w:val="000000" w:themeColor="text1"/>
          <w:lang w:val="en-GB"/>
        </w:rPr>
        <w:t xml:space="preserve">where </w:t>
      </w:r>
      <w:r w:rsidRPr="00295C25">
        <w:rPr>
          <w:i/>
          <w:iCs/>
          <w:color w:val="000000" w:themeColor="text1"/>
          <w:lang w:val="en-GB"/>
        </w:rPr>
        <w:t>Vblank</w:t>
      </w:r>
      <w:r w:rsidRPr="00295C25">
        <w:rPr>
          <w:color w:val="000000" w:themeColor="text1"/>
          <w:lang w:val="en-GB"/>
        </w:rPr>
        <w:t xml:space="preserve"> and </w:t>
      </w:r>
      <w:r w:rsidRPr="00295C25">
        <w:rPr>
          <w:i/>
          <w:iCs/>
          <w:color w:val="000000" w:themeColor="text1"/>
          <w:lang w:val="en-GB"/>
        </w:rPr>
        <w:t>Vsample</w:t>
      </w:r>
      <w:r w:rsidRPr="00295C25">
        <w:rPr>
          <w:color w:val="000000" w:themeColor="text1"/>
          <w:lang w:val="en-GB"/>
        </w:rPr>
        <w:t xml:space="preserve"> represent the titration consumption (mL) for blank and for sample, respectively, </w:t>
      </w:r>
      <w:r w:rsidRPr="00295C25">
        <w:rPr>
          <w:i/>
          <w:iCs/>
          <w:color w:val="000000" w:themeColor="text1"/>
          <w:lang w:val="en-GB"/>
        </w:rPr>
        <w:t>MM(N)</w:t>
      </w:r>
      <w:r w:rsidRPr="00295C25">
        <w:rPr>
          <w:color w:val="000000" w:themeColor="text1"/>
          <w:lang w:val="en-GB"/>
        </w:rPr>
        <w:t xml:space="preserve"> is the atomic mass of nitrogen, </w:t>
      </w:r>
      <w:r w:rsidRPr="00295C25">
        <w:rPr>
          <w:i/>
          <w:iCs/>
          <w:color w:val="000000" w:themeColor="text1"/>
          <w:lang w:val="en-GB"/>
        </w:rPr>
        <w:t>c</w:t>
      </w:r>
      <w:r w:rsidRPr="00295C25">
        <w:rPr>
          <w:color w:val="000000" w:themeColor="text1"/>
          <w:lang w:val="en-GB"/>
        </w:rPr>
        <w:t xml:space="preserve"> and </w:t>
      </w:r>
      <w:r w:rsidRPr="00295C25">
        <w:rPr>
          <w:i/>
          <w:iCs/>
          <w:color w:val="000000" w:themeColor="text1"/>
          <w:lang w:val="en-GB"/>
        </w:rPr>
        <w:t>f</w:t>
      </w:r>
      <w:r w:rsidRPr="00295C25">
        <w:rPr>
          <w:color w:val="000000" w:themeColor="text1"/>
          <w:lang w:val="en-GB"/>
        </w:rPr>
        <w:t xml:space="preserve"> represent the nominal concentration of standard base dilution and the titer of NaOH, </w:t>
      </w:r>
      <w:r w:rsidRPr="00295C25">
        <w:rPr>
          <w:i/>
          <w:iCs/>
          <w:color w:val="000000" w:themeColor="text1"/>
          <w:lang w:val="en-GB"/>
        </w:rPr>
        <w:t xml:space="preserve">m </w:t>
      </w:r>
      <w:r w:rsidRPr="00295C25">
        <w:rPr>
          <w:color w:val="000000" w:themeColor="text1"/>
          <w:lang w:val="en-GB"/>
        </w:rPr>
        <w:t>is the weight (g) of the sample used for the analysis.</w:t>
      </w:r>
    </w:p>
    <w:p w14:paraId="0A48F35C" w14:textId="259CDA4A" w:rsidR="00035BBC" w:rsidRPr="00295C25" w:rsidRDefault="00295C25" w:rsidP="00035BBC">
      <w:pPr>
        <w:spacing w:after="240" w:line="360" w:lineRule="auto"/>
        <w:ind w:left="567" w:right="560"/>
        <w:jc w:val="both"/>
        <w:rPr>
          <w:i/>
          <w:iCs/>
          <w:noProof/>
          <w:lang w:val="en-US"/>
        </w:rPr>
      </w:pPr>
      <w:r>
        <w:rPr>
          <w:i/>
          <w:iCs/>
          <w:noProof/>
          <w:lang w:val="en-US"/>
        </w:rPr>
        <w:t>1.2</w:t>
      </w:r>
      <w:r w:rsidR="00035BBC" w:rsidRPr="00295C25">
        <w:rPr>
          <w:i/>
          <w:iCs/>
          <w:noProof/>
          <w:lang w:val="en-US"/>
        </w:rPr>
        <w:t xml:space="preserve"> Proximate analysis and chitin extraction</w:t>
      </w:r>
    </w:p>
    <w:p w14:paraId="2BACC865" w14:textId="4AA703F8" w:rsidR="00035BBC" w:rsidRPr="00295C25" w:rsidRDefault="00295C25" w:rsidP="00035BBC">
      <w:pPr>
        <w:spacing w:line="360" w:lineRule="auto"/>
        <w:ind w:left="567" w:right="560"/>
        <w:jc w:val="both"/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</w:pPr>
      <w:r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T</w:t>
      </w:r>
      <w:r w:rsidR="0055454C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able 1 reports t</w:t>
      </w:r>
      <w:r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he</w:t>
      </w:r>
      <w:r w:rsidR="00035BBC"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 xml:space="preserve"> proximal </w:t>
      </w:r>
      <w:proofErr w:type="spellStart"/>
      <w:r w:rsidR="0055454C"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characteri</w:t>
      </w:r>
      <w:r w:rsidR="0055454C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s</w:t>
      </w:r>
      <w:r w:rsidR="0055454C"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ation</w:t>
      </w:r>
      <w:proofErr w:type="spellEnd"/>
      <w:r w:rsidR="0055454C"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 xml:space="preserve"> </w:t>
      </w:r>
      <w:r w:rsidR="00035BBC"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of the coral</w:t>
      </w:r>
      <w:r w:rsidR="0055454C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, particularly</w:t>
      </w:r>
      <w:r w:rsidR="00035BBC"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 xml:space="preserve"> the residual moisture, nitrogen</w:t>
      </w:r>
      <w:r w:rsidR="0055454C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, and ashes content</w:t>
      </w:r>
      <w:r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.</w:t>
      </w:r>
    </w:p>
    <w:p w14:paraId="1E909878" w14:textId="77777777" w:rsidR="00035BBC" w:rsidRPr="00295C25" w:rsidRDefault="00035BBC" w:rsidP="00035BBC">
      <w:pPr>
        <w:spacing w:line="360" w:lineRule="auto"/>
        <w:ind w:left="567" w:right="560"/>
        <w:jc w:val="both"/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</w:pPr>
    </w:p>
    <w:p w14:paraId="2C35FBE7" w14:textId="1C79DA72" w:rsidR="00035BBC" w:rsidRPr="00295C25" w:rsidRDefault="00035BBC" w:rsidP="00035BBC">
      <w:pPr>
        <w:spacing w:line="360" w:lineRule="auto"/>
        <w:ind w:left="567" w:right="560"/>
        <w:jc w:val="both"/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</w:pPr>
      <w:r w:rsidRPr="000D0CE0">
        <w:rPr>
          <w:rStyle w:val="fontstyle01"/>
          <w:rFonts w:ascii="Times New Roman" w:eastAsiaTheme="majorEastAsia" w:hAnsi="Times New Roman"/>
          <w:b/>
          <w:bCs/>
          <w:sz w:val="24"/>
          <w:szCs w:val="24"/>
          <w:lang w:val="en-US"/>
        </w:rPr>
        <w:t>Table 1.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 xml:space="preserve"> </w:t>
      </w:r>
      <w:r w:rsid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 xml:space="preserve">Percent contents analysis </w:t>
      </w:r>
      <w:r w:rsidR="00295C25" w:rsidRPr="00295C25">
        <w:rPr>
          <w:rStyle w:val="fontstyle01"/>
          <w:rFonts w:ascii="Times New Roman" w:eastAsiaTheme="majorEastAsia" w:hAnsi="Times New Roman"/>
          <w:i/>
          <w:iCs/>
          <w:sz w:val="24"/>
          <w:szCs w:val="24"/>
          <w:lang w:val="en-US"/>
        </w:rPr>
        <w:t>Savalia savaglia</w:t>
      </w:r>
      <w:r w:rsidRP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 xml:space="preserve"> </w:t>
      </w:r>
      <w:r w:rsidR="00295C25"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  <w:t>components.</w:t>
      </w:r>
    </w:p>
    <w:p w14:paraId="363812FA" w14:textId="77777777" w:rsidR="00035BBC" w:rsidRPr="00295C25" w:rsidRDefault="00035BBC" w:rsidP="00035BBC">
      <w:pPr>
        <w:ind w:left="567" w:right="560"/>
        <w:jc w:val="both"/>
        <w:rPr>
          <w:rStyle w:val="fontstyle01"/>
          <w:rFonts w:ascii="Times New Roman" w:eastAsiaTheme="majorEastAsia" w:hAnsi="Times New Roman"/>
          <w:sz w:val="24"/>
          <w:szCs w:val="24"/>
          <w:lang w:val="en-US"/>
        </w:rPr>
      </w:pPr>
    </w:p>
    <w:tbl>
      <w:tblPr>
        <w:tblStyle w:val="Tabellagriglia1chiara-colore3"/>
        <w:tblW w:w="0" w:type="auto"/>
        <w:jc w:val="center"/>
        <w:tblLook w:val="06A0" w:firstRow="1" w:lastRow="0" w:firstColumn="1" w:lastColumn="0" w:noHBand="1" w:noVBand="1"/>
      </w:tblPr>
      <w:tblGrid>
        <w:gridCol w:w="1939"/>
        <w:gridCol w:w="2346"/>
        <w:gridCol w:w="1628"/>
      </w:tblGrid>
      <w:tr w:rsidR="00295C25" w:rsidRPr="00295C25" w14:paraId="2F0BD28B" w14:textId="77777777" w:rsidTr="00295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7E61AEA8" w14:textId="77777777" w:rsidR="00313DED" w:rsidRDefault="00035BBC" w:rsidP="00C70BAD">
            <w:pPr>
              <w:pStyle w:val="Nessunaspaziatura"/>
              <w:jc w:val="center"/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Residual Moisture </w:t>
            </w:r>
          </w:p>
          <w:p w14:paraId="203CC0A9" w14:textId="7C665F44" w:rsidR="00035BBC" w:rsidRPr="00295C25" w:rsidRDefault="00035BBC" w:rsidP="00C70BAD">
            <w:pPr>
              <w:pStyle w:val="Nessunaspaziatura"/>
              <w:jc w:val="center"/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>(%)</w:t>
            </w:r>
            <w:r w:rsid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 </w:t>
            </w:r>
            <w:r w:rsidR="00295C25" w:rsidRPr="00295C25">
              <w:rPr>
                <w:rStyle w:val="fontstyle01"/>
                <w:rFonts w:ascii="Arial" w:hAnsi="Arial" w:cs="Arial"/>
                <w:u w:val="single"/>
                <w:lang w:val="en-US"/>
              </w:rPr>
              <w:t>+</w:t>
            </w:r>
            <w:r w:rsidR="00295C25" w:rsidRPr="00295C25">
              <w:rPr>
                <w:rStyle w:val="fontstyle01"/>
                <w:rFonts w:ascii="Arial" w:hAnsi="Arial" w:cs="Arial"/>
                <w:lang w:val="en-US"/>
              </w:rPr>
              <w:t xml:space="preserve"> </w:t>
            </w:r>
            <w:r w:rsidR="00295C25" w:rsidRPr="00295C25">
              <w:rPr>
                <w:rStyle w:val="fontstyle01"/>
                <w:rFonts w:ascii="Arial" w:eastAsiaTheme="majorEastAsia" w:hAnsi="Arial" w:cs="Arial"/>
                <w:lang w:val="en-US"/>
              </w:rPr>
              <w:t>SE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4D3701A1" w14:textId="77777777" w:rsidR="00313DED" w:rsidRDefault="00035BBC" w:rsidP="00C70BAD">
            <w:pPr>
              <w:pStyle w:val="Nessunaspaziatur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Total nitrogen Content </w:t>
            </w:r>
          </w:p>
          <w:p w14:paraId="55B7E3F1" w14:textId="04766616" w:rsidR="00035BBC" w:rsidRPr="00295C25" w:rsidRDefault="00035BBC" w:rsidP="00C70BAD">
            <w:pPr>
              <w:pStyle w:val="Nessunaspaziatur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>(%)</w:t>
            </w:r>
            <w:r w:rsid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 </w:t>
            </w:r>
            <w:r w:rsidR="00295C25" w:rsidRPr="00295C25">
              <w:rPr>
                <w:rStyle w:val="fontstyle01"/>
                <w:rFonts w:ascii="Arial" w:hAnsi="Arial" w:cs="Arial"/>
                <w:u w:val="single"/>
                <w:lang w:val="en-US"/>
              </w:rPr>
              <w:t>+</w:t>
            </w:r>
            <w:r w:rsidR="00295C25" w:rsidRPr="00295C25">
              <w:rPr>
                <w:rStyle w:val="fontstyle01"/>
                <w:rFonts w:ascii="Arial" w:hAnsi="Arial" w:cs="Arial"/>
                <w:lang w:val="en-US"/>
              </w:rPr>
              <w:t xml:space="preserve"> </w:t>
            </w:r>
            <w:r w:rsidR="00295C25" w:rsidRPr="00295C25">
              <w:rPr>
                <w:rStyle w:val="fontstyle01"/>
                <w:rFonts w:ascii="Arial" w:eastAsiaTheme="majorEastAsia" w:hAnsi="Arial" w:cs="Arial"/>
                <w:lang w:val="en-US"/>
              </w:rPr>
              <w:t>SE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14:paraId="70125D5D" w14:textId="77777777" w:rsidR="00313DED" w:rsidRDefault="00035BBC" w:rsidP="00C70BAD">
            <w:pPr>
              <w:pStyle w:val="Nessunaspaziatur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Ashes Content </w:t>
            </w:r>
          </w:p>
          <w:p w14:paraId="0AB07882" w14:textId="52465AB3" w:rsidR="00035BBC" w:rsidRPr="00295C25" w:rsidRDefault="00035BBC" w:rsidP="00C70BAD">
            <w:pPr>
              <w:pStyle w:val="Nessunaspaziatur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>(%)</w:t>
            </w:r>
            <w:r w:rsid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 </w:t>
            </w:r>
            <w:r w:rsidR="00295C25" w:rsidRPr="00295C25">
              <w:rPr>
                <w:rStyle w:val="fontstyle01"/>
                <w:rFonts w:ascii="Arial" w:hAnsi="Arial" w:cs="Arial"/>
                <w:u w:val="single"/>
                <w:lang w:val="en-US"/>
              </w:rPr>
              <w:t>+</w:t>
            </w:r>
            <w:r w:rsidR="00295C25" w:rsidRPr="00295C25">
              <w:rPr>
                <w:rStyle w:val="fontstyle01"/>
                <w:rFonts w:ascii="Arial" w:hAnsi="Arial" w:cs="Arial"/>
                <w:lang w:val="en-US"/>
              </w:rPr>
              <w:t xml:space="preserve"> </w:t>
            </w:r>
            <w:r w:rsidR="00295C25" w:rsidRPr="00295C25">
              <w:rPr>
                <w:rStyle w:val="fontstyle01"/>
                <w:rFonts w:ascii="Arial" w:eastAsiaTheme="majorEastAsia" w:hAnsi="Arial" w:cs="Arial"/>
                <w:lang w:val="en-US"/>
              </w:rPr>
              <w:t>SE</w:t>
            </w:r>
          </w:p>
        </w:tc>
      </w:tr>
      <w:tr w:rsidR="00295C25" w:rsidRPr="00295C25" w14:paraId="6DABBFD2" w14:textId="77777777" w:rsidTr="00295C25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98E4A0" w14:textId="7823386F" w:rsidR="00035BBC" w:rsidRPr="00295C25" w:rsidRDefault="00035BBC" w:rsidP="00C70BAD">
            <w:pPr>
              <w:pStyle w:val="Nessunaspaziatura"/>
              <w:jc w:val="center"/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  <w:t xml:space="preserve">13.4 </w:t>
            </w:r>
            <w:r w:rsidR="00295C25"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  <w:sym w:font="Symbol" w:char="F0B1"/>
            </w:r>
            <w:r w:rsidRPr="00295C25">
              <w:rPr>
                <w:rStyle w:val="fontstyle01"/>
                <w:rFonts w:ascii="Arial" w:eastAsia="Times New Roman" w:hAnsi="Arial" w:cs="Arial"/>
                <w:b w:val="0"/>
                <w:bCs w:val="0"/>
                <w:lang w:val="en-US"/>
              </w:rPr>
              <w:t xml:space="preserve"> 0.6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87CEED" w14:textId="2EB5D394" w:rsidR="00035BBC" w:rsidRPr="00295C25" w:rsidRDefault="00035BBC" w:rsidP="00C70BAD">
            <w:pPr>
              <w:pStyle w:val="Nessunaspaziatur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Arial" w:eastAsia="Times New Roman" w:hAnsi="Arial" w:cs="Arial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14.2 </w:t>
            </w:r>
            <w:r w:rsidR="00295C25">
              <w:rPr>
                <w:rStyle w:val="fontstyle01"/>
                <w:rFonts w:ascii="Arial" w:eastAsia="Times New Roman" w:hAnsi="Arial" w:cs="Arial"/>
                <w:b/>
                <w:bCs/>
                <w:lang w:val="en-US"/>
              </w:rPr>
              <w:sym w:font="Symbol" w:char="F0B1"/>
            </w:r>
            <w:r w:rsidR="00295C25">
              <w:rPr>
                <w:rStyle w:val="fontstyle01"/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1A3D3B" w14:textId="1082913C" w:rsidR="00035BBC" w:rsidRPr="00295C25" w:rsidRDefault="00035BBC" w:rsidP="00C70BAD">
            <w:pPr>
              <w:pStyle w:val="Nessunaspaziatur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Arial" w:eastAsia="Times New Roman" w:hAnsi="Arial" w:cs="Arial"/>
                <w:lang w:val="en-US"/>
              </w:rPr>
            </w:pP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4.9 </w:t>
            </w:r>
            <w:r w:rsidR="00295C25">
              <w:rPr>
                <w:rStyle w:val="fontstyle01"/>
                <w:rFonts w:ascii="Arial" w:eastAsia="Times New Roman" w:hAnsi="Arial" w:cs="Arial"/>
                <w:b/>
                <w:bCs/>
                <w:lang w:val="en-US"/>
              </w:rPr>
              <w:sym w:font="Symbol" w:char="F0B1"/>
            </w:r>
            <w:r w:rsidRPr="00295C25">
              <w:rPr>
                <w:rStyle w:val="fontstyle01"/>
                <w:rFonts w:ascii="Arial" w:eastAsia="Times New Roman" w:hAnsi="Arial" w:cs="Arial"/>
                <w:lang w:val="en-US"/>
              </w:rPr>
              <w:t xml:space="preserve"> 0.4</w:t>
            </w:r>
          </w:p>
        </w:tc>
      </w:tr>
    </w:tbl>
    <w:p w14:paraId="70EACEC0" w14:textId="21B77571" w:rsidR="00035BBC" w:rsidRPr="00295C25" w:rsidRDefault="0055454C" w:rsidP="00035BBC">
      <w:pPr>
        <w:spacing w:before="240" w:after="240" w:line="360" w:lineRule="auto"/>
        <w:ind w:left="567" w:right="560"/>
        <w:jc w:val="both"/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According to</w:t>
      </w:r>
      <w:r w:rsidR="00035BBC" w:rsidRPr="00295C25">
        <w:rPr>
          <w:color w:val="000000"/>
          <w:lang w:val="en-GB"/>
        </w:rPr>
        <w:t xml:space="preserve"> the official Kjeldahl method, </w:t>
      </w:r>
      <w:r>
        <w:rPr>
          <w:color w:val="000000"/>
          <w:lang w:val="en-GB"/>
        </w:rPr>
        <w:t xml:space="preserve">the total nitrogen content </w:t>
      </w:r>
      <w:r w:rsidR="00035BBC" w:rsidRPr="00295C25">
        <w:rPr>
          <w:color w:val="000000"/>
          <w:lang w:val="en-GB"/>
        </w:rPr>
        <w:t>was estimated to be 14.2%. Generally, in nutritional analysis to determine the crude protein content of food products, the empirical 6.25 nitrogen-to-protein conversion factor is employed, considering the assumption that most food of animal origin contain</w:t>
      </w:r>
      <w:r>
        <w:rPr>
          <w:color w:val="000000"/>
          <w:lang w:val="en-GB"/>
        </w:rPr>
        <w:t>s</w:t>
      </w:r>
      <w:r w:rsidR="00035BBC" w:rsidRPr="00295C25">
        <w:rPr>
          <w:color w:val="000000"/>
          <w:lang w:val="en-GB"/>
        </w:rPr>
        <w:t xml:space="preserve"> about 16% of proteins per nitrogen molecule. Nevertheless, it is known in </w:t>
      </w:r>
      <w:r w:rsidR="00CB42C9">
        <w:rPr>
          <w:color w:val="000000"/>
          <w:lang w:val="en-GB"/>
        </w:rPr>
        <w:t xml:space="preserve">the </w:t>
      </w:r>
      <w:r w:rsidR="00035BBC" w:rsidRPr="00295C25">
        <w:rPr>
          <w:color w:val="000000"/>
          <w:lang w:val="en-GB"/>
        </w:rPr>
        <w:t>literature that, in some matrices, the abovementioned factor can lead to overestimating the value since</w:t>
      </w:r>
      <w:r w:rsidR="00CB42C9">
        <w:rPr>
          <w:color w:val="000000"/>
          <w:lang w:val="en-GB"/>
        </w:rPr>
        <w:t>,</w:t>
      </w:r>
      <w:r w:rsidR="00035BBC" w:rsidRPr="00295C25">
        <w:rPr>
          <w:color w:val="000000"/>
          <w:lang w:val="en-GB"/>
        </w:rPr>
        <w:t xml:space="preserve"> in addition to protein nitrogen, nitrogen from different origins (nonprotein nitrogen) is also present, for example</w:t>
      </w:r>
      <w:r w:rsidR="00CB42C9">
        <w:rPr>
          <w:color w:val="000000"/>
          <w:lang w:val="en-GB"/>
        </w:rPr>
        <w:t>,</w:t>
      </w:r>
      <w:r w:rsidR="00035BBC" w:rsidRPr="00295C25">
        <w:rPr>
          <w:color w:val="000000"/>
          <w:lang w:val="en-GB"/>
        </w:rPr>
        <w:t xml:space="preserve"> </w:t>
      </w:r>
      <w:r w:rsidR="00CB42C9">
        <w:rPr>
          <w:color w:val="000000"/>
          <w:lang w:val="en-GB"/>
        </w:rPr>
        <w:t xml:space="preserve">when </w:t>
      </w:r>
      <w:r w:rsidR="00035BBC" w:rsidRPr="00295C25">
        <w:rPr>
          <w:color w:val="000000"/>
          <w:lang w:val="en-GB"/>
        </w:rPr>
        <w:t>chitin</w:t>
      </w:r>
      <w:r w:rsidR="00CB42C9">
        <w:rPr>
          <w:color w:val="000000"/>
          <w:lang w:val="en-GB"/>
        </w:rPr>
        <w:t xml:space="preserve"> is present</w:t>
      </w:r>
      <w:r w:rsidR="00F5132B">
        <w:rPr>
          <w:color w:val="000000"/>
          <w:lang w:val="en-GB"/>
        </w:rPr>
        <w:t xml:space="preserve"> </w:t>
      </w:r>
      <w:r w:rsidR="00F5132B">
        <w:rPr>
          <w:color w:val="000000"/>
          <w:lang w:val="en-GB"/>
        </w:rPr>
        <w:sym w:font="Symbol" w:char="F05B"/>
      </w:r>
      <w:r w:rsidR="00F5132B">
        <w:rPr>
          <w:color w:val="000000"/>
          <w:lang w:val="en-GB"/>
        </w:rPr>
        <w:t>1</w:t>
      </w:r>
      <w:r w:rsidR="00F5132B">
        <w:rPr>
          <w:color w:val="000000"/>
          <w:lang w:val="en-GB"/>
        </w:rPr>
        <w:sym w:font="Symbol" w:char="F05D"/>
      </w:r>
      <w:r w:rsidR="00035BBC" w:rsidRPr="00295C25">
        <w:rPr>
          <w:color w:val="000000"/>
          <w:lang w:val="en-GB"/>
        </w:rPr>
        <w:t xml:space="preserve">. For these reasons, for some matrices with chitin-rich exoskeletons, such as insects and larvae (e.g., </w:t>
      </w:r>
      <w:r w:rsidR="00035BBC" w:rsidRPr="00295C25">
        <w:rPr>
          <w:i/>
          <w:iCs/>
          <w:color w:val="000000"/>
          <w:lang w:val="en-GB"/>
        </w:rPr>
        <w:t>Tenebrio molitor</w:t>
      </w:r>
      <w:r w:rsidR="00CB42C9">
        <w:rPr>
          <w:i/>
          <w:iCs/>
          <w:color w:val="000000"/>
          <w:lang w:val="en-GB"/>
        </w:rPr>
        <w:t xml:space="preserve"> </w:t>
      </w:r>
      <w:r w:rsidR="00CB42C9" w:rsidRPr="00093C47">
        <w:rPr>
          <w:color w:val="000000"/>
          <w:lang w:val="en-GB"/>
        </w:rPr>
        <w:t>Linnaeus, 1758</w:t>
      </w:r>
      <w:r w:rsidR="00035BBC" w:rsidRPr="00295C25">
        <w:rPr>
          <w:color w:val="000000"/>
          <w:lang w:val="en-GB"/>
        </w:rPr>
        <w:t>), the conversion factor generally used is lower</w:t>
      </w:r>
      <w:r w:rsidR="003F1C6A">
        <w:rPr>
          <w:color w:val="000000"/>
          <w:lang w:val="en-GB"/>
        </w:rPr>
        <w:t xml:space="preserve"> </w:t>
      </w:r>
      <w:r w:rsidR="00F5132B">
        <w:rPr>
          <w:color w:val="000000"/>
          <w:lang w:val="en-GB"/>
        </w:rPr>
        <w:sym w:font="Symbol" w:char="F05B"/>
      </w:r>
      <w:r w:rsidR="00F5132B">
        <w:rPr>
          <w:color w:val="000000"/>
          <w:lang w:val="en-GB"/>
        </w:rPr>
        <w:t>2-4</w:t>
      </w:r>
      <w:r w:rsidR="00F5132B">
        <w:rPr>
          <w:color w:val="000000"/>
          <w:lang w:val="en-GB"/>
        </w:rPr>
        <w:sym w:font="Symbol" w:char="F05D"/>
      </w:r>
      <w:r w:rsidR="00035BBC" w:rsidRPr="00295C25">
        <w:rPr>
          <w:color w:val="000000"/>
          <w:lang w:val="en-GB"/>
        </w:rPr>
        <w:t>.</w:t>
      </w:r>
    </w:p>
    <w:p w14:paraId="7592C4DF" w14:textId="77777777" w:rsidR="00035BBC" w:rsidRDefault="00035BBC" w:rsidP="002A0069">
      <w:pPr>
        <w:spacing w:after="240" w:line="360" w:lineRule="auto"/>
        <w:ind w:left="567" w:right="560"/>
        <w:jc w:val="both"/>
        <w:rPr>
          <w:rStyle w:val="fontstyle01"/>
          <w:rFonts w:eastAsiaTheme="majorEastAsia"/>
          <w:i/>
          <w:color w:val="auto"/>
          <w:sz w:val="24"/>
          <w:szCs w:val="24"/>
          <w:lang w:val="en-US"/>
        </w:rPr>
      </w:pPr>
    </w:p>
    <w:p w14:paraId="2A5ACBE5" w14:textId="6F740D2E" w:rsidR="00B72E64" w:rsidRPr="00295C25" w:rsidRDefault="00295C25" w:rsidP="00DD1895">
      <w:pPr>
        <w:spacing w:before="240" w:after="240"/>
        <w:ind w:right="560" w:firstLine="567"/>
        <w:rPr>
          <w:b/>
          <w:bCs/>
          <w:lang w:val="en-US"/>
        </w:rPr>
      </w:pPr>
      <w:r w:rsidRPr="00295C25">
        <w:rPr>
          <w:b/>
          <w:bCs/>
          <w:lang w:val="en-US"/>
        </w:rPr>
        <w:t>References</w:t>
      </w:r>
    </w:p>
    <w:p w14:paraId="3F89ADD0" w14:textId="3785EC1A" w:rsidR="00F5132B" w:rsidRPr="00F5132B" w:rsidRDefault="00F5132B" w:rsidP="00DD1895">
      <w:pPr>
        <w:pStyle w:val="Paragrafoelenco"/>
        <w:numPr>
          <w:ilvl w:val="0"/>
          <w:numId w:val="1"/>
        </w:numPr>
        <w:spacing w:line="360" w:lineRule="auto"/>
        <w:ind w:right="560" w:hanging="153"/>
        <w:jc w:val="both"/>
        <w:rPr>
          <w:lang w:val="en-US"/>
        </w:rPr>
      </w:pPr>
      <w:r w:rsidRPr="00093C47">
        <w:rPr>
          <w:lang w:val="pt-PT"/>
        </w:rPr>
        <w:t xml:space="preserve">da Silva, R.M., Köhler, A., de Souza Schneider, R.D.C., de Vargas, D.P., Köhler, A.L., e Silva, D.D.C., Soares, J. (2024). </w:t>
      </w:r>
      <w:r w:rsidRPr="00F5132B">
        <w:rPr>
          <w:lang w:val="en-US"/>
        </w:rPr>
        <w:t xml:space="preserve">Proximate and fatty acid profile analysis of </w:t>
      </w:r>
      <w:r w:rsidRPr="00F5132B">
        <w:rPr>
          <w:i/>
          <w:iCs/>
          <w:lang w:val="en-US"/>
        </w:rPr>
        <w:t xml:space="preserve">Tenebrio </w:t>
      </w:r>
      <w:proofErr w:type="spellStart"/>
      <w:r w:rsidRPr="00F5132B">
        <w:rPr>
          <w:i/>
          <w:iCs/>
          <w:lang w:val="en-US"/>
        </w:rPr>
        <w:t>molitor</w:t>
      </w:r>
      <w:proofErr w:type="spellEnd"/>
      <w:r w:rsidRPr="00F5132B">
        <w:rPr>
          <w:lang w:val="en-US"/>
        </w:rPr>
        <w:t xml:space="preserve"> and </w:t>
      </w:r>
      <w:proofErr w:type="spellStart"/>
      <w:r w:rsidRPr="00F5132B">
        <w:rPr>
          <w:i/>
          <w:iCs/>
          <w:lang w:val="en-US"/>
        </w:rPr>
        <w:t>Zophobas</w:t>
      </w:r>
      <w:proofErr w:type="spellEnd"/>
      <w:r w:rsidRPr="00F5132B">
        <w:rPr>
          <w:i/>
          <w:iCs/>
          <w:lang w:val="en-US"/>
        </w:rPr>
        <w:t xml:space="preserve"> </w:t>
      </w:r>
      <w:proofErr w:type="spellStart"/>
      <w:r w:rsidRPr="00F5132B">
        <w:rPr>
          <w:i/>
          <w:iCs/>
          <w:lang w:val="en-US"/>
        </w:rPr>
        <w:t>morio</w:t>
      </w:r>
      <w:proofErr w:type="spellEnd"/>
      <w:r w:rsidRPr="00F5132B">
        <w:rPr>
          <w:lang w:val="en-US"/>
        </w:rPr>
        <w:t xml:space="preserve"> using different killing methods.</w:t>
      </w:r>
      <w:r>
        <w:rPr>
          <w:lang w:val="en-US"/>
        </w:rPr>
        <w:t xml:space="preserve"> </w:t>
      </w:r>
      <w:r w:rsidRPr="00F5132B">
        <w:rPr>
          <w:i/>
          <w:iCs/>
        </w:rPr>
        <w:t xml:space="preserve">Food </w:t>
      </w:r>
      <w:proofErr w:type="spellStart"/>
      <w:r w:rsidRPr="00F5132B">
        <w:rPr>
          <w:i/>
          <w:iCs/>
        </w:rPr>
        <w:t>Chemistry</w:t>
      </w:r>
      <w:proofErr w:type="spellEnd"/>
      <w:r w:rsidRPr="00F5132B">
        <w:t>,</w:t>
      </w:r>
      <w:r>
        <w:t xml:space="preserve"> </w:t>
      </w:r>
      <w:r w:rsidRPr="00F5132B">
        <w:t xml:space="preserve">445, 138719. </w:t>
      </w:r>
      <w:hyperlink r:id="rId5" w:history="1">
        <w:r w:rsidRPr="00F5132B">
          <w:rPr>
            <w:rStyle w:val="Collegamentoipertestuale"/>
            <w:rFonts w:eastAsiaTheme="majorEastAsia"/>
            <w:lang w:val="en-GB"/>
          </w:rPr>
          <w:t>https://doi.org/10.1016/j.foodchem.2024.138719</w:t>
        </w:r>
      </w:hyperlink>
    </w:p>
    <w:p w14:paraId="4192654E" w14:textId="11B01D13" w:rsidR="00F5132B" w:rsidRDefault="00DD1895" w:rsidP="00DD1895">
      <w:pPr>
        <w:pStyle w:val="Paragrafoelenco"/>
        <w:numPr>
          <w:ilvl w:val="0"/>
          <w:numId w:val="1"/>
        </w:numPr>
        <w:spacing w:line="360" w:lineRule="auto"/>
        <w:ind w:right="560" w:hanging="153"/>
        <w:jc w:val="both"/>
        <w:rPr>
          <w:lang w:val="en-US"/>
        </w:rPr>
      </w:pPr>
      <w:r w:rsidRPr="00DD1895">
        <w:rPr>
          <w:lang w:val="en-US"/>
        </w:rPr>
        <w:t xml:space="preserve">Janssen, R.H., </w:t>
      </w:r>
      <w:proofErr w:type="spellStart"/>
      <w:r w:rsidRPr="00DD1895">
        <w:rPr>
          <w:lang w:val="en-US"/>
        </w:rPr>
        <w:t>Vincken</w:t>
      </w:r>
      <w:proofErr w:type="spellEnd"/>
      <w:r w:rsidRPr="00DD1895">
        <w:rPr>
          <w:lang w:val="en-US"/>
        </w:rPr>
        <w:t xml:space="preserve">, J.P., van den Broek, L.A., Fogliano, V., </w:t>
      </w:r>
      <w:proofErr w:type="spellStart"/>
      <w:r w:rsidRPr="00DD1895">
        <w:rPr>
          <w:lang w:val="en-US"/>
        </w:rPr>
        <w:t>Lakemond</w:t>
      </w:r>
      <w:proofErr w:type="spellEnd"/>
      <w:r w:rsidRPr="00DD1895">
        <w:rPr>
          <w:lang w:val="en-US"/>
        </w:rPr>
        <w:t xml:space="preserve">, C.M. (2017). Nitrogen-to-protein conversion factors for three edible insects: Tenebrio </w:t>
      </w:r>
      <w:proofErr w:type="spellStart"/>
      <w:r w:rsidRPr="00DD1895">
        <w:rPr>
          <w:lang w:val="en-US"/>
        </w:rPr>
        <w:t>molitor</w:t>
      </w:r>
      <w:proofErr w:type="spellEnd"/>
      <w:r w:rsidRPr="00DD1895">
        <w:rPr>
          <w:lang w:val="en-US"/>
        </w:rPr>
        <w:t xml:space="preserve">, </w:t>
      </w:r>
      <w:proofErr w:type="spellStart"/>
      <w:r w:rsidRPr="00DD1895">
        <w:rPr>
          <w:lang w:val="en-US"/>
        </w:rPr>
        <w:t>Alphitobius</w:t>
      </w:r>
      <w:proofErr w:type="spellEnd"/>
      <w:r w:rsidRPr="00DD1895">
        <w:rPr>
          <w:lang w:val="en-US"/>
        </w:rPr>
        <w:t xml:space="preserve"> </w:t>
      </w:r>
      <w:proofErr w:type="spellStart"/>
      <w:r w:rsidRPr="00DD1895">
        <w:rPr>
          <w:lang w:val="en-US"/>
        </w:rPr>
        <w:t>diaperinus</w:t>
      </w:r>
      <w:proofErr w:type="spellEnd"/>
      <w:r w:rsidRPr="00DD1895">
        <w:rPr>
          <w:lang w:val="en-US"/>
        </w:rPr>
        <w:t xml:space="preserve">, and </w:t>
      </w:r>
      <w:proofErr w:type="spellStart"/>
      <w:r w:rsidRPr="00DD1895">
        <w:rPr>
          <w:lang w:val="en-US"/>
        </w:rPr>
        <w:t>Hermetia</w:t>
      </w:r>
      <w:proofErr w:type="spellEnd"/>
      <w:r w:rsidRPr="00DD1895">
        <w:rPr>
          <w:lang w:val="en-US"/>
        </w:rPr>
        <w:t xml:space="preserve"> </w:t>
      </w:r>
      <w:proofErr w:type="spellStart"/>
      <w:r w:rsidRPr="00DD1895">
        <w:rPr>
          <w:lang w:val="en-US"/>
        </w:rPr>
        <w:t>illucens</w:t>
      </w:r>
      <w:proofErr w:type="spellEnd"/>
      <w:r w:rsidRPr="00DD1895">
        <w:rPr>
          <w:lang w:val="en-US"/>
        </w:rPr>
        <w:t>.</w:t>
      </w:r>
      <w:r>
        <w:rPr>
          <w:lang w:val="en-US"/>
        </w:rPr>
        <w:t xml:space="preserve"> </w:t>
      </w:r>
      <w:r w:rsidRPr="00DD1895">
        <w:rPr>
          <w:i/>
          <w:iCs/>
          <w:lang w:val="en-US"/>
        </w:rPr>
        <w:t>Journal of agricultural and food chemistry</w:t>
      </w:r>
      <w:r w:rsidRPr="00DD1895">
        <w:rPr>
          <w:lang w:val="en-US"/>
        </w:rPr>
        <w:t xml:space="preserve">, </w:t>
      </w:r>
      <w:r w:rsidRPr="00DD1895">
        <w:rPr>
          <w:i/>
          <w:iCs/>
          <w:lang w:val="en-US"/>
        </w:rPr>
        <w:t>65</w:t>
      </w:r>
      <w:r w:rsidRPr="00DD1895">
        <w:rPr>
          <w:lang w:val="en-US"/>
        </w:rPr>
        <w:t xml:space="preserve">(11), 2275-2278. </w:t>
      </w:r>
      <w:hyperlink r:id="rId6" w:history="1">
        <w:r w:rsidRPr="00192E12">
          <w:rPr>
            <w:rStyle w:val="Collegamentoipertestuale"/>
            <w:lang w:val="en-US"/>
          </w:rPr>
          <w:t>https://doi.org/10.1021/acs.jafc.7b00471</w:t>
        </w:r>
      </w:hyperlink>
    </w:p>
    <w:p w14:paraId="1A062E4C" w14:textId="54673F60" w:rsidR="00DD1895" w:rsidRDefault="00DD1895" w:rsidP="00DD1895">
      <w:pPr>
        <w:pStyle w:val="Paragrafoelenco"/>
        <w:numPr>
          <w:ilvl w:val="0"/>
          <w:numId w:val="1"/>
        </w:numPr>
        <w:spacing w:line="360" w:lineRule="auto"/>
        <w:ind w:right="560" w:hanging="153"/>
        <w:jc w:val="both"/>
        <w:rPr>
          <w:lang w:val="en-US"/>
        </w:rPr>
      </w:pPr>
      <w:r w:rsidRPr="00093C47">
        <w:rPr>
          <w:lang w:val="pt-PT"/>
        </w:rPr>
        <w:t xml:space="preserve">Gkinali, A.A., Matsakidou, A., Paraskevopoulou, A. (2022). </w:t>
      </w:r>
      <w:r w:rsidRPr="00DD1895">
        <w:rPr>
          <w:lang w:val="en-US"/>
        </w:rPr>
        <w:t xml:space="preserve">Characterization of </w:t>
      </w:r>
      <w:r w:rsidRPr="00DD1895">
        <w:rPr>
          <w:i/>
          <w:iCs/>
          <w:lang w:val="en-US"/>
        </w:rPr>
        <w:t xml:space="preserve">Tenebrio </w:t>
      </w:r>
      <w:proofErr w:type="spellStart"/>
      <w:r w:rsidRPr="00DD1895">
        <w:rPr>
          <w:i/>
          <w:iCs/>
          <w:lang w:val="en-US"/>
        </w:rPr>
        <w:t>molitor</w:t>
      </w:r>
      <w:proofErr w:type="spellEnd"/>
      <w:r w:rsidRPr="00DD1895">
        <w:rPr>
          <w:lang w:val="en-US"/>
        </w:rPr>
        <w:t xml:space="preserve"> larvae protein preparations obtained by different extraction approaches. </w:t>
      </w:r>
      <w:r w:rsidRPr="00DD1895">
        <w:rPr>
          <w:i/>
          <w:iCs/>
        </w:rPr>
        <w:t>Foods</w:t>
      </w:r>
      <w:r w:rsidRPr="00DD1895">
        <w:t>,</w:t>
      </w:r>
      <w:r>
        <w:t xml:space="preserve"> </w:t>
      </w:r>
      <w:r w:rsidRPr="00DD1895">
        <w:t xml:space="preserve">11(23), 3852. </w:t>
      </w:r>
      <w:hyperlink r:id="rId7" w:history="1">
        <w:r w:rsidRPr="00DD1895">
          <w:rPr>
            <w:rStyle w:val="Collegamentoipertestuale"/>
          </w:rPr>
          <w:t>https://doi.org/10.3390/foods11233852</w:t>
        </w:r>
      </w:hyperlink>
    </w:p>
    <w:p w14:paraId="7E7D18AB" w14:textId="29A72B75" w:rsidR="00DD1895" w:rsidRPr="00DD1895" w:rsidRDefault="00DD1895" w:rsidP="00DD1895">
      <w:pPr>
        <w:pStyle w:val="Paragrafoelenco"/>
        <w:numPr>
          <w:ilvl w:val="0"/>
          <w:numId w:val="1"/>
        </w:numPr>
        <w:spacing w:line="360" w:lineRule="auto"/>
        <w:ind w:right="560" w:hanging="153"/>
        <w:jc w:val="both"/>
        <w:rPr>
          <w:lang w:val="en-US"/>
        </w:rPr>
      </w:pPr>
      <w:r w:rsidRPr="00DD1895">
        <w:rPr>
          <w:lang w:val="en-US"/>
        </w:rPr>
        <w:t xml:space="preserve">Smets, R., Claes, J., Van Der </w:t>
      </w:r>
      <w:proofErr w:type="spellStart"/>
      <w:r w:rsidRPr="00DD1895">
        <w:rPr>
          <w:lang w:val="en-US"/>
        </w:rPr>
        <w:t>Borght</w:t>
      </w:r>
      <w:proofErr w:type="spellEnd"/>
      <w:r w:rsidRPr="00DD1895">
        <w:rPr>
          <w:lang w:val="en-US"/>
        </w:rPr>
        <w:t>, M. (2021). On the nitrogen content and a robust nitrogen-to-protein conversion factor of black soldier fly larvae (</w:t>
      </w:r>
      <w:proofErr w:type="spellStart"/>
      <w:r w:rsidRPr="00DD1895">
        <w:rPr>
          <w:lang w:val="en-US"/>
        </w:rPr>
        <w:t>Hermetia</w:t>
      </w:r>
      <w:proofErr w:type="spellEnd"/>
      <w:r w:rsidRPr="00DD1895">
        <w:rPr>
          <w:lang w:val="en-US"/>
        </w:rPr>
        <w:t xml:space="preserve"> </w:t>
      </w:r>
      <w:proofErr w:type="spellStart"/>
      <w:r w:rsidRPr="00DD1895">
        <w:rPr>
          <w:lang w:val="en-US"/>
        </w:rPr>
        <w:t>illucens</w:t>
      </w:r>
      <w:proofErr w:type="spellEnd"/>
      <w:r w:rsidRPr="00DD1895">
        <w:rPr>
          <w:lang w:val="en-US"/>
        </w:rPr>
        <w:t>).</w:t>
      </w:r>
      <w:r>
        <w:rPr>
          <w:lang w:val="en-US"/>
        </w:rPr>
        <w:t xml:space="preserve"> </w:t>
      </w:r>
      <w:proofErr w:type="spellStart"/>
      <w:r w:rsidRPr="00DD1895">
        <w:rPr>
          <w:i/>
          <w:iCs/>
        </w:rPr>
        <w:t>Analytical</w:t>
      </w:r>
      <w:proofErr w:type="spellEnd"/>
      <w:r w:rsidRPr="00DD1895">
        <w:rPr>
          <w:i/>
          <w:iCs/>
        </w:rPr>
        <w:t xml:space="preserve"> and </w:t>
      </w:r>
      <w:proofErr w:type="spellStart"/>
      <w:r w:rsidRPr="00DD1895">
        <w:rPr>
          <w:i/>
          <w:iCs/>
        </w:rPr>
        <w:t>Bioanalytical</w:t>
      </w:r>
      <w:proofErr w:type="spellEnd"/>
      <w:r w:rsidRPr="00DD1895">
        <w:rPr>
          <w:i/>
          <w:iCs/>
        </w:rPr>
        <w:t xml:space="preserve"> </w:t>
      </w:r>
      <w:proofErr w:type="spellStart"/>
      <w:r w:rsidRPr="00DD1895">
        <w:rPr>
          <w:i/>
          <w:iCs/>
        </w:rPr>
        <w:t>Chemistry</w:t>
      </w:r>
      <w:proofErr w:type="spellEnd"/>
      <w:r w:rsidRPr="00DD1895">
        <w:t>,</w:t>
      </w:r>
      <w:r>
        <w:t xml:space="preserve"> </w:t>
      </w:r>
      <w:r w:rsidRPr="00DD1895">
        <w:t>413(25), 6365-6377.</w:t>
      </w:r>
      <w:r>
        <w:t xml:space="preserve"> </w:t>
      </w:r>
      <w:r w:rsidRPr="00DD1895">
        <w:t>https://doi.org/10.1007/s00216-021-03595-y</w:t>
      </w:r>
    </w:p>
    <w:sectPr w:rsidR="00DD1895" w:rsidRPr="00DD1895" w:rsidSect="000D443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RWPalladioL-Roma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906DE"/>
    <w:multiLevelType w:val="hybridMultilevel"/>
    <w:tmpl w:val="3BACC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69"/>
    <w:rsid w:val="00035BBC"/>
    <w:rsid w:val="00093C47"/>
    <w:rsid w:val="000D0CE0"/>
    <w:rsid w:val="000D443C"/>
    <w:rsid w:val="0014062B"/>
    <w:rsid w:val="00295C25"/>
    <w:rsid w:val="002A0069"/>
    <w:rsid w:val="002E26DB"/>
    <w:rsid w:val="00313DED"/>
    <w:rsid w:val="003D079F"/>
    <w:rsid w:val="003F1C6A"/>
    <w:rsid w:val="00534171"/>
    <w:rsid w:val="0055454C"/>
    <w:rsid w:val="00637FF2"/>
    <w:rsid w:val="0088685B"/>
    <w:rsid w:val="008D2DB1"/>
    <w:rsid w:val="00B72E64"/>
    <w:rsid w:val="00BD600C"/>
    <w:rsid w:val="00CB42C9"/>
    <w:rsid w:val="00DD1895"/>
    <w:rsid w:val="00F5132B"/>
    <w:rsid w:val="00F5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7B13"/>
  <w15:chartTrackingRefBased/>
  <w15:docId w15:val="{2FA4B254-5505-B042-AA54-66E6F9E6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069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A0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0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0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6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6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6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6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69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Carpredefinitoparagrafo"/>
    <w:rsid w:val="002A0069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35BBC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035BBC"/>
  </w:style>
  <w:style w:type="character" w:styleId="Rimandocommento">
    <w:name w:val="annotation reference"/>
    <w:basedOn w:val="Carpredefinitoparagrafo"/>
    <w:uiPriority w:val="99"/>
    <w:semiHidden/>
    <w:unhideWhenUsed/>
    <w:rsid w:val="00035B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35BB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35BBC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table" w:styleId="Tabellagriglia1chiara-colore3">
    <w:name w:val="Grid Table 1 Light Accent 3"/>
    <w:basedOn w:val="Tabellanormale"/>
    <w:uiPriority w:val="46"/>
    <w:rsid w:val="00035BB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stosegnaposto">
    <w:name w:val="Placeholder Text"/>
    <w:basedOn w:val="Carpredefinitoparagrafo"/>
    <w:uiPriority w:val="99"/>
    <w:semiHidden/>
    <w:rsid w:val="00F5132B"/>
    <w:rPr>
      <w:color w:val="66666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5132B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132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5454C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foods112338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21/acs.jafc.7b00471" TargetMode="External"/><Relationship Id="rId5" Type="http://schemas.openxmlformats.org/officeDocument/2006/relationships/hyperlink" Target="https://doi.org/10.1016/j.foodchem.2024.1387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Bavestrello</dc:creator>
  <cp:keywords/>
  <dc:description/>
  <cp:lastModifiedBy>Martina Canessa</cp:lastModifiedBy>
  <cp:revision>9</cp:revision>
  <dcterms:created xsi:type="dcterms:W3CDTF">2024-10-30T09:17:00Z</dcterms:created>
  <dcterms:modified xsi:type="dcterms:W3CDTF">2024-11-12T10:28:00Z</dcterms:modified>
</cp:coreProperties>
</file>