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BCBE2" w14:textId="77777777" w:rsidR="00BE76B5" w:rsidRDefault="00BE76B5" w:rsidP="0D89212F">
      <w:pPr>
        <w:tabs>
          <w:tab w:val="left" w:pos="1080"/>
        </w:tabs>
        <w:suppressAutoHyphens/>
        <w:spacing w:line="360" w:lineRule="auto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BE76B5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Structure based drug design and machine learning approaches for identifying natural inhibitors against the human αβIII tubulin isotype</w:t>
      </w:r>
    </w:p>
    <w:p w14:paraId="2083DCD1" w14:textId="13B145B4" w:rsidR="00220962" w:rsidRPr="003D2DD0" w:rsidRDefault="007240C4" w:rsidP="0D89212F">
      <w:pPr>
        <w:tabs>
          <w:tab w:val="left" w:pos="1080"/>
        </w:tabs>
        <w:suppressAutoHyphens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  <w14:ligatures w14:val="none"/>
        </w:rPr>
        <w:t>Pruthanka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  <w14:ligatures w14:val="none"/>
        </w:rPr>
        <w:t xml:space="preserve"> </w:t>
      </w:r>
      <w:proofErr w:type="spellStart"/>
      <w:r w:rsidR="1F2D8FF5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none"/>
        </w:rPr>
        <w:t>Anant</w:t>
      </w:r>
      <w:proofErr w:type="spellEnd"/>
      <w:r w:rsidR="1F2D8FF5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  <w14:ligatures w14:val="none"/>
        </w:rPr>
        <w:t xml:space="preserve">Patil and </w:t>
      </w:r>
      <w:r w:rsidR="00220962" w:rsidRPr="007240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Bajarang Vasant Kumbhar*</w:t>
      </w:r>
    </w:p>
    <w:p w14:paraId="4373133F" w14:textId="77777777" w:rsidR="00220962" w:rsidRPr="00834157" w:rsidRDefault="00220962" w:rsidP="00220962">
      <w:pPr>
        <w:tabs>
          <w:tab w:val="left" w:pos="1080"/>
        </w:tabs>
        <w:suppressAutoHyphens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341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Department of Biological Sciences, Sunandan Divatia School of Science,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SVKM’s </w:t>
      </w:r>
      <w:r w:rsidRPr="008341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NMIMS (Deemed to be) University, Mumbai-400056, Maharashtra, India. </w:t>
      </w:r>
    </w:p>
    <w:p w14:paraId="672A6659" w14:textId="2F164967" w:rsidR="00220962" w:rsidRDefault="00220962" w:rsidP="00220962">
      <w:pPr>
        <w:pStyle w:val="ListParagraph"/>
        <w:spacing w:line="480" w:lineRule="auto"/>
        <w:ind w:left="0"/>
        <w:rPr>
          <w:rFonts w:ascii="Times New Roman" w:hAnsi="Times New Roman" w:cs="Times New Roman"/>
          <w:b/>
        </w:rPr>
      </w:pPr>
    </w:p>
    <w:p w14:paraId="050AD3CE" w14:textId="0B6C4215" w:rsidR="007240C4" w:rsidRDefault="007240C4" w:rsidP="28F73E17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24DC3276" w14:textId="11FD41F3" w:rsidR="28F73E17" w:rsidRDefault="28F73E17" w:rsidP="28F73E17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54345CC1" w14:textId="4595F457" w:rsidR="28F73E17" w:rsidRDefault="28F73E17" w:rsidP="28F73E17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79967DA9" w14:textId="2A8D7052" w:rsidR="28F73E17" w:rsidRDefault="28F73E17" w:rsidP="28F73E17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25629D88" w14:textId="5CDA19F1" w:rsidR="28F73E17" w:rsidRDefault="28F73E17" w:rsidP="28F73E17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532FD49A" w14:textId="77777777" w:rsidR="007240C4" w:rsidRPr="00834157" w:rsidRDefault="007240C4" w:rsidP="00220962">
      <w:pPr>
        <w:pStyle w:val="ListParagraph"/>
        <w:spacing w:line="480" w:lineRule="auto"/>
        <w:ind w:left="0"/>
        <w:rPr>
          <w:rFonts w:ascii="Times New Roman" w:hAnsi="Times New Roman" w:cs="Times New Roman"/>
          <w:b/>
        </w:rPr>
      </w:pPr>
    </w:p>
    <w:p w14:paraId="0A37501D" w14:textId="77777777" w:rsidR="00220962" w:rsidRPr="00834157" w:rsidRDefault="00220962" w:rsidP="00220962">
      <w:pPr>
        <w:pStyle w:val="ListParagraph"/>
        <w:spacing w:line="480" w:lineRule="auto"/>
        <w:ind w:left="0"/>
        <w:rPr>
          <w:rFonts w:ascii="Times New Roman" w:hAnsi="Times New Roman" w:cs="Times New Roman"/>
          <w:b/>
        </w:rPr>
      </w:pPr>
    </w:p>
    <w:p w14:paraId="7E27E0F9" w14:textId="77777777" w:rsidR="00220962" w:rsidRPr="00124B95" w:rsidRDefault="00220962" w:rsidP="00220962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4"/>
        </w:rPr>
      </w:pPr>
      <w:r w:rsidRPr="00124B95">
        <w:rPr>
          <w:rFonts w:ascii="Times New Roman" w:hAnsi="Times New Roman" w:cs="Times New Roman"/>
          <w:b/>
          <w:sz w:val="24"/>
        </w:rPr>
        <w:t xml:space="preserve">*Corresponding Author </w:t>
      </w:r>
    </w:p>
    <w:p w14:paraId="231781B4" w14:textId="77777777" w:rsidR="00220962" w:rsidRPr="00124B95" w:rsidRDefault="00220962" w:rsidP="00220962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  <w:r w:rsidRPr="00124B95">
        <w:rPr>
          <w:rFonts w:ascii="Times New Roman" w:hAnsi="Times New Roman" w:cs="Times New Roman"/>
          <w:b/>
          <w:sz w:val="24"/>
        </w:rPr>
        <w:t>Dr. Bajarang Vasant Kumbhar</w:t>
      </w:r>
    </w:p>
    <w:p w14:paraId="370B3607" w14:textId="77777777" w:rsidR="00220962" w:rsidRPr="00124B95" w:rsidRDefault="00220962" w:rsidP="00220962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 w:rsidRPr="00124B95">
        <w:rPr>
          <w:rFonts w:ascii="Times New Roman" w:hAnsi="Times New Roman" w:cs="Times New Roman"/>
          <w:sz w:val="24"/>
        </w:rPr>
        <w:t>Assistant Professor</w:t>
      </w:r>
    </w:p>
    <w:p w14:paraId="30FC771B" w14:textId="77777777" w:rsidR="00220962" w:rsidRPr="00124B95" w:rsidRDefault="00220962" w:rsidP="00220962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 w:rsidRPr="00124B95">
        <w:rPr>
          <w:rFonts w:ascii="Times New Roman" w:hAnsi="Times New Roman" w:cs="Times New Roman"/>
          <w:sz w:val="24"/>
        </w:rPr>
        <w:t>Sunandan Divatia School of Science</w:t>
      </w:r>
    </w:p>
    <w:p w14:paraId="64C04998" w14:textId="77777777" w:rsidR="00220962" w:rsidRPr="00124B95" w:rsidRDefault="00220962" w:rsidP="00220962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 w:rsidRPr="00124B95">
        <w:rPr>
          <w:rFonts w:ascii="Times New Roman" w:hAnsi="Times New Roman" w:cs="Times New Roman"/>
          <w:sz w:val="24"/>
        </w:rPr>
        <w:t xml:space="preserve">Department of Biological Science </w:t>
      </w:r>
    </w:p>
    <w:p w14:paraId="7DABDC69" w14:textId="77777777" w:rsidR="00220962" w:rsidRPr="00124B95" w:rsidRDefault="00220962" w:rsidP="00220962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 w:rsidRPr="00124B95">
        <w:rPr>
          <w:rFonts w:ascii="Times New Roman" w:hAnsi="Times New Roman" w:cs="Times New Roman"/>
          <w:sz w:val="24"/>
        </w:rPr>
        <w:t>NMIMS (Deemed to be) University, Mumbai</w:t>
      </w:r>
    </w:p>
    <w:p w14:paraId="33DB36CA" w14:textId="77777777" w:rsidR="00220962" w:rsidRPr="00124B95" w:rsidRDefault="00220962" w:rsidP="00220962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 w:rsidRPr="00124B95">
        <w:rPr>
          <w:rFonts w:ascii="Times New Roman" w:hAnsi="Times New Roman" w:cs="Times New Roman"/>
          <w:sz w:val="24"/>
        </w:rPr>
        <w:t xml:space="preserve">Maharashtra-400056, India </w:t>
      </w:r>
    </w:p>
    <w:p w14:paraId="516B7E90" w14:textId="77777777" w:rsidR="00220962" w:rsidRPr="00124B95" w:rsidRDefault="00220962" w:rsidP="00220962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 w:rsidRPr="00124B95">
        <w:rPr>
          <w:rFonts w:ascii="Times New Roman" w:hAnsi="Times New Roman" w:cs="Times New Roman"/>
          <w:sz w:val="24"/>
        </w:rPr>
        <w:t>Contact: (91-22) 4235 5963</w:t>
      </w:r>
    </w:p>
    <w:p w14:paraId="5E04A48F" w14:textId="77777777" w:rsidR="00220962" w:rsidRPr="00124B95" w:rsidRDefault="00220962" w:rsidP="00220962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</w:rPr>
      </w:pPr>
      <w:r w:rsidRPr="00124B95">
        <w:rPr>
          <w:rFonts w:ascii="Times New Roman" w:hAnsi="Times New Roman" w:cs="Times New Roman"/>
          <w:sz w:val="24"/>
        </w:rPr>
        <w:t xml:space="preserve">Email: </w:t>
      </w:r>
      <w:hyperlink r:id="rId5" w:history="1">
        <w:r w:rsidRPr="00124B95">
          <w:rPr>
            <w:rStyle w:val="Hyperlink"/>
            <w:rFonts w:ascii="Times New Roman" w:hAnsi="Times New Roman" w:cs="Times New Roman"/>
            <w:sz w:val="24"/>
          </w:rPr>
          <w:t>bajarang.kumbhar@nmims.edu</w:t>
        </w:r>
      </w:hyperlink>
      <w:r w:rsidRPr="00124B95">
        <w:rPr>
          <w:rFonts w:ascii="Times New Roman" w:hAnsi="Times New Roman" w:cs="Times New Roman"/>
          <w:sz w:val="24"/>
        </w:rPr>
        <w:t xml:space="preserve"> </w:t>
      </w:r>
    </w:p>
    <w:p w14:paraId="5DAB6C7B" w14:textId="77777777" w:rsidR="00004A51" w:rsidRDefault="00004A51"/>
    <w:p w14:paraId="02EB378F" w14:textId="77777777" w:rsidR="00220962" w:rsidRDefault="00220962"/>
    <w:p w14:paraId="6A05A809" w14:textId="77777777" w:rsidR="00220962" w:rsidRDefault="00220962"/>
    <w:p w14:paraId="18AB3EB8" w14:textId="767836AA" w:rsidR="00C1697A" w:rsidRDefault="00C1697A" w:rsidP="28F73E17"/>
    <w:p w14:paraId="60061E4C" w14:textId="6CFC01E4" w:rsidR="00220962" w:rsidRDefault="00220962"/>
    <w:p w14:paraId="26E371AB" w14:textId="77777777" w:rsidR="00220962" w:rsidRPr="000D4D30" w:rsidRDefault="00220962" w:rsidP="00220962">
      <w:pPr>
        <w:jc w:val="center"/>
        <w:rPr>
          <w:rFonts w:ascii="Times New Roman" w:hAnsi="Times New Roman" w:cs="Times New Roman"/>
          <w:sz w:val="24"/>
        </w:rPr>
      </w:pPr>
      <w:r w:rsidRPr="1BC7EF2F">
        <w:rPr>
          <w:rFonts w:ascii="Times New Roman" w:hAnsi="Times New Roman" w:cs="Times New Roman"/>
          <w:sz w:val="24"/>
          <w:szCs w:val="24"/>
        </w:rPr>
        <w:lastRenderedPageBreak/>
        <w:t>Figure</w:t>
      </w:r>
    </w:p>
    <w:p w14:paraId="44EAFD9C" w14:textId="6585A98A" w:rsidR="00220962" w:rsidRDefault="378685CD" w:rsidP="1BC7EF2F">
      <w:pPr>
        <w:jc w:val="center"/>
      </w:pPr>
      <w:r>
        <w:rPr>
          <w:noProof/>
          <w:lang w:eastAsia="en-IN"/>
        </w:rPr>
        <w:drawing>
          <wp:inline distT="0" distB="0" distL="0" distR="0" wp14:anchorId="01EB5413" wp14:editId="294DA293">
            <wp:extent cx="4647773" cy="6210300"/>
            <wp:effectExtent l="0" t="0" r="0" b="0"/>
            <wp:docPr id="1942971122" name="Picture 194297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773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94A1F" w14:textId="0593BF82" w:rsidR="00220962" w:rsidRDefault="00220962" w:rsidP="1557C773">
      <w:pPr>
        <w:jc w:val="both"/>
        <w:rPr>
          <w:rFonts w:ascii="Times New Roman" w:hAnsi="Times New Roman" w:cs="Times New Roman"/>
          <w:sz w:val="24"/>
          <w:szCs w:val="24"/>
        </w:rPr>
      </w:pPr>
      <w:r w:rsidRPr="6A37BC45">
        <w:rPr>
          <w:rFonts w:ascii="Times New Roman" w:hAnsi="Times New Roman" w:cs="Times New Roman"/>
          <w:b/>
          <w:bCs/>
          <w:sz w:val="24"/>
          <w:szCs w:val="24"/>
        </w:rPr>
        <w:t>Supplementary Figure 1:</w:t>
      </w:r>
      <w:r w:rsidRPr="6A37BC45">
        <w:rPr>
          <w:rFonts w:ascii="Times New Roman" w:hAnsi="Times New Roman" w:cs="Times New Roman"/>
          <w:sz w:val="24"/>
          <w:szCs w:val="24"/>
        </w:rPr>
        <w:t xml:space="preserve"> Ramachandran plot for β</w:t>
      </w:r>
      <w:r w:rsidRPr="6A37BC45">
        <w:rPr>
          <w:rFonts w:ascii="Times New Roman" w:hAnsi="Times New Roman" w:cs="Times New Roman"/>
          <w:sz w:val="24"/>
          <w:szCs w:val="24"/>
          <w:highlight w:val="yellow"/>
        </w:rPr>
        <w:t>III</w:t>
      </w:r>
      <w:r w:rsidRPr="6A37BC45">
        <w:rPr>
          <w:rFonts w:ascii="Times New Roman" w:hAnsi="Times New Roman" w:cs="Times New Roman"/>
          <w:sz w:val="24"/>
          <w:szCs w:val="24"/>
        </w:rPr>
        <w:t xml:space="preserve"> tubulin isotype. Here 88.1 % residues are in most favoured region, 9.6 % residues in the additional allowed region, 1.5% residues in generously allowed region and 0.8% residues in the disallowed region.</w:t>
      </w:r>
      <w:r w:rsidR="16F69F06" w:rsidRPr="6A37BC45">
        <w:rPr>
          <w:rFonts w:ascii="Times New Roman" w:hAnsi="Times New Roman" w:cs="Times New Roman"/>
          <w:sz w:val="24"/>
          <w:szCs w:val="24"/>
        </w:rPr>
        <w:t xml:space="preserve"> </w:t>
      </w:r>
      <w:r w:rsidR="16F69F06" w:rsidRPr="6A37BC45">
        <w:rPr>
          <w:rFonts w:ascii="Times New Roman" w:eastAsia="Times New Roman" w:hAnsi="Times New Roman" w:cs="Times New Roman"/>
          <w:sz w:val="24"/>
          <w:szCs w:val="24"/>
        </w:rPr>
        <w:t>The red region in Ramachandran plot is ‘most favoured’, bright yellow is ‘additional allowed’, dull yellow is the ‘generously allowed’ and white is the ‘disallowed’ region.</w:t>
      </w:r>
      <w:r w:rsidRPr="6A37BC45">
        <w:rPr>
          <w:rFonts w:ascii="Times New Roman" w:hAnsi="Times New Roman" w:cs="Times New Roman"/>
          <w:sz w:val="24"/>
          <w:szCs w:val="24"/>
        </w:rPr>
        <w:t xml:space="preserve"> There </w:t>
      </w:r>
      <w:r w:rsidR="39B71FC1" w:rsidRPr="6A37BC45">
        <w:rPr>
          <w:rFonts w:ascii="Times New Roman" w:hAnsi="Times New Roman" w:cs="Times New Roman"/>
          <w:sz w:val="24"/>
          <w:szCs w:val="24"/>
        </w:rPr>
        <w:t>is</w:t>
      </w:r>
      <w:r w:rsidRPr="6A37BC45">
        <w:rPr>
          <w:rFonts w:ascii="Times New Roman" w:hAnsi="Times New Roman" w:cs="Times New Roman"/>
          <w:sz w:val="24"/>
          <w:szCs w:val="24"/>
        </w:rPr>
        <w:t xml:space="preserve"> total 97.7 % residues are in the most favoured and additional allowed region. This shows that the model quality is good for further modelling study. </w:t>
      </w:r>
    </w:p>
    <w:p w14:paraId="464A1F64" w14:textId="7987BFA6" w:rsidR="0E739C47" w:rsidRDefault="0E739C47" w:rsidP="0E739C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82436B" w14:textId="6CDE14CE" w:rsidR="719CD2F1" w:rsidRDefault="719CD2F1" w:rsidP="0E739C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204DCCA8" wp14:editId="430C460D">
            <wp:extent cx="5930264" cy="2094519"/>
            <wp:effectExtent l="0" t="0" r="0" b="0"/>
            <wp:docPr id="1386451665" name="Picture 138645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4" cy="209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EACA7" w14:textId="7908569E" w:rsidR="485A4297" w:rsidRDefault="719CD2F1" w:rsidP="663DA3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63DA31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2: Scatter plot of </w:t>
      </w:r>
      <w:r w:rsidR="0C3B233A" w:rsidRPr="663DA31E">
        <w:rPr>
          <w:rFonts w:ascii="Times New Roman" w:hAnsi="Times New Roman" w:cs="Times New Roman"/>
          <w:b/>
          <w:bCs/>
          <w:sz w:val="24"/>
          <w:szCs w:val="24"/>
        </w:rPr>
        <w:t>a test dataset</w:t>
      </w:r>
      <w:r w:rsidR="3381C27C" w:rsidRPr="663DA31E">
        <w:rPr>
          <w:rFonts w:ascii="Times New Roman" w:hAnsi="Times New Roman" w:cs="Times New Roman"/>
          <w:b/>
          <w:bCs/>
          <w:sz w:val="24"/>
          <w:szCs w:val="24"/>
        </w:rPr>
        <w:t xml:space="preserve"> from ML.</w:t>
      </w:r>
      <w:r w:rsidR="3381C27C" w:rsidRPr="663DA31E">
        <w:rPr>
          <w:rFonts w:ascii="Times New Roman" w:hAnsi="Times New Roman" w:cs="Times New Roman"/>
          <w:sz w:val="24"/>
          <w:szCs w:val="24"/>
        </w:rPr>
        <w:t xml:space="preserve"> Here </w:t>
      </w:r>
      <w:proofErr w:type="spellStart"/>
      <w:r w:rsidR="2DE9FE36" w:rsidRPr="663DA31E">
        <w:rPr>
          <w:rFonts w:ascii="Times New Roman" w:eastAsia="Times New Roman" w:hAnsi="Times New Roman" w:cs="Times New Roman"/>
          <w:b/>
          <w:bCs/>
          <w:sz w:val="24"/>
          <w:szCs w:val="24"/>
        </w:rPr>
        <w:t>prediction_label</w:t>
      </w:r>
      <w:proofErr w:type="spellEnd"/>
      <w:r w:rsidR="2DE9FE36" w:rsidRPr="663DA31E">
        <w:rPr>
          <w:rFonts w:ascii="Times New Roman" w:eastAsia="Times New Roman" w:hAnsi="Times New Roman" w:cs="Times New Roman"/>
          <w:sz w:val="24"/>
          <w:szCs w:val="24"/>
        </w:rPr>
        <w:t xml:space="preserve">: indicated in </w:t>
      </w:r>
      <w:r w:rsidR="75066936" w:rsidRPr="663DA31E">
        <w:rPr>
          <w:rFonts w:ascii="Times New Roman" w:eastAsia="Times New Roman" w:hAnsi="Times New Roman" w:cs="Times New Roman"/>
          <w:sz w:val="24"/>
          <w:szCs w:val="24"/>
        </w:rPr>
        <w:t>blue</w:t>
      </w:r>
      <w:r w:rsidR="2DE9FE36" w:rsidRPr="663DA31E">
        <w:rPr>
          <w:rFonts w:ascii="Times New Roman" w:eastAsia="Times New Roman" w:hAnsi="Times New Roman" w:cs="Times New Roman"/>
          <w:sz w:val="24"/>
          <w:szCs w:val="24"/>
        </w:rPr>
        <w:t xml:space="preserve"> line represents the true labels of the data. It appears to be a horizontal line at the top of the plot, indicating that most predictions are correct.</w:t>
      </w:r>
      <w:r w:rsidR="0C3DE2C0" w:rsidRPr="663DA3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prediction_score_1</w:t>
      </w:r>
      <w:r w:rsidR="0C3DE2C0" w:rsidRPr="663DA3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4D85319F" w:rsidRPr="663DA31E">
        <w:rPr>
          <w:rFonts w:ascii="Times New Roman" w:eastAsia="Times New Roman" w:hAnsi="Times New Roman" w:cs="Times New Roman"/>
          <w:sz w:val="24"/>
          <w:szCs w:val="24"/>
        </w:rPr>
        <w:t xml:space="preserve">indicated in green </w:t>
      </w:r>
      <w:r w:rsidR="0C3DE2C0" w:rsidRPr="663DA31E">
        <w:rPr>
          <w:rFonts w:ascii="Times New Roman" w:eastAsia="Times New Roman" w:hAnsi="Times New Roman" w:cs="Times New Roman"/>
          <w:sz w:val="24"/>
          <w:szCs w:val="24"/>
        </w:rPr>
        <w:t xml:space="preserve">shows the predicted probability or score for the positive class (class 1). The dots are scattered around the 0.8 level, suggesting that the model is confident in its positive predictions. </w:t>
      </w:r>
      <w:r w:rsidR="0C3DE2C0" w:rsidRPr="663DA31E">
        <w:rPr>
          <w:rFonts w:ascii="Times New Roman" w:eastAsia="Times New Roman" w:hAnsi="Times New Roman" w:cs="Times New Roman"/>
          <w:b/>
          <w:bCs/>
          <w:sz w:val="24"/>
          <w:szCs w:val="24"/>
        </w:rPr>
        <w:t>prediction_score_0</w:t>
      </w:r>
      <w:r w:rsidR="0C3DE2C0" w:rsidRPr="663DA3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58D36C0C" w:rsidRPr="663DA31E">
        <w:rPr>
          <w:rFonts w:ascii="Times New Roman" w:eastAsia="Times New Roman" w:hAnsi="Times New Roman" w:cs="Times New Roman"/>
          <w:sz w:val="24"/>
          <w:szCs w:val="24"/>
        </w:rPr>
        <w:t>indicated in red</w:t>
      </w:r>
      <w:r w:rsidR="0C3DE2C0" w:rsidRPr="663DA31E">
        <w:rPr>
          <w:rFonts w:ascii="Times New Roman" w:eastAsia="Times New Roman" w:hAnsi="Times New Roman" w:cs="Times New Roman"/>
          <w:sz w:val="24"/>
          <w:szCs w:val="24"/>
        </w:rPr>
        <w:t xml:space="preserve"> shows the predicted probability or score for the negative class (class 0). The dots are scattered around the 0.2 level, indicating that the model is also </w:t>
      </w:r>
      <w:r w:rsidR="1819A17A" w:rsidRPr="663DA31E">
        <w:rPr>
          <w:rFonts w:ascii="Times New Roman" w:eastAsia="Times New Roman" w:hAnsi="Times New Roman" w:cs="Times New Roman"/>
          <w:sz w:val="24"/>
          <w:szCs w:val="24"/>
        </w:rPr>
        <w:t>confident</w:t>
      </w:r>
      <w:r w:rsidR="0C3DE2C0" w:rsidRPr="663DA31E">
        <w:rPr>
          <w:rFonts w:ascii="Times New Roman" w:eastAsia="Times New Roman" w:hAnsi="Times New Roman" w:cs="Times New Roman"/>
          <w:sz w:val="24"/>
          <w:szCs w:val="24"/>
        </w:rPr>
        <w:t xml:space="preserve"> in its negative predictions.</w:t>
      </w:r>
      <w:r w:rsidR="7A94D054" w:rsidRPr="663DA31E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7DADAF7F" w:rsidRPr="663DA31E">
        <w:rPr>
          <w:rFonts w:ascii="Times New Roman" w:eastAsia="Times New Roman" w:hAnsi="Times New Roman" w:cs="Times New Roman"/>
          <w:sz w:val="24"/>
          <w:szCs w:val="24"/>
        </w:rPr>
        <w:t>ased on the predicted probability scores for the positive class, we selected 20 compounds exhibiting the highest activity.</w:t>
      </w:r>
    </w:p>
    <w:p w14:paraId="05FB52B1" w14:textId="5A41A354" w:rsidR="485A4297" w:rsidRDefault="485A4297" w:rsidP="0E739C47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1613F26" w14:textId="7365CDD5" w:rsidR="25D560EB" w:rsidRDefault="1A955BB0" w:rsidP="663DA3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1B5BD5D6" wp14:editId="093EE042">
            <wp:extent cx="5942379" cy="4544172"/>
            <wp:effectExtent l="0" t="0" r="0" b="0"/>
            <wp:docPr id="266875905" name="Picture 266875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79" cy="454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2D844" w14:textId="08BC0842" w:rsidR="25D560EB" w:rsidRDefault="25D560EB" w:rsidP="485A42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63DA31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Supplementary Figure </w:t>
      </w:r>
      <w:r w:rsidR="0359375E" w:rsidRPr="663DA31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</w:t>
      </w:r>
      <w:r w:rsidRPr="663DA31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:</w:t>
      </w:r>
      <w:r w:rsidR="3C164EFC" w:rsidRPr="663DA31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2F0F0B67" w:rsidRPr="663DA31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RMSD plot</w:t>
      </w:r>
      <w:r w:rsidR="3C164EFC" w:rsidRPr="663DA31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analysis of the drug</w:t>
      </w:r>
      <w:r w:rsidR="28310A2A" w:rsidRPr="663DA31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compounds</w:t>
      </w:r>
      <w:r w:rsidR="3C164EFC" w:rsidRPr="663DA31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.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Here, ZINC03847075 is depicted in red, ZINC12889138 in green, ZINC08952577 in blue and ZINC08952607 in </w:t>
      </w:r>
      <w:r w:rsidR="049CFABC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>orange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7E363D87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T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he RMSD plot </w:t>
      </w:r>
      <w:r w:rsidR="24D47ED8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was generated 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>of backbone C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</w:rPr>
        <w:t>α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atoms for </w:t>
      </w:r>
      <w:r w:rsidR="3873D557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>5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00ns, all the systems reached their equilibrium after </w:t>
      </w:r>
      <w:r w:rsidR="5B291DAB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>100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  <w:highlight w:val="yellow"/>
        </w:rPr>
        <w:t>ns time steps.</w:t>
      </w:r>
      <w:r w:rsidR="3C164EFC" w:rsidRPr="663DA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529278" w14:textId="77777777" w:rsidR="00697857" w:rsidRDefault="00697857" w:rsidP="00402A11">
      <w:pPr>
        <w:jc w:val="center"/>
        <w:rPr>
          <w:rFonts w:ascii="Times New Roman" w:hAnsi="Times New Roman" w:cs="Times New Roman"/>
          <w:b/>
          <w:sz w:val="24"/>
        </w:rPr>
      </w:pPr>
    </w:p>
    <w:p w14:paraId="026E5AF4" w14:textId="77777777" w:rsidR="00697857" w:rsidRDefault="00697857" w:rsidP="00402A11">
      <w:pPr>
        <w:jc w:val="center"/>
        <w:rPr>
          <w:rFonts w:ascii="Times New Roman" w:hAnsi="Times New Roman" w:cs="Times New Roman"/>
          <w:b/>
          <w:sz w:val="24"/>
        </w:rPr>
      </w:pPr>
    </w:p>
    <w:p w14:paraId="0809F5DA" w14:textId="32C9CA9B" w:rsidR="00402A11" w:rsidRPr="00402A11" w:rsidRDefault="00402A11" w:rsidP="00402A11">
      <w:pPr>
        <w:jc w:val="center"/>
        <w:rPr>
          <w:rFonts w:ascii="Times New Roman" w:hAnsi="Times New Roman" w:cs="Times New Roman"/>
          <w:b/>
          <w:sz w:val="24"/>
        </w:rPr>
      </w:pPr>
      <w:r w:rsidRPr="00402A11">
        <w:rPr>
          <w:rFonts w:ascii="Times New Roman" w:hAnsi="Times New Roman" w:cs="Times New Roman"/>
          <w:b/>
          <w:sz w:val="24"/>
        </w:rPr>
        <w:t>Table</w:t>
      </w:r>
    </w:p>
    <w:p w14:paraId="4E5A0853" w14:textId="77777777" w:rsidR="00402A11" w:rsidRPr="00402A11" w:rsidRDefault="00CC4A44" w:rsidP="00402A1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</w:t>
      </w:r>
      <w:r w:rsidRPr="00402A11">
        <w:rPr>
          <w:rFonts w:ascii="Times New Roman" w:hAnsi="Times New Roman" w:cs="Times New Roman"/>
          <w:b/>
          <w:sz w:val="24"/>
        </w:rPr>
        <w:t xml:space="preserve"> </w:t>
      </w:r>
      <w:r w:rsidR="00402A11" w:rsidRPr="00402A11">
        <w:rPr>
          <w:rFonts w:ascii="Times New Roman" w:hAnsi="Times New Roman" w:cs="Times New Roman"/>
          <w:b/>
          <w:sz w:val="24"/>
        </w:rPr>
        <w:t>Table 1. List of Drugs for active training Dataset</w:t>
      </w:r>
    </w:p>
    <w:tbl>
      <w:tblPr>
        <w:tblStyle w:val="TableGrid1"/>
        <w:tblW w:w="9869" w:type="dxa"/>
        <w:tblLayout w:type="fixed"/>
        <w:tblLook w:val="04A0" w:firstRow="1" w:lastRow="0" w:firstColumn="1" w:lastColumn="0" w:noHBand="0" w:noVBand="1"/>
      </w:tblPr>
      <w:tblGrid>
        <w:gridCol w:w="895"/>
        <w:gridCol w:w="5337"/>
        <w:gridCol w:w="3637"/>
      </w:tblGrid>
      <w:tr w:rsidR="00C82703" w:rsidRPr="00C82703" w14:paraId="3AE340DE" w14:textId="77777777" w:rsidTr="28F73E17">
        <w:tc>
          <w:tcPr>
            <w:tcW w:w="895" w:type="dxa"/>
          </w:tcPr>
          <w:p w14:paraId="1AF2CC2F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Sr.No</w:t>
            </w:r>
            <w:proofErr w:type="spellEnd"/>
            <w:r w:rsidRPr="00C82703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5337" w:type="dxa"/>
          </w:tcPr>
          <w:p w14:paraId="6F8FE6B0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Active Drugs Targeting Taxol Site</w:t>
            </w:r>
          </w:p>
        </w:tc>
        <w:tc>
          <w:tcPr>
            <w:tcW w:w="3637" w:type="dxa"/>
          </w:tcPr>
          <w:p w14:paraId="7E91CFF1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References</w:t>
            </w:r>
          </w:p>
        </w:tc>
      </w:tr>
      <w:tr w:rsidR="00C82703" w:rsidRPr="00C82703" w14:paraId="4020D93D" w14:textId="77777777" w:rsidTr="28F73E17">
        <w:tc>
          <w:tcPr>
            <w:tcW w:w="895" w:type="dxa"/>
          </w:tcPr>
          <w:p w14:paraId="3B3C6947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179FA076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Paclitaxel, Taxol,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Oraxol</w:t>
            </w:r>
            <w:proofErr w:type="spellEnd"/>
          </w:p>
        </w:tc>
        <w:tc>
          <w:tcPr>
            <w:tcW w:w="3637" w:type="dxa"/>
          </w:tcPr>
          <w:p w14:paraId="61DB9646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Alqahtani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FY,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Aleanizy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FS, El Tahir E,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Alkahtani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HM,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AlQuadeib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BT. Paclitaxel. Profiles Drug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Subst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Excip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Relat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Methodol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proofErr w:type="gram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2019;44:205</w:t>
            </w:r>
            <w:proofErr w:type="gram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-238.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doi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10.1016/bs.podrm.2018.11.001.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Epub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2019 Apr 22. PMID: 31029218.</w:t>
            </w:r>
          </w:p>
        </w:tc>
      </w:tr>
      <w:tr w:rsidR="00C82703" w:rsidRPr="00C82703" w14:paraId="535DC596" w14:textId="77777777" w:rsidTr="28F73E17">
        <w:trPr>
          <w:trHeight w:val="1503"/>
        </w:trPr>
        <w:tc>
          <w:tcPr>
            <w:tcW w:w="895" w:type="dxa"/>
          </w:tcPr>
          <w:p w14:paraId="473AE2E2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91EDD41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Docetaxel ,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taxotere</w:t>
            </w:r>
            <w:proofErr w:type="spellEnd"/>
          </w:p>
        </w:tc>
        <w:tc>
          <w:tcPr>
            <w:tcW w:w="3637" w:type="dxa"/>
          </w:tcPr>
          <w:p w14:paraId="701AE8B1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Ma Z, Zhang W, Dong B, Xin Z, Ji Y, Su R, Shen K, Pan J, Wang Q,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Xue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W. Docetaxel remodels prostate cancer immune microenvironment and enhances checkpoint inhibitor-based immunotherapy.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Theranostics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2022 Jun 27;12(11):4965-4979.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doi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 10.7150/thno.73152. PMID: 35836810; PMCID: PMC9274752.</w:t>
            </w:r>
          </w:p>
        </w:tc>
      </w:tr>
      <w:tr w:rsidR="00C82703" w:rsidRPr="00C82703" w14:paraId="01DBB01C" w14:textId="77777777" w:rsidTr="28F73E17">
        <w:tc>
          <w:tcPr>
            <w:tcW w:w="895" w:type="dxa"/>
          </w:tcPr>
          <w:p w14:paraId="4F71EBED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6074B42B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Ixabepilone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(BMS-247550),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AzaepothiloneB</w:t>
            </w:r>
            <w:proofErr w:type="spellEnd"/>
          </w:p>
        </w:tc>
        <w:tc>
          <w:tcPr>
            <w:tcW w:w="3637" w:type="dxa"/>
          </w:tcPr>
          <w:p w14:paraId="7830C3FD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LiverTox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Clinical and Research Information on Drug-Induced Liver Injury [Internet]. Bethesda (MD): National Institute of Diabetes and Digestive and Kidney Diseases; 2012–.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Ixabepilone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 2017 Jan 5. PMID: 31643317.</w:t>
            </w:r>
          </w:p>
        </w:tc>
      </w:tr>
      <w:tr w:rsidR="00C82703" w:rsidRPr="00C82703" w14:paraId="1C6321E9" w14:textId="77777777" w:rsidTr="28F73E17">
        <w:tc>
          <w:tcPr>
            <w:tcW w:w="895" w:type="dxa"/>
          </w:tcPr>
          <w:p w14:paraId="63FFC490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6624B077" w14:textId="04FC17D9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EpothiloneD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(EPO D) (KOS-862, NSC-</w:t>
            </w:r>
            <w:r w:rsidR="3DF67477"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703147, </w:t>
            </w:r>
            <w:proofErr w:type="spellStart"/>
            <w:r w:rsidR="3DF67477"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desoxyepothiloneB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BMS-241027)</w:t>
            </w:r>
          </w:p>
        </w:tc>
        <w:tc>
          <w:tcPr>
            <w:tcW w:w="3637" w:type="dxa"/>
          </w:tcPr>
          <w:p w14:paraId="2892A225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Kolman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 (Kosan/Roche).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Curr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Opin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Investig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Drugs. 2004 Jun;5(6):657-67. PMID: 15242255.</w:t>
            </w:r>
          </w:p>
        </w:tc>
      </w:tr>
      <w:tr w:rsidR="00C82703" w:rsidRPr="00C82703" w14:paraId="628727D5" w14:textId="77777777" w:rsidTr="28F73E17">
        <w:tc>
          <w:tcPr>
            <w:tcW w:w="895" w:type="dxa"/>
          </w:tcPr>
          <w:p w14:paraId="2218B187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285F3F4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EpothiloneD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(EPO D) (KOS-862,</w:t>
            </w:r>
          </w:p>
        </w:tc>
        <w:tc>
          <w:tcPr>
            <w:tcW w:w="3637" w:type="dxa"/>
          </w:tcPr>
          <w:p w14:paraId="690AE885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Cheng H, Huang G. Synthesis and Activity of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Curr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Drug Targets. 2018;19(15):1866-1870.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doi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 10.2174/1389450119666180803122118. PMID: 30073925.</w:t>
            </w:r>
          </w:p>
        </w:tc>
      </w:tr>
      <w:tr w:rsidR="00C82703" w:rsidRPr="00C82703" w14:paraId="6FA54FD3" w14:textId="77777777" w:rsidTr="28F73E17">
        <w:tc>
          <w:tcPr>
            <w:tcW w:w="895" w:type="dxa"/>
          </w:tcPr>
          <w:p w14:paraId="760FF755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5D9079BA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Albendazol</w:t>
            </w:r>
            <w:proofErr w:type="spellEnd"/>
          </w:p>
        </w:tc>
        <w:tc>
          <w:tcPr>
            <w:tcW w:w="3637" w:type="dxa"/>
          </w:tcPr>
          <w:p w14:paraId="0A9ACC89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Dharnidharka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V. R., Agrawal, M.,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Dandge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V. P. (1993).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Albendazole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 Indian pediatrics, 30(9), 1115–1118.</w:t>
            </w:r>
          </w:p>
        </w:tc>
      </w:tr>
      <w:tr w:rsidR="00C82703" w:rsidRPr="00C82703" w14:paraId="19DE027F" w14:textId="77777777" w:rsidTr="28F73E17">
        <w:tc>
          <w:tcPr>
            <w:tcW w:w="895" w:type="dxa"/>
          </w:tcPr>
          <w:p w14:paraId="33F44A5D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DD59D3D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Mebendazol</w:t>
            </w:r>
            <w:proofErr w:type="spellEnd"/>
          </w:p>
        </w:tc>
        <w:tc>
          <w:tcPr>
            <w:tcW w:w="3637" w:type="dxa"/>
          </w:tcPr>
          <w:p w14:paraId="46FE03A1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Keystone, J. S., &amp; Murdoch, J. K. (1979).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Mebendazole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 Annals of internal medicine, 91(4), 582–586. https://doi.org/10.7326/0003-4819-91-4-582</w:t>
            </w:r>
          </w:p>
        </w:tc>
      </w:tr>
      <w:tr w:rsidR="00C82703" w:rsidRPr="00C82703" w14:paraId="2BB58D16" w14:textId="77777777" w:rsidTr="28F73E17">
        <w:tc>
          <w:tcPr>
            <w:tcW w:w="895" w:type="dxa"/>
          </w:tcPr>
          <w:p w14:paraId="75126ECB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5F314579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sagopilone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(ZK-EPO, ZK-219477)</w:t>
            </w:r>
          </w:p>
        </w:tc>
        <w:tc>
          <w:tcPr>
            <w:tcW w:w="3637" w:type="dxa"/>
          </w:tcPr>
          <w:p w14:paraId="00432A2C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Klar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U., Hoffmann, J.,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Giurescu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 (2008).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Sagopilone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(ZK-EPO): from a natural product to a fully synthetic clinical development candidate. </w:t>
            </w:r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Expert opinion on investigational drugs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 </w:t>
            </w:r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17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(11), 1735–1748. https://doi.org/10.1517/13543784.17.11.1735</w:t>
            </w:r>
          </w:p>
        </w:tc>
      </w:tr>
      <w:tr w:rsidR="00C82703" w:rsidRPr="00C82703" w14:paraId="68E27C32" w14:textId="77777777" w:rsidTr="28F73E17">
        <w:tc>
          <w:tcPr>
            <w:tcW w:w="895" w:type="dxa"/>
          </w:tcPr>
          <w:p w14:paraId="6EF25A2F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627AB97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IDN-5109 (BAY 59-8862,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Ortataxel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3637" w:type="dxa"/>
          </w:tcPr>
          <w:p w14:paraId="19298510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Rong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D., Wang, C., Zhang, X., Wei, Y., Zhang, M., Liu, D., Farhan, H.,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Momen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Ali, S. A., Liu, Y.,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Taouil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Guo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W., Wang, Y.,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Ojima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I., Yang, S., &amp; Wang, H. (2020). A novel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difluorovinyl-ortataxel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effectively overcomes paclitaxel-resistance in breast cancer cells. Cancer letters, 491, 36–49. https://doi.org/10.1016/j.canlet.2020.06.025</w:t>
            </w:r>
          </w:p>
        </w:tc>
      </w:tr>
      <w:tr w:rsidR="00C82703" w:rsidRPr="00C82703" w14:paraId="6859EC4D" w14:textId="77777777" w:rsidTr="28F73E17">
        <w:tc>
          <w:tcPr>
            <w:tcW w:w="895" w:type="dxa"/>
          </w:tcPr>
          <w:p w14:paraId="53C36BA5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0B057ED9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Cabazitaxel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(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Jevtana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XRP-6258)</w:t>
            </w:r>
          </w:p>
        </w:tc>
        <w:tc>
          <w:tcPr>
            <w:tcW w:w="3637" w:type="dxa"/>
          </w:tcPr>
          <w:p w14:paraId="6CDFFF81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Hofman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 S., Emmett, L., Sandhu,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Iravani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Joshua, A. M., Goh, J. C., Pattison, D. A., Tan, T. H., Kirkwood, I. D., Ng, S., Francis, R. J.,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Gedye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C., Rutherford, N. K.,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Weickhardt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Scott, A. M., Lee, S. T., Kwan, E. M., Azad, A. A.,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Ramdave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Redfern, A. D., …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TheraP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Trial Investigators and the Australian and New Zealand Urogenital and Prostate Cancer Trials Group (2021). [177</w:t>
            </w:r>
            <w:proofErr w:type="gram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Lu]Lu</w:t>
            </w:r>
            <w:proofErr w:type="gram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-PSMA-617 versus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cabazitaxel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in patients with metastatic castration-resistant prostate cancer (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TheraP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): a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randomised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open-label, phase 2 trial. Lancet (London, England), 397(10276), 797–804. https://doi.org/10.1016/S0140-6736(21)00237-3</w:t>
            </w:r>
          </w:p>
        </w:tc>
      </w:tr>
      <w:tr w:rsidR="00C82703" w:rsidRPr="00C82703" w14:paraId="1D2B3721" w14:textId="77777777" w:rsidTr="28F73E17">
        <w:tc>
          <w:tcPr>
            <w:tcW w:w="895" w:type="dxa"/>
          </w:tcPr>
          <w:p w14:paraId="5CCB2A4D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7922AE20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Tesetaxel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(DJ-927,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Genta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Inc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) Novel oral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derivative</w:t>
            </w:r>
          </w:p>
        </w:tc>
        <w:tc>
          <w:tcPr>
            <w:tcW w:w="3637" w:type="dxa"/>
          </w:tcPr>
          <w:p w14:paraId="427EFFE1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Saif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 W., Sarantopoulos, J., Patnaik, A.,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Tolcher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W.,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Takimoto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C.,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Beeram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 (2011).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Tesetaxel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 new oral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in combination with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capecitabine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 a phase I, dose-escalation study in patients with advanced solid tumors. Cancer chemotherapy and pharmacology, 68(6), 1565–1573. https://doi.org/10.1007/s00280-011-1639-3</w:t>
            </w:r>
          </w:p>
        </w:tc>
      </w:tr>
      <w:tr w:rsidR="00C82703" w:rsidRPr="00C82703" w14:paraId="709E6212" w14:textId="77777777" w:rsidTr="28F73E17">
        <w:tc>
          <w:tcPr>
            <w:tcW w:w="895" w:type="dxa"/>
          </w:tcPr>
          <w:p w14:paraId="1DEE9F0B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6658295C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Larotaxel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(XRP9881, Sanofi) A semi-synthetic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derived from 10-deacylbaccatin III</w:t>
            </w:r>
          </w:p>
        </w:tc>
        <w:tc>
          <w:tcPr>
            <w:tcW w:w="3637" w:type="dxa"/>
          </w:tcPr>
          <w:p w14:paraId="5F378962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Metzger-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Filho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O., Moulin, C., de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Azambuja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E., &amp; Ahmad, A. (2009).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Larotaxel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broadening the road with new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 Expert opinion on investigational drugs, 18(8), 1183–1189. https://doi.org/10.1517/13543780903119167</w:t>
            </w:r>
          </w:p>
        </w:tc>
      </w:tr>
      <w:tr w:rsidR="00C82703" w:rsidRPr="00C82703" w14:paraId="2A5E3AA1" w14:textId="77777777" w:rsidTr="28F73E17">
        <w:tc>
          <w:tcPr>
            <w:tcW w:w="895" w:type="dxa"/>
          </w:tcPr>
          <w:p w14:paraId="072534D8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968EFF3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BMS-184476 (Bristol Myers Squib) A 7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methylthiomethyl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ether of paclitaxel</w:t>
            </w:r>
          </w:p>
        </w:tc>
        <w:tc>
          <w:tcPr>
            <w:tcW w:w="3637" w:type="dxa"/>
          </w:tcPr>
          <w:p w14:paraId="09CA20F0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Ojima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I.,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Geney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R. (2003). BMS-184476 Bristol-Myers Squibb. Current opinion in investigational drugs (London, </w:t>
            </w:r>
            <w:r w:rsidR="628A8F1C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England: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2000), 4(6), 732–736.</w:t>
            </w:r>
          </w:p>
        </w:tc>
      </w:tr>
      <w:tr w:rsidR="00C82703" w:rsidRPr="00C82703" w14:paraId="37288065" w14:textId="77777777" w:rsidTr="28F73E17">
        <w:tc>
          <w:tcPr>
            <w:tcW w:w="895" w:type="dxa"/>
          </w:tcPr>
          <w:p w14:paraId="7BFC091A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0EF629C0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TPI-287 (Archer Biosciences) Paclitaxel derivative with a 5-membered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baccatin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ring crosses blood brain barrier</w:t>
            </w:r>
          </w:p>
        </w:tc>
        <w:tc>
          <w:tcPr>
            <w:tcW w:w="3637" w:type="dxa"/>
          </w:tcPr>
          <w:p w14:paraId="14AC759B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Fitzgerald, D. P., Emerson, D. L., Qian, Y., Anwar, T.,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Liewehr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 J., Steinberg, S. M., Silberman, S., Palmieri, D.,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Steeg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P. S. (2012). TPI-287, a new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family member, reduces the brain metastatic colonization of breast cancer cells. Molecular cancer therapeutics, 11(9), 1959–1967. https://doi.org/10.1158/1535-7163.MCT-12-0061</w:t>
            </w:r>
          </w:p>
        </w:tc>
      </w:tr>
      <w:tr w:rsidR="00C82703" w:rsidRPr="00C82703" w14:paraId="182F5383" w14:textId="77777777" w:rsidTr="28F73E17">
        <w:tc>
          <w:tcPr>
            <w:tcW w:w="895" w:type="dxa"/>
          </w:tcPr>
          <w:p w14:paraId="27D2684D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4DF821FF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Nab-paclitaxel (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Abraxane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Celgene) serum albumin conjugated paclitaxel</w:t>
            </w:r>
          </w:p>
        </w:tc>
        <w:tc>
          <w:tcPr>
            <w:tcW w:w="3637" w:type="dxa"/>
          </w:tcPr>
          <w:p w14:paraId="433D0D2D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Yardley D. A. (2013). </w:t>
            </w:r>
            <w:proofErr w:type="gram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nab</w:t>
            </w:r>
            <w:proofErr w:type="gram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-Paclitaxel mechanisms of action and delivery. Journal of controlled </w:t>
            </w:r>
            <w:r w:rsidR="3EE4D98C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release: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official journal of the Controlled Release Society, 170(3), 365–372. https://doi.org/10.1016/j.jconrel.2013.05.041</w:t>
            </w:r>
          </w:p>
        </w:tc>
      </w:tr>
      <w:tr w:rsidR="00C82703" w:rsidRPr="00C82703" w14:paraId="7419FB52" w14:textId="77777777" w:rsidTr="28F73E17">
        <w:tc>
          <w:tcPr>
            <w:tcW w:w="895" w:type="dxa"/>
          </w:tcPr>
          <w:p w14:paraId="6AA38C19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1F428E2D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Xyotax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Opaxio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paclitaxel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polyglumex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(PPX) Cell Therapeutics, Inc.) paclitaxel conjugated to α-poly-L- glutamic acid</w:t>
            </w:r>
          </w:p>
        </w:tc>
        <w:tc>
          <w:tcPr>
            <w:tcW w:w="3637" w:type="dxa"/>
          </w:tcPr>
          <w:p w14:paraId="575507D3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Singer J. W. (2005). Paclitaxel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poliglumex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(XYOTAX, CT-2103): a macromolecular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 </w:t>
            </w:r>
            <w:r w:rsidRPr="091AA814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Journal of controlled </w:t>
            </w:r>
            <w:r w:rsidR="6F4796D9" w:rsidRPr="091AA814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release:</w:t>
            </w:r>
            <w:r w:rsidRPr="091AA814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 official journal of the Controlled Release Society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 </w:t>
            </w:r>
            <w:r w:rsidRPr="091AA814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109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(1-3), 120–126. https://doi.org/10.1016/j.jconrel.2005.09.033</w:t>
            </w:r>
          </w:p>
        </w:tc>
      </w:tr>
      <w:tr w:rsidR="00C82703" w:rsidRPr="00C82703" w14:paraId="01678C0F" w14:textId="77777777" w:rsidTr="28F73E17">
        <w:tc>
          <w:tcPr>
            <w:tcW w:w="895" w:type="dxa"/>
          </w:tcPr>
          <w:p w14:paraId="23CB788B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4FDC3ACC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EndoTag-1 (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Medigene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AG) Cationic liposomal paclitaxel,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Genexol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-PM (Samyang Gene, South Korea) Polymeric micellar paclitaxel formulation</w:t>
            </w:r>
          </w:p>
        </w:tc>
        <w:tc>
          <w:tcPr>
            <w:tcW w:w="3637" w:type="dxa"/>
          </w:tcPr>
          <w:p w14:paraId="4EC876D4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Schuch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G. (2005). EndoTAG-1.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MediGene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Current opinion in investigational drugs (London, </w:t>
            </w:r>
            <w:r w:rsidR="30329AA9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England: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2000), 6(12), 1259–1265.</w:t>
            </w:r>
          </w:p>
          <w:p w14:paraId="7B83913B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Nam, S. H., Lee, S. W., Lee, Y. J., &amp; Kim, Y. M. (2023). Safety and Tolerability of Weekly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Genexol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-PM, a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Cremophor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-Free Polymeric Micelle Formulation of Paclitaxel, with Carboplatin in Gynecologic Cancer: A Phase I Study. Cancer research and treatment, 55(4), 1346–1354. https://doi.org/10.4143/crt.2022.1436</w:t>
            </w:r>
          </w:p>
        </w:tc>
      </w:tr>
      <w:tr w:rsidR="00C82703" w:rsidRPr="00C82703" w14:paraId="329BC2CB" w14:textId="77777777" w:rsidTr="28F73E17">
        <w:tc>
          <w:tcPr>
            <w:tcW w:w="895" w:type="dxa"/>
          </w:tcPr>
          <w:p w14:paraId="7C74C63B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26E5BAC6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DHA-paclitaxel (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Taxoprexin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Protarga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Inc.) DHA-conjugated paclitaxel</w:t>
            </w:r>
          </w:p>
        </w:tc>
        <w:tc>
          <w:tcPr>
            <w:tcW w:w="3637" w:type="dxa"/>
          </w:tcPr>
          <w:p w14:paraId="563B0E2D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Payne, M., Ellis, P., Dunlop, D.,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Ranson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M., Danson,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Schacter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L., &amp; Talbot, D. (2006). DHA-paclitaxel (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Taxoprexin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) as first-line treatment in patients with stage IIIB or IV non-small cell lung cancer: report of a phase II open-label multicenter trial. Journal of thoracic </w:t>
            </w:r>
            <w:r w:rsidR="43B890EC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oncology: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official publication of the International Association for the Study of Lung Cancer, 1(9), 984–990.</w:t>
            </w:r>
          </w:p>
        </w:tc>
      </w:tr>
      <w:tr w:rsidR="00C82703" w:rsidRPr="00C82703" w14:paraId="114A2E5D" w14:textId="77777777" w:rsidTr="28F73E17">
        <w:tc>
          <w:tcPr>
            <w:tcW w:w="895" w:type="dxa"/>
          </w:tcPr>
          <w:p w14:paraId="1C8CB58C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5D1D807E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Milataxel</w:t>
            </w:r>
            <w:proofErr w:type="spellEnd"/>
          </w:p>
        </w:tc>
        <w:tc>
          <w:tcPr>
            <w:tcW w:w="3637" w:type="dxa"/>
          </w:tcPr>
          <w:p w14:paraId="4FD74A4C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Ramanathan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R. K.,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Picus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Raftopoulos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H., Bernard, S., Lockhart, A. C.,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Frenette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G., Macdonald, J.,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Melin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Berg, D., Brescia, F.,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Hochster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H., &amp; Cohn, A. (2008). A phase II study of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milataxel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a novel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analogue in previously treated patients with advanced colorectal cancer. Cancer chemotherapy and pharmacology, 61(3), 453–458. https://doi.org/10.1007/s00280-007-0489-5</w:t>
            </w:r>
          </w:p>
        </w:tc>
      </w:tr>
      <w:tr w:rsidR="00C82703" w:rsidRPr="00C82703" w14:paraId="2766AB04" w14:textId="77777777" w:rsidTr="28F73E17">
        <w:tc>
          <w:tcPr>
            <w:tcW w:w="895" w:type="dxa"/>
          </w:tcPr>
          <w:p w14:paraId="65E156B6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10C87569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EPO906</w:t>
            </w:r>
          </w:p>
        </w:tc>
        <w:tc>
          <w:tcPr>
            <w:tcW w:w="3637" w:type="dxa"/>
          </w:tcPr>
          <w:p w14:paraId="754D0932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Rothermel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Wartmann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M., Chen, T.,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Hohneker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J. (2003). EPO906 (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B): a promising novel microtubule stabilizer. Seminars in oncology, 30(3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Suppl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6), 51–55. https://doi.org/10.1016/s0093-7754(03)00125-8</w:t>
            </w:r>
          </w:p>
        </w:tc>
      </w:tr>
      <w:tr w:rsidR="00C82703" w:rsidRPr="00C82703" w14:paraId="1A4A992D" w14:textId="77777777" w:rsidTr="28F73E17">
        <w:tc>
          <w:tcPr>
            <w:tcW w:w="895" w:type="dxa"/>
          </w:tcPr>
          <w:p w14:paraId="28BB8901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D83A8F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Ixabepilone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Ixempra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Bristol Myers Squib), BMS-247550 An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B lactam</w:t>
            </w:r>
          </w:p>
        </w:tc>
        <w:tc>
          <w:tcPr>
            <w:tcW w:w="3637" w:type="dxa"/>
          </w:tcPr>
          <w:p w14:paraId="7EF57E51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Ixabepilone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(2017). In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LiverTox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 Clinical and Research Information on Drug-Induced Liver Injury. National Institute of Diabetes and Digestive and Kidney Diseases.</w:t>
            </w:r>
          </w:p>
          <w:p w14:paraId="2AFBD5EC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Lin, N.,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Brakora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K.,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Seiden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 (2003). BMS-247550 Bristol-Myers Squibb/GBF. Current opinion in investigational drugs (London, </w:t>
            </w:r>
            <w:r w:rsidR="44370FE8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England: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2000), 4(6), 746–756.</w:t>
            </w:r>
          </w:p>
        </w:tc>
      </w:tr>
      <w:tr w:rsidR="00C82703" w:rsidRPr="00C82703" w14:paraId="7384BEA9" w14:textId="77777777" w:rsidTr="28F73E17">
        <w:tc>
          <w:tcPr>
            <w:tcW w:w="895" w:type="dxa"/>
          </w:tcPr>
          <w:p w14:paraId="3AE3100A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3EB2E6B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Sagopilone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(ZK-EPO, Bayer Schering AG), ZK 219477 Fully synthetic allyl derivative of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B</w:t>
            </w:r>
          </w:p>
        </w:tc>
        <w:tc>
          <w:tcPr>
            <w:tcW w:w="3637" w:type="dxa"/>
          </w:tcPr>
          <w:p w14:paraId="60609017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Galmarini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C. M. (2009).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Sagopilone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 microtubule stabilizer for the potential treatment of cancer. Current opinion in investigational drugs (London, </w:t>
            </w:r>
            <w:r w:rsidR="5AF4E285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England: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2000), 10(12), 1359–1371.</w:t>
            </w:r>
          </w:p>
        </w:tc>
      </w:tr>
      <w:tr w:rsidR="00C82703" w:rsidRPr="00C82703" w14:paraId="5F3FC309" w14:textId="77777777" w:rsidTr="28F73E17">
        <w:tc>
          <w:tcPr>
            <w:tcW w:w="895" w:type="dxa"/>
          </w:tcPr>
          <w:p w14:paraId="46934059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1A185FFD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KOS 862 (Kosan Biosciences; BMS-241027 Bristol Myers Squib) Natural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D, ZK-EPO</w:t>
            </w:r>
          </w:p>
        </w:tc>
        <w:tc>
          <w:tcPr>
            <w:tcW w:w="3637" w:type="dxa"/>
          </w:tcPr>
          <w:p w14:paraId="34273597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Monk, J. P.,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Villalona-Calero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M., Larkin, J.,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Otterson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G.,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Spriggs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 S., Hannah, A. L.,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Cropp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G. F., Johnson, R. G., &amp; Hensley, M. L. (2012). A phase 1 study of KOS-862 (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D) co-administered with carboplatin (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Paraplatin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®) in patients with advanced solid tumors. Investigational new drugs, 30(4), 1676–1683. https://doi.org/10.1007/s10637-011-9731-4</w:t>
            </w:r>
          </w:p>
        </w:tc>
      </w:tr>
      <w:tr w:rsidR="00C82703" w:rsidRPr="00C82703" w14:paraId="10B39B2F" w14:textId="77777777" w:rsidTr="28F73E17">
        <w:tc>
          <w:tcPr>
            <w:tcW w:w="895" w:type="dxa"/>
          </w:tcPr>
          <w:p w14:paraId="2C2A20AA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6733DEEA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KOS 1584 (Kosan Biosciences)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 derivative</w:t>
            </w:r>
          </w:p>
        </w:tc>
        <w:tc>
          <w:tcPr>
            <w:tcW w:w="3637" w:type="dxa"/>
          </w:tcPr>
          <w:p w14:paraId="4BFBA9F3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Lam, E. T.,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Goel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Schaaf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L. J.,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Cropp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G. F., Hannah, A. L., Zhou, Y., McCracken, B., Haley, B. I., Johnson, R. G., Mani, S.,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Villalona-Calero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 A. (2012). Phase I dose escalation study of KOS-1584, a novel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epothilone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in patients with advanced solid tumors. </w:t>
            </w:r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Cancer chemotherapy and pharmacology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 </w:t>
            </w:r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69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(2), 523–531. https://doi.org/10.1007/s00280-011-1724-7</w:t>
            </w:r>
          </w:p>
        </w:tc>
      </w:tr>
      <w:tr w:rsidR="00C82703" w:rsidRPr="00C82703" w14:paraId="3DEFF78F" w14:textId="77777777" w:rsidTr="28F73E17">
        <w:tc>
          <w:tcPr>
            <w:tcW w:w="895" w:type="dxa"/>
          </w:tcPr>
          <w:p w14:paraId="55550DA0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AF88BC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Discodermolide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(Novartis)</w:t>
            </w:r>
          </w:p>
        </w:tc>
        <w:tc>
          <w:tcPr>
            <w:tcW w:w="3637" w:type="dxa"/>
          </w:tcPr>
          <w:p w14:paraId="6C16B378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 Souza M. V. (2004). (+)-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discodermolide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a marine natural product against cancer.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TheScientificWorldJournal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4, 415–436. https://doi.org/10.1100/tsw.2004.96</w:t>
            </w:r>
          </w:p>
        </w:tc>
      </w:tr>
      <w:tr w:rsidR="00C82703" w:rsidRPr="00C82703" w14:paraId="42F4CA19" w14:textId="77777777" w:rsidTr="28F73E17">
        <w:tc>
          <w:tcPr>
            <w:tcW w:w="895" w:type="dxa"/>
          </w:tcPr>
          <w:p w14:paraId="39F8F141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1E4C2F52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Rhazinilam</w:t>
            </w:r>
            <w:proofErr w:type="spellEnd"/>
          </w:p>
        </w:tc>
        <w:tc>
          <w:tcPr>
            <w:tcW w:w="3637" w:type="dxa"/>
          </w:tcPr>
          <w:p w14:paraId="6BC0150F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Sirindil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F.,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Weibel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 M., Pale, P., &amp; Blanc, A. (2022).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Rhazinilam-leuconolam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family of natural products: a half century of total synthesis. Natural product reports, 39(8), 1574–1590. https://doi.org/10.1039/d2np00026a</w:t>
            </w:r>
          </w:p>
        </w:tc>
      </w:tr>
      <w:tr w:rsidR="00C82703" w:rsidRPr="00C82703" w14:paraId="1C7E4E61" w14:textId="77777777" w:rsidTr="28F73E17">
        <w:tc>
          <w:tcPr>
            <w:tcW w:w="895" w:type="dxa"/>
          </w:tcPr>
          <w:p w14:paraId="43F9FF6B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68C879A5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Cephalomannine</w:t>
            </w:r>
            <w:proofErr w:type="spellEnd"/>
          </w:p>
        </w:tc>
        <w:tc>
          <w:tcPr>
            <w:tcW w:w="3637" w:type="dxa"/>
          </w:tcPr>
          <w:p w14:paraId="6DEF9D9C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An, S., Xu, X.,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Y., Su, F., &amp; Jiang, Y. (2024).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Cephalomannine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reduces radiotherapy resistance in non-small cell lung cancer cells by blocking the β-catenin-BMP2 signaling pathway. Tissue &amp; cell, 91, 102577. Advance online publication. https://doi.org/10.1016/j.tice.2024.102577</w:t>
            </w:r>
          </w:p>
        </w:tc>
      </w:tr>
      <w:tr w:rsidR="00C82703" w:rsidRPr="00C82703" w14:paraId="6B8D1E26" w14:textId="77777777" w:rsidTr="28F73E17">
        <w:tc>
          <w:tcPr>
            <w:tcW w:w="895" w:type="dxa"/>
          </w:tcPr>
          <w:p w14:paraId="34919783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506E3FE0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deacetyltaxol</w:t>
            </w:r>
            <w:proofErr w:type="spellEnd"/>
          </w:p>
        </w:tc>
        <w:tc>
          <w:tcPr>
            <w:tcW w:w="3637" w:type="dxa"/>
          </w:tcPr>
          <w:p w14:paraId="30955290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Helson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L. (1993).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Cephalomannine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and 10-deacetyltaxol cytotoxicity in human glial and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neuroblastoma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cell-lines. International journal of oncology, 2(2), 297–299.</w:t>
            </w:r>
          </w:p>
        </w:tc>
      </w:tr>
      <w:tr w:rsidR="00C82703" w:rsidRPr="00C82703" w14:paraId="72D95462" w14:textId="77777777" w:rsidTr="28F73E17">
        <w:tc>
          <w:tcPr>
            <w:tcW w:w="895" w:type="dxa"/>
          </w:tcPr>
          <w:p w14:paraId="1FCA8EB8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8D1E683" w14:textId="7DF8AE39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4,12-diacetyloxy-10,14,16,16-tetramethyl-1,9,15-tris(oxidanyl)-11-oxidanylidene-6-</w:t>
            </w:r>
            <w:r w:rsidR="3987F35E"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oxatetracyclo [</w:t>
            </w: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11.3.1.0%5E%7B3,10%7D.0%5E%7B4,7%7</w:t>
            </w:r>
            <w:r w:rsidR="70E41637"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D] heptadec</w:t>
            </w: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-13-en-2-</w:t>
            </w:r>
            <w:r w:rsidR="7317519F"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yl] %</w:t>
            </w: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20benzoate</w:t>
            </w:r>
          </w:p>
        </w:tc>
        <w:tc>
          <w:tcPr>
            <w:tcW w:w="3637" w:type="dxa"/>
          </w:tcPr>
          <w:p w14:paraId="6784F5DF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Jiang, B., Gao, L., Wang, H., Sun, Y., Zhang, X.,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H., Liu, S., Ma, P., Liao, Q., Wang, Y., Wang, H., Liu, Y., Du, R., Rogge, T., Li, W., Shang, Y.,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Houk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K. N.,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Xiong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X.,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Xie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D., Huang, S., … Yan, J. (2024). Characterization and heterologous reconstitution of </w:t>
            </w:r>
            <w:proofErr w:type="spellStart"/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Taxus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 biosynthetic enzymes leading to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baccatin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III. </w:t>
            </w:r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Science (New York, N.Y.)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 </w:t>
            </w:r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383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(6683), 622–629. https://doi.org/10.1126/science.adj3484</w:t>
            </w:r>
          </w:p>
        </w:tc>
      </w:tr>
      <w:tr w:rsidR="00C82703" w:rsidRPr="00C82703" w14:paraId="6CF44142" w14:textId="77777777" w:rsidTr="28F73E17">
        <w:tc>
          <w:tcPr>
            <w:tcW w:w="895" w:type="dxa"/>
          </w:tcPr>
          <w:p w14:paraId="168734C8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5C0095D3" w14:textId="00CC30D1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3-(2-bromanylethanoylamino)-2-oxidanyl-3-phenyl-</w:t>
            </w:r>
            <w:r w:rsidR="1B66FA62"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propanoyl] oxy</w:t>
            </w: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-10,14,16,16-tetramethyl-1,9,12-tris(oxidanyl)-11-oxidanylidene-6-</w:t>
            </w:r>
            <w:r w:rsidR="25742429"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oxatetracyclo [</w:t>
            </w: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11.3.1.0%5E%7B3,10%7D.0%5E%7B4,7%7D]heptadec-13-en-2-yl]%20benzoate</w:t>
            </w:r>
          </w:p>
        </w:tc>
        <w:tc>
          <w:tcPr>
            <w:tcW w:w="3637" w:type="dxa"/>
          </w:tcPr>
          <w:p w14:paraId="1D80B032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Prota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E.,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Lucena-Agell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D., Ma, Y., Estevez-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Gallego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J., Li,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Bargsten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K.,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Josa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-Prado, F.,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Altmann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K. H., Gaillard, N.,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Kamimura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Mühlethaler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T.,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Gago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F., Oliva, M. A., Steinmetz, M. O., Fang, W. S.,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Díaz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 F. (2023). Structural insight into the stabilization of microtubules by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 </w:t>
            </w:r>
            <w:proofErr w:type="spellStart"/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eLife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 </w:t>
            </w:r>
            <w:r w:rsidRPr="663DA31E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12</w:t>
            </w: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e84791. https://doi.org/10.7554/eLife.84791</w:t>
            </w:r>
          </w:p>
        </w:tc>
      </w:tr>
      <w:tr w:rsidR="00C82703" w:rsidRPr="00C82703" w14:paraId="20D2A72D" w14:textId="77777777" w:rsidTr="28F73E17">
        <w:tc>
          <w:tcPr>
            <w:tcW w:w="895" w:type="dxa"/>
          </w:tcPr>
          <w:p w14:paraId="71786BAC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3C79880" w14:textId="44CC8766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3-[(4-methoxy-2-methylidene-4-oxidanylidene-butanoyl)amino]-2-oxidanyl-3-phenyl-propanoyl]oxy-10,14,16,16-tetramethyl-1,9,12-tris(oxidanyl)-11-oxidanylidene-6-oxatetracyclo[11.3.1.0^{3,10}.0^{4,7}]heptadec-13-en-2-yl] benzoate</w:t>
            </w:r>
          </w:p>
        </w:tc>
        <w:tc>
          <w:tcPr>
            <w:tcW w:w="3637" w:type="dxa"/>
          </w:tcPr>
          <w:p w14:paraId="0B323973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Prota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E.,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Lucena-Agell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D., Ma, Y., Estevez-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Gallego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J., Li,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Bargsten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K.,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Josa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-Prado, F.,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Altmann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K. H., Gaillard, N.,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Kamimura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Mühlethaler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T.,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Gago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F., Oliva, M. A., Steinmetz, M. O., Fang, W. S.,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Díaz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 F. (2023). Structural insight into the stabilization of microtubules by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taxanes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eLife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12, e84791. https://doi.org/10.7554/eLife.84791</w:t>
            </w:r>
          </w:p>
        </w:tc>
      </w:tr>
      <w:tr w:rsidR="00C82703" w:rsidRPr="00C82703" w14:paraId="6F835E27" w14:textId="77777777" w:rsidTr="28F73E17">
        <w:tc>
          <w:tcPr>
            <w:tcW w:w="895" w:type="dxa"/>
          </w:tcPr>
          <w:p w14:paraId="4C643E3E" w14:textId="77777777" w:rsidR="00C82703" w:rsidRPr="00C82703" w:rsidRDefault="00C82703" w:rsidP="00C82703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37" w:type="dxa"/>
          </w:tcPr>
          <w:p w14:paraId="3CB4A2A5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sphinxolide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b</w:t>
            </w:r>
          </w:p>
        </w:tc>
        <w:tc>
          <w:tcPr>
            <w:tcW w:w="3637" w:type="dxa"/>
          </w:tcPr>
          <w:p w14:paraId="78D070C6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Zhang, X.,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Minale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L.,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Zampella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&amp; Smith, C. D. (1997). Microfilament depletion and circumvention of multiple drug resistance by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sphinxolides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 Cancer research, 57(17), 3751–3758.</w:t>
            </w:r>
          </w:p>
        </w:tc>
      </w:tr>
    </w:tbl>
    <w:p w14:paraId="1D09E39F" w14:textId="669BE95E" w:rsidR="00697857" w:rsidRDefault="00697857" w:rsidP="00402A11"/>
    <w:p w14:paraId="6D430F91" w14:textId="77777777" w:rsidR="00402A11" w:rsidRPr="00402A11" w:rsidRDefault="00CC4A44" w:rsidP="00402A1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r w:rsidR="00402A11" w:rsidRPr="00402A11">
        <w:rPr>
          <w:rFonts w:ascii="Times New Roman" w:hAnsi="Times New Roman" w:cs="Times New Roman"/>
          <w:b/>
          <w:sz w:val="24"/>
        </w:rPr>
        <w:t xml:space="preserve">Table </w:t>
      </w:r>
      <w:r w:rsidR="00402A11">
        <w:rPr>
          <w:rFonts w:ascii="Times New Roman" w:hAnsi="Times New Roman" w:cs="Times New Roman"/>
          <w:b/>
          <w:sz w:val="24"/>
        </w:rPr>
        <w:t>2</w:t>
      </w:r>
      <w:r w:rsidR="00402A11" w:rsidRPr="00402A11">
        <w:rPr>
          <w:rFonts w:ascii="Times New Roman" w:hAnsi="Times New Roman" w:cs="Times New Roman"/>
          <w:b/>
          <w:sz w:val="24"/>
        </w:rPr>
        <w:t xml:space="preserve">. List of Drugs for </w:t>
      </w:r>
      <w:r w:rsidR="00402A11">
        <w:rPr>
          <w:rFonts w:ascii="Times New Roman" w:hAnsi="Times New Roman" w:cs="Times New Roman"/>
          <w:b/>
          <w:sz w:val="24"/>
        </w:rPr>
        <w:t>in</w:t>
      </w:r>
      <w:r w:rsidR="00402A11" w:rsidRPr="00402A11">
        <w:rPr>
          <w:rFonts w:ascii="Times New Roman" w:hAnsi="Times New Roman" w:cs="Times New Roman"/>
          <w:b/>
          <w:sz w:val="24"/>
        </w:rPr>
        <w:t>active training Dataset</w:t>
      </w:r>
    </w:p>
    <w:tbl>
      <w:tblPr>
        <w:tblStyle w:val="TableGrid2"/>
        <w:tblW w:w="10060" w:type="dxa"/>
        <w:tblLook w:val="04A0" w:firstRow="1" w:lastRow="0" w:firstColumn="1" w:lastColumn="0" w:noHBand="0" w:noVBand="1"/>
      </w:tblPr>
      <w:tblGrid>
        <w:gridCol w:w="885"/>
        <w:gridCol w:w="2865"/>
        <w:gridCol w:w="6310"/>
      </w:tblGrid>
      <w:tr w:rsidR="00C82703" w:rsidRPr="00C82703" w14:paraId="2D39B6C8" w14:textId="77777777" w:rsidTr="28F73E17">
        <w:tc>
          <w:tcPr>
            <w:tcW w:w="885" w:type="dxa"/>
          </w:tcPr>
          <w:p w14:paraId="44DD68FA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Sr.No</w:t>
            </w:r>
            <w:proofErr w:type="spellEnd"/>
            <w:r w:rsidRPr="00C82703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2865" w:type="dxa"/>
          </w:tcPr>
          <w:p w14:paraId="7D1119EE" w14:textId="59491F80" w:rsidR="00C82703" w:rsidRPr="00C82703" w:rsidRDefault="00C82703" w:rsidP="43DAA5C6">
            <w:pPr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43DAA5C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Inactive Drugs Targeting Non-</w:t>
            </w:r>
            <w:r w:rsidR="641D2D38" w:rsidRPr="43DAA5C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Taxol</w:t>
            </w:r>
            <w:r w:rsidRPr="43DAA5C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 Site:</w:t>
            </w:r>
          </w:p>
        </w:tc>
        <w:tc>
          <w:tcPr>
            <w:tcW w:w="6310" w:type="dxa"/>
          </w:tcPr>
          <w:p w14:paraId="141CBADF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References</w:t>
            </w:r>
          </w:p>
        </w:tc>
      </w:tr>
      <w:tr w:rsidR="00C82703" w:rsidRPr="00C82703" w14:paraId="75565ABE" w14:textId="77777777" w:rsidTr="28F73E17">
        <w:tc>
          <w:tcPr>
            <w:tcW w:w="885" w:type="dxa"/>
          </w:tcPr>
          <w:p w14:paraId="1A25F239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3CCA26D6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Vinblastine</w:t>
            </w:r>
          </w:p>
        </w:tc>
        <w:tc>
          <w:tcPr>
            <w:tcW w:w="6310" w:type="dxa"/>
          </w:tcPr>
          <w:p w14:paraId="3240A713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Wang, Y. N., Wang, Y. Y., Wang, J., Bai, W. J., Miao, N. J., &amp; Wang, J. (2023). Vinblastine resets tumor-associated macrophages toward M1 phenotype and promotes antitumor immune response. Journal for immunotherapy of cancer, 11(8), e007253. https://doi.org/10.1136/jitc-2023-007253</w:t>
            </w:r>
          </w:p>
        </w:tc>
      </w:tr>
      <w:tr w:rsidR="00C82703" w:rsidRPr="00C82703" w14:paraId="65B975D6" w14:textId="77777777" w:rsidTr="28F73E17">
        <w:tc>
          <w:tcPr>
            <w:tcW w:w="885" w:type="dxa"/>
          </w:tcPr>
          <w:p w14:paraId="0CE418DF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259AE19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Vincristine</w:t>
            </w:r>
          </w:p>
        </w:tc>
        <w:tc>
          <w:tcPr>
            <w:tcW w:w="6310" w:type="dxa"/>
          </w:tcPr>
          <w:p w14:paraId="41CCB7F1" w14:textId="77777777" w:rsidR="00C82703" w:rsidRPr="00C82703" w:rsidRDefault="5FFAC42B" w:rsidP="663DA31E">
            <w:pPr>
              <w:tabs>
                <w:tab w:val="left" w:pos="1440"/>
              </w:tabs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Finkel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H. E. (1967). Vincristine therapy. New York state journal of medicine, 67(18), 2474–2478.</w:t>
            </w:r>
          </w:p>
        </w:tc>
      </w:tr>
      <w:tr w:rsidR="00C82703" w:rsidRPr="00C82703" w14:paraId="5927A150" w14:textId="77777777" w:rsidTr="28F73E17">
        <w:tc>
          <w:tcPr>
            <w:tcW w:w="885" w:type="dxa"/>
          </w:tcPr>
          <w:p w14:paraId="16EA720E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3B26385C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Vinorelbine</w:t>
            </w:r>
            <w:proofErr w:type="spellEnd"/>
          </w:p>
        </w:tc>
        <w:tc>
          <w:tcPr>
            <w:tcW w:w="6310" w:type="dxa"/>
          </w:tcPr>
          <w:p w14:paraId="444D00E1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Capasso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A. (2012).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Vinorelbine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in cancer therapy. Current drug targets, 13(8), 1065–1071. https://doi.org/10.2174/138945012802009017</w:t>
            </w:r>
          </w:p>
        </w:tc>
      </w:tr>
      <w:tr w:rsidR="00C82703" w:rsidRPr="00C82703" w14:paraId="21A56004" w14:textId="77777777" w:rsidTr="28F73E17">
        <w:tc>
          <w:tcPr>
            <w:tcW w:w="885" w:type="dxa"/>
          </w:tcPr>
          <w:p w14:paraId="60645147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038EFB1F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Estramustine</w:t>
            </w:r>
            <w:proofErr w:type="spellEnd"/>
          </w:p>
        </w:tc>
        <w:tc>
          <w:tcPr>
            <w:tcW w:w="6310" w:type="dxa"/>
          </w:tcPr>
          <w:p w14:paraId="1F447E13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Sangrajrang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Calvo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F.,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Fellous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(1999).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Estramustine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resistance. General pharmacology, 33(2), 107–113. https://doi.org/10.1016/s0306-3623(98)00272-9</w:t>
            </w:r>
          </w:p>
        </w:tc>
      </w:tr>
      <w:tr w:rsidR="00C82703" w:rsidRPr="00C82703" w14:paraId="676AB40B" w14:textId="77777777" w:rsidTr="28F73E17">
        <w:tc>
          <w:tcPr>
            <w:tcW w:w="885" w:type="dxa"/>
          </w:tcPr>
          <w:p w14:paraId="60614D5F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0FE22023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Vindesine</w:t>
            </w:r>
            <w:proofErr w:type="spellEnd"/>
          </w:p>
        </w:tc>
        <w:tc>
          <w:tcPr>
            <w:tcW w:w="6310" w:type="dxa"/>
          </w:tcPr>
          <w:p w14:paraId="70F7A465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Gökbuget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N.,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Hoelzer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 (1997).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Vindesine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in the treatment of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leukaemia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 Leukemia &amp; lymphoma, 26(5-6), 497–506. https://doi.org/10.3109/10428199709050886</w:t>
            </w:r>
          </w:p>
        </w:tc>
      </w:tr>
      <w:tr w:rsidR="00C82703" w:rsidRPr="00C82703" w14:paraId="4C961AD6" w14:textId="77777777" w:rsidTr="28F73E17">
        <w:tc>
          <w:tcPr>
            <w:tcW w:w="885" w:type="dxa"/>
          </w:tcPr>
          <w:p w14:paraId="038A05DB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610F5FB3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Triazolopyrimidine</w:t>
            </w:r>
            <w:proofErr w:type="spellEnd"/>
          </w:p>
        </w:tc>
        <w:tc>
          <w:tcPr>
            <w:tcW w:w="6310" w:type="dxa"/>
          </w:tcPr>
          <w:p w14:paraId="25D73843" w14:textId="77777777" w:rsidR="00C82703" w:rsidRPr="00C82703" w:rsidRDefault="00C82703" w:rsidP="663DA31E">
            <w:pPr>
              <w:tabs>
                <w:tab w:val="left" w:pos="1077"/>
              </w:tabs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highlight w:val="yellow"/>
                <w:lang w:val="en-US"/>
                <w14:ligatures w14:val="none"/>
              </w:rPr>
              <w:tab/>
            </w:r>
            <w:proofErr w:type="spellStart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Felicetti</w:t>
            </w:r>
            <w:proofErr w:type="spellEnd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T., </w:t>
            </w:r>
            <w:proofErr w:type="spellStart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Pismataro</w:t>
            </w:r>
            <w:proofErr w:type="spellEnd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 C., </w:t>
            </w:r>
            <w:proofErr w:type="spellStart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Cecchetti</w:t>
            </w:r>
            <w:proofErr w:type="spellEnd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V., </w:t>
            </w:r>
            <w:proofErr w:type="spellStart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Tabarrini</w:t>
            </w:r>
            <w:proofErr w:type="spellEnd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O., &amp; </w:t>
            </w:r>
            <w:proofErr w:type="spellStart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Massari</w:t>
            </w:r>
            <w:proofErr w:type="spellEnd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 (2022). </w:t>
            </w:r>
            <w:proofErr w:type="spellStart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Triazolopyrimidine</w:t>
            </w:r>
            <w:proofErr w:type="spellEnd"/>
            <w:r w:rsidR="5FFAC42B"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Nuclei: Privileged Scaffolds for Developing Antiviral Agents with a Proper Pharmacokinetic Profile. Current medicinal chemistry, 29(8), 1379–1407. https://doi.org/10.2174/0929867328666210526120534</w:t>
            </w:r>
          </w:p>
        </w:tc>
      </w:tr>
      <w:tr w:rsidR="00C82703" w:rsidRPr="00C82703" w14:paraId="005B9321" w14:textId="77777777" w:rsidTr="28F73E17">
        <w:tc>
          <w:tcPr>
            <w:tcW w:w="885" w:type="dxa"/>
          </w:tcPr>
          <w:p w14:paraId="35905BEF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7E23B1A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Cevipabulin</w:t>
            </w:r>
            <w:proofErr w:type="spellEnd"/>
          </w:p>
        </w:tc>
        <w:tc>
          <w:tcPr>
            <w:tcW w:w="6310" w:type="dxa"/>
          </w:tcPr>
          <w:p w14:paraId="3A62EE45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Nasrin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 R.,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Rashedul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Kabir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M.,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Konagaya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Ishihara, T.,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Sada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K., &amp; Kakugo, A. (2019). Stabilization of microtubules by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cevipabulin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 Biochemical and biophysical research communications, 516(3), 760–764. https://doi.org/10.1016/j.bbrc.2019.06.095</w:t>
            </w:r>
          </w:p>
        </w:tc>
      </w:tr>
      <w:tr w:rsidR="00C82703" w:rsidRPr="00C82703" w14:paraId="0898B7DD" w14:textId="77777777" w:rsidTr="28F73E17">
        <w:tc>
          <w:tcPr>
            <w:tcW w:w="885" w:type="dxa"/>
          </w:tcPr>
          <w:p w14:paraId="54280618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1E7EADE6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Cryptophycin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52</w:t>
            </w:r>
          </w:p>
        </w:tc>
        <w:tc>
          <w:tcPr>
            <w:tcW w:w="6310" w:type="dxa"/>
          </w:tcPr>
          <w:p w14:paraId="7CE216FC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Eren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E., Watts, N. R.,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Sackett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D. L., &amp; Wingfield, P. T. (2021). Conformational changes in tubulin upon binding cryptophycin-52 reveal its mechanism of action. The Journal of biological chemistry, 297(4), 101138. https://doi.org/10.1016/j.jbc.2021.101138</w:t>
            </w:r>
          </w:p>
        </w:tc>
      </w:tr>
      <w:tr w:rsidR="00C82703" w:rsidRPr="00C82703" w14:paraId="4B5BFFF1" w14:textId="77777777" w:rsidTr="28F73E17">
        <w:tc>
          <w:tcPr>
            <w:tcW w:w="885" w:type="dxa"/>
          </w:tcPr>
          <w:p w14:paraId="65D24591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4EC3B2ED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Cemadotin</w:t>
            </w:r>
            <w:proofErr w:type="spellEnd"/>
          </w:p>
        </w:tc>
        <w:tc>
          <w:tcPr>
            <w:tcW w:w="6310" w:type="dxa"/>
          </w:tcPr>
          <w:p w14:paraId="44B4137A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Jordan, M. A., Walker, D., de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Arruda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Barlozzari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T., &amp; Panda, D. (1998). Suppression of microtubule dynamics by binding of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cemadotin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to tubulin: possible mechanism for its antitumor action. Biochemistry, 37(50), 17571–17578. https://doi.org/10.1021/bi9817414</w:t>
            </w:r>
          </w:p>
        </w:tc>
      </w:tr>
      <w:tr w:rsidR="00C82703" w:rsidRPr="00C82703" w14:paraId="107FCDCA" w14:textId="77777777" w:rsidTr="28F73E17">
        <w:tc>
          <w:tcPr>
            <w:tcW w:w="885" w:type="dxa"/>
          </w:tcPr>
          <w:p w14:paraId="2376AB7A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1A9D228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Dolastatins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(TZT-1027, 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Tasidotin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6310" w:type="dxa"/>
          </w:tcPr>
          <w:p w14:paraId="1941E877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Pettit G. R. (1997). The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dolastatins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Fortschritte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der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Chemie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organischer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Naturstoffe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= Progress in the chemistry of organic natural products.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Progres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dans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la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chimie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des substances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organiques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naturelles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70, 1–79. https://doi.org/10.1007/978-3-7091-6551-5_1</w:t>
            </w:r>
          </w:p>
        </w:tc>
      </w:tr>
      <w:tr w:rsidR="00C82703" w:rsidRPr="00C82703" w14:paraId="6C45B613" w14:textId="77777777" w:rsidTr="28F73E17">
        <w:tc>
          <w:tcPr>
            <w:tcW w:w="885" w:type="dxa"/>
          </w:tcPr>
          <w:p w14:paraId="12066679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1A95EA41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Hemiasterlins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(HTI-286) </w:t>
            </w:r>
          </w:p>
        </w:tc>
        <w:tc>
          <w:tcPr>
            <w:tcW w:w="6310" w:type="dxa"/>
          </w:tcPr>
          <w:p w14:paraId="04487F3B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Gamble, W. R.,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Durso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N. A., Fuller, R. W.,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Westergaard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C. K., Johnson, T. R.,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Sackett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 L., Hamel, E.,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Cardellina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 H., 2nd, &amp; Boyd, M. R. (1999). Cytotoxic and tubulin-interactive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hemiasterlins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from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Auletta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sp. and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Siphonochalina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spp. sponges. Bioorganic &amp; medicinal chemistry, 7(8), 1611–1615. https://doi.org/10.1016/s0968-0896(99)00089-9</w:t>
            </w:r>
          </w:p>
        </w:tc>
      </w:tr>
      <w:tr w:rsidR="00C82703" w:rsidRPr="00C82703" w14:paraId="58922608" w14:textId="77777777" w:rsidTr="28F73E17">
        <w:tc>
          <w:tcPr>
            <w:tcW w:w="885" w:type="dxa"/>
          </w:tcPr>
          <w:p w14:paraId="4966E738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0BC133FA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Vinflunine</w:t>
            </w:r>
            <w:proofErr w:type="spellEnd"/>
          </w:p>
        </w:tc>
        <w:tc>
          <w:tcPr>
            <w:tcW w:w="6310" w:type="dxa"/>
          </w:tcPr>
          <w:p w14:paraId="0DF3AF20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Vinflunine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(2011).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Prescrire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international, 20(112), 11–13.</w:t>
            </w:r>
          </w:p>
        </w:tc>
      </w:tr>
      <w:tr w:rsidR="00C82703" w:rsidRPr="00C82703" w14:paraId="584033F2" w14:textId="77777777" w:rsidTr="28F73E17">
        <w:tc>
          <w:tcPr>
            <w:tcW w:w="885" w:type="dxa"/>
          </w:tcPr>
          <w:p w14:paraId="79C9DEB7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5071FC3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Eribulin</w:t>
            </w:r>
            <w:proofErr w:type="spellEnd"/>
          </w:p>
        </w:tc>
        <w:tc>
          <w:tcPr>
            <w:tcW w:w="6310" w:type="dxa"/>
          </w:tcPr>
          <w:p w14:paraId="3FE53C1E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Schöffski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P., Chawla, S., Maki, R. G.,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Italiano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Gelderblom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H., Choy, E.,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Grignani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G., Camargo, V., Bauer,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Rha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 Y.,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Blay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 Y.,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Hohenberger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P.,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D'Adamo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Guo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M., Chmielowski, B., Le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Cesne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Demetri, G. D., &amp; Patel, S. R. (2016).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Eribulin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versus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dacarbazine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in previously treated patients with advanced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liposarcoma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or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leiomyosarcoma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a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randomised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open-label,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multicentre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phase 3 trial. Lancet (London, England), 387(10028), 1629–1637. https://doi.org/10.1016/S0140-6736(15)01283-0</w:t>
            </w:r>
          </w:p>
        </w:tc>
      </w:tr>
      <w:tr w:rsidR="00C82703" w:rsidRPr="00C82703" w14:paraId="6B251FE7" w14:textId="77777777" w:rsidTr="28F73E17">
        <w:tc>
          <w:tcPr>
            <w:tcW w:w="885" w:type="dxa"/>
          </w:tcPr>
          <w:p w14:paraId="3215BE14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0729E61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Mertansine</w:t>
            </w:r>
            <w:proofErr w:type="spellEnd"/>
          </w:p>
        </w:tc>
        <w:tc>
          <w:tcPr>
            <w:tcW w:w="6310" w:type="dxa"/>
          </w:tcPr>
          <w:p w14:paraId="6D6C3473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von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Minckwitz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G., Huang, C. S., Mano, M.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Loibl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Mamounas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E. P.,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Untch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Wolmark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N.,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Rastogi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P.,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Schneeweiss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Redondo, A., Fischer, H. H.,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Jacot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W.,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Conlin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K., Arce-Salinas, C.,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Wapnir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I. L.,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Jackisch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C.,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DiGiovanna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 P.,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Fasching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P. A., Crown, J. P.,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Wülfing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P., … KATHERINE Investigators (2019).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Trastuzumab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Emtansine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for Residual Invasive HER2-Positive Breast Cancer. The New England journal of medicine, 380(7), 617–628. https://doi.org/10.1056/NEJMoa1814017</w:t>
            </w:r>
          </w:p>
        </w:tc>
      </w:tr>
      <w:tr w:rsidR="00C82703" w:rsidRPr="00C82703" w14:paraId="7C9F9A8A" w14:textId="77777777" w:rsidTr="28F73E17">
        <w:tc>
          <w:tcPr>
            <w:tcW w:w="885" w:type="dxa"/>
          </w:tcPr>
          <w:p w14:paraId="0A45D223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339B4DE0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Colchicine </w:t>
            </w:r>
          </w:p>
        </w:tc>
        <w:tc>
          <w:tcPr>
            <w:tcW w:w="6310" w:type="dxa"/>
          </w:tcPr>
          <w:p w14:paraId="680756F3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Buckley, L. F., &amp; Libby, P. (2024). Colchicine's Role in Cardiovascular Disease Management. Arteriosclerosis, thrombosis, and vascular biology, 44(5), 1031–1041. https://doi.org/10.1161/ATVBAHA.124.319851</w:t>
            </w:r>
          </w:p>
        </w:tc>
      </w:tr>
      <w:tr w:rsidR="00C82703" w:rsidRPr="00C82703" w14:paraId="1F79DD7C" w14:textId="77777777" w:rsidTr="28F73E17">
        <w:tc>
          <w:tcPr>
            <w:tcW w:w="885" w:type="dxa"/>
          </w:tcPr>
          <w:p w14:paraId="11F8A06A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0A2EB4CA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Combretastatins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(AVE8062. CA-1-P, CA-4-P</w:t>
            </w:r>
          </w:p>
        </w:tc>
        <w:tc>
          <w:tcPr>
            <w:tcW w:w="6310" w:type="dxa"/>
          </w:tcPr>
          <w:p w14:paraId="3CDA584A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Karatoprak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G. Ş.,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Küpeli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Akkol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E.,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Genç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Y.,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Bardakci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H.,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Yücel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Ç.,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Sobarzo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-Sánchez, E. (2020).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Combretastatins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 An Overview of Structure, Probable Mechanisms of Action and Potential Applications. Molecules (Basel, Switzerland), 25(11), 2560. https://doi.org/10.3390/molecules25112560</w:t>
            </w:r>
          </w:p>
        </w:tc>
      </w:tr>
      <w:tr w:rsidR="00C82703" w:rsidRPr="00C82703" w14:paraId="48DF8B62" w14:textId="77777777" w:rsidTr="28F73E17">
        <w:tc>
          <w:tcPr>
            <w:tcW w:w="885" w:type="dxa"/>
          </w:tcPr>
          <w:p w14:paraId="2132A648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2F21CF88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Fosbretabulin</w:t>
            </w:r>
            <w:proofErr w:type="spellEnd"/>
          </w:p>
        </w:tc>
        <w:tc>
          <w:tcPr>
            <w:tcW w:w="6310" w:type="dxa"/>
          </w:tcPr>
          <w:p w14:paraId="3F2350CD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Granata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R.,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Locati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L. D.,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Licitra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L. (2014).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Fosbretabulin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for the treatment of anaplastic thyroid cancer. Future oncology (London, England), 10(13), 2015–2021. https://doi.org/10.2217/fon.14.154</w:t>
            </w:r>
          </w:p>
        </w:tc>
      </w:tr>
      <w:tr w:rsidR="00C82703" w:rsidRPr="00C82703" w14:paraId="1EF4931A" w14:textId="77777777" w:rsidTr="28F73E17">
        <w:tc>
          <w:tcPr>
            <w:tcW w:w="885" w:type="dxa"/>
          </w:tcPr>
          <w:p w14:paraId="42F3104F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01C57B26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Verubulin</w:t>
            </w:r>
            <w:proofErr w:type="spellEnd"/>
          </w:p>
        </w:tc>
        <w:tc>
          <w:tcPr>
            <w:tcW w:w="6310" w:type="dxa"/>
          </w:tcPr>
          <w:p w14:paraId="1012091F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Lindberg, A.,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Mossine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V.,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Aliaga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Hopewell, R.,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Massarweh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G., Rosa-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Neto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P., Shao, X., Bernard-Gauthier, V., Scott, P. J. H.,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Vasdev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N. (2021). Preliminary Evaluations of [11</w:t>
            </w:r>
            <w:proofErr w:type="gram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C]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Verubulin</w:t>
            </w:r>
            <w:proofErr w:type="spellEnd"/>
            <w:proofErr w:type="gram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 Implications for Microtubule Imaging With PET. Frontiers in neuroscience, 15, 725873. https://doi.org/10.3389/fnins.2021.725873</w:t>
            </w:r>
          </w:p>
        </w:tc>
      </w:tr>
      <w:tr w:rsidR="00C82703" w:rsidRPr="00C82703" w14:paraId="66ECD8EC" w14:textId="77777777" w:rsidTr="28F73E17">
        <w:tc>
          <w:tcPr>
            <w:tcW w:w="885" w:type="dxa"/>
          </w:tcPr>
          <w:p w14:paraId="27BC16B3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75BFAB17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Crolibulin</w:t>
            </w:r>
            <w:proofErr w:type="spellEnd"/>
          </w:p>
        </w:tc>
        <w:tc>
          <w:tcPr>
            <w:tcW w:w="6310" w:type="dxa"/>
          </w:tcPr>
          <w:p w14:paraId="551377EE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 xml:space="preserve">Zhang Z, Wang C, Ma L, Jiang X, Wu C, Wang Y, Jiang Y, Zheng W, Yang Y, Ma Y, Yang J. Molecular mechanism of </w:t>
            </w:r>
            <w:proofErr w:type="spellStart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>crolibulin</w:t>
            </w:r>
            <w:proofErr w:type="spellEnd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 xml:space="preserve"> in complex with tubulin provides a rationale for drug design. </w:t>
            </w:r>
            <w:proofErr w:type="spellStart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>Biochem</w:t>
            </w:r>
            <w:proofErr w:type="spellEnd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 xml:space="preserve"> </w:t>
            </w:r>
            <w:proofErr w:type="spellStart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>Biophys</w:t>
            </w:r>
            <w:proofErr w:type="spellEnd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 xml:space="preserve"> Res </w:t>
            </w:r>
            <w:proofErr w:type="spellStart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>Commun</w:t>
            </w:r>
            <w:proofErr w:type="spellEnd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 xml:space="preserve">. 2019 Apr 2;511(2):381-386. </w:t>
            </w:r>
            <w:proofErr w:type="spellStart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>doi</w:t>
            </w:r>
            <w:proofErr w:type="spellEnd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 xml:space="preserve">: 10.1016/j.bbrc.2019.02.064. </w:t>
            </w:r>
            <w:proofErr w:type="spellStart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>Epub</w:t>
            </w:r>
            <w:proofErr w:type="spellEnd"/>
            <w:r w:rsidRPr="663DA31E">
              <w:rPr>
                <w:rFonts w:ascii="Segoe UI" w:hAnsi="Segoe UI" w:cs="Segoe UI"/>
                <w:color w:val="212121"/>
                <w:kern w:val="0"/>
                <w:shd w:val="clear" w:color="auto" w:fill="FFFFFF"/>
                <w:lang w:val="en-US"/>
                <w14:ligatures w14:val="none"/>
              </w:rPr>
              <w:t xml:space="preserve"> 2019 Feb 22. PMID: 30803758.</w:t>
            </w:r>
          </w:p>
        </w:tc>
      </w:tr>
      <w:tr w:rsidR="00C82703" w:rsidRPr="00C82703" w14:paraId="0B942FE9" w14:textId="77777777" w:rsidTr="28F73E17">
        <w:tc>
          <w:tcPr>
            <w:tcW w:w="885" w:type="dxa"/>
          </w:tcPr>
          <w:p w14:paraId="274AD26B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7C770FEF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Ombrabulin</w:t>
            </w:r>
            <w:proofErr w:type="spellEnd"/>
          </w:p>
        </w:tc>
        <w:tc>
          <w:tcPr>
            <w:tcW w:w="6310" w:type="dxa"/>
          </w:tcPr>
          <w:p w14:paraId="7EAB4572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Blay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J. Y.,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Pápai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Z.,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Tolcher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W.,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Italiano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Cupissol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López-Pousa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A., Chawla, S. P.,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Bompas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E.,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Babovic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N.,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Penel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N.,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Isambert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N., Staddon, A. P.,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Saâda-Bouzid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E., Santoro, A., Franke, F. A., Cohen, P., Le-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Guennec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&amp; Demetri, G. D. (2015).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Ombrabulin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plus cisplatin versus placebo plus cisplatin in patients with advanced soft-tissue sarcomas after failure of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anthracycline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and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ifosfamide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chemotherapy: a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randomised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double-blind, placebo-controlled, phase 3 trial. The Lancet. Oncology, 16(5), 531–540. https://doi.org/10.1016/S1470-2045(15)70102-6</w:t>
            </w:r>
          </w:p>
        </w:tc>
      </w:tr>
      <w:tr w:rsidR="00C82703" w:rsidRPr="00C82703" w14:paraId="5BC609A6" w14:textId="77777777" w:rsidTr="28F73E17">
        <w:tc>
          <w:tcPr>
            <w:tcW w:w="885" w:type="dxa"/>
          </w:tcPr>
          <w:p w14:paraId="4EFEBD1C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1DA9AF3E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2-Methoxyestradiol</w:t>
            </w:r>
          </w:p>
        </w:tc>
        <w:tc>
          <w:tcPr>
            <w:tcW w:w="6310" w:type="dxa"/>
          </w:tcPr>
          <w:p w14:paraId="11B4AFB9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Kim, J. H., Nam, J. K., Kim, A. R., Park, M. S., Lee, H. J., Park, J., Kim, J., &amp; Lee, Y. J. (2022). 2-Methoxyestradiol Inhibits Radiation-Induced Skin Injuries. International journal of molecular sciences, 23(8), 4171. https://doi.org/10.3390/ijms23084171</w:t>
            </w:r>
          </w:p>
        </w:tc>
      </w:tr>
      <w:tr w:rsidR="00C82703" w:rsidRPr="00C82703" w14:paraId="5DC959A5" w14:textId="77777777" w:rsidTr="28F73E17">
        <w:tc>
          <w:tcPr>
            <w:tcW w:w="885" w:type="dxa"/>
          </w:tcPr>
          <w:p w14:paraId="576CFD0B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0B3483BD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Methoxybenzene</w:t>
            </w:r>
            <w:proofErr w:type="spellEnd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-sulfonamide (ABT-751, E7010) </w:t>
            </w:r>
          </w:p>
        </w:tc>
        <w:tc>
          <w:tcPr>
            <w:tcW w:w="6310" w:type="dxa"/>
          </w:tcPr>
          <w:p w14:paraId="78AE9CFC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Kasawar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G. B.,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Farooqui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M. N. (2009). Stability Indicating HPLC Method for the Determination of Chiral Purity of R-(-)-5-[2-aminopropyl]-2-methoxybenzene Sulfonamide. Indian journal of pharmaceutical sciences, 71(5), 533–537. https://doi.org/10.4103/0250-474X.58187</w:t>
            </w:r>
          </w:p>
        </w:tc>
      </w:tr>
      <w:tr w:rsidR="00C82703" w:rsidRPr="00C82703" w14:paraId="72669C97" w14:textId="77777777" w:rsidTr="28F73E17">
        <w:tc>
          <w:tcPr>
            <w:tcW w:w="885" w:type="dxa"/>
          </w:tcPr>
          <w:p w14:paraId="1080F094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3D9A04E1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BNC105</w:t>
            </w:r>
          </w:p>
        </w:tc>
        <w:tc>
          <w:tcPr>
            <w:tcW w:w="6310" w:type="dxa"/>
          </w:tcPr>
          <w:p w14:paraId="58B9FE88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Wang, T., Wu, C., Wang, C., Zhang, G.,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Arnst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K. E., Yao, Y., Zhang, Z., Wang, Y., Pu, D., &amp; Li, W. (2020). Unraveling the molecular mechanism of BNC105, a phase II clinical trial vascular disrupting agent, provides insights into drug design. Biochemical and biophysical research communications, S0006-291</w:t>
            </w:r>
            <w:proofErr w:type="gram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X(</w:t>
            </w:r>
            <w:proofErr w:type="gram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20)30008-5. Advance online publication. https://doi.org/10.1016/j.bbrc.2019.12.083</w:t>
            </w:r>
          </w:p>
        </w:tc>
      </w:tr>
      <w:tr w:rsidR="00C82703" w:rsidRPr="00C82703" w14:paraId="54FDA7B4" w14:textId="77777777" w:rsidTr="28F73E17">
        <w:tc>
          <w:tcPr>
            <w:tcW w:w="885" w:type="dxa"/>
          </w:tcPr>
          <w:p w14:paraId="6592505A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39218482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Nocodazole</w:t>
            </w:r>
            <w:proofErr w:type="spellEnd"/>
          </w:p>
        </w:tc>
        <w:tc>
          <w:tcPr>
            <w:tcW w:w="6310" w:type="dxa"/>
          </w:tcPr>
          <w:p w14:paraId="55E533B6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Surani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A., Colombo, S. L., Barlow, G.,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Foulds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G. A.,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Montiel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-Duarte, C. (2021). Optimizing Cell Synchronization Using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Nocodazole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or Double Thymidine Block. Methods in molecular biology (Clifton, N.J.), 2329, 111–121. https://doi.org/10.1007/978-1-0716-1538-6_9</w:t>
            </w:r>
          </w:p>
        </w:tc>
      </w:tr>
      <w:tr w:rsidR="00C82703" w:rsidRPr="00C82703" w14:paraId="24FE998F" w14:textId="77777777" w:rsidTr="28F73E17">
        <w:tc>
          <w:tcPr>
            <w:tcW w:w="885" w:type="dxa"/>
          </w:tcPr>
          <w:p w14:paraId="22179562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7DCAA724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(NPI-2358)-</w:t>
            </w: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Plinabulin</w:t>
            </w:r>
            <w:proofErr w:type="spellEnd"/>
          </w:p>
        </w:tc>
        <w:tc>
          <w:tcPr>
            <w:tcW w:w="6310" w:type="dxa"/>
          </w:tcPr>
          <w:p w14:paraId="627B0869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Al-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Shakliah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N.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Kadi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A., Al-Salahi, R., &amp; Rahman, A. F. M. M. (2022). In Vitro Identification of Potential Metabolites of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Plinabulin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(NPI 2358) in Hepatic Preparations Using Liquid Chromatography-Ion Trap Mass Spectrometry. ACS omega, 7(25), 21465–21472. https://doi.org/10.1021/acsomega.2c00929</w:t>
            </w:r>
          </w:p>
        </w:tc>
      </w:tr>
      <w:tr w:rsidR="00C82703" w:rsidRPr="00C82703" w14:paraId="1D7F253A" w14:textId="77777777" w:rsidTr="28F73E17">
        <w:tc>
          <w:tcPr>
            <w:tcW w:w="885" w:type="dxa"/>
          </w:tcPr>
          <w:p w14:paraId="5655CEA0" w14:textId="77777777" w:rsidR="00C82703" w:rsidRPr="00C82703" w:rsidRDefault="00C82703" w:rsidP="00C8270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865" w:type="dxa"/>
          </w:tcPr>
          <w:p w14:paraId="34E4BB80" w14:textId="77777777" w:rsidR="00C82703" w:rsidRPr="00C82703" w:rsidRDefault="00C82703" w:rsidP="00C82703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82703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Indanocine</w:t>
            </w:r>
            <w:proofErr w:type="spellEnd"/>
          </w:p>
        </w:tc>
        <w:tc>
          <w:tcPr>
            <w:tcW w:w="6310" w:type="dxa"/>
          </w:tcPr>
          <w:p w14:paraId="45F9DC24" w14:textId="77777777" w:rsidR="00C82703" w:rsidRPr="00C82703" w:rsidRDefault="5FFAC42B" w:rsidP="663DA31E">
            <w:pPr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Khwaja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Fatima, K., Mishra, D.,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Babu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V., Kumar, Y., Malik, S. B.,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Tabassum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M.,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Luqman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S.,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Bawankule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 U.,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Chanda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D., Khan, F.,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Mondhe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D. M., &amp;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Negi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A. S. (2021). An improved synthesis of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indanocine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and </w:t>
            </w:r>
            <w:proofErr w:type="spellStart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antiproliferative</w:t>
            </w:r>
            <w:proofErr w:type="spellEnd"/>
            <w:r w:rsidRPr="663DA31E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activity of 2-benzylindanocine via microtubule destabilization. Chemical biology &amp; drug design, 98(1), 127–143. https://doi.org/10.1111/cbdd.13857</w:t>
            </w:r>
          </w:p>
        </w:tc>
      </w:tr>
    </w:tbl>
    <w:p w14:paraId="1CBAD187" w14:textId="47DCE340" w:rsidR="00697857" w:rsidRDefault="00697857" w:rsidP="28F73E17">
      <w:pPr>
        <w:jc w:val="center"/>
      </w:pPr>
    </w:p>
    <w:p w14:paraId="734B89B4" w14:textId="2DC39348" w:rsidR="28F73E17" w:rsidRDefault="28F73E17" w:rsidP="28F73E17">
      <w:pPr>
        <w:jc w:val="center"/>
      </w:pPr>
    </w:p>
    <w:p w14:paraId="2B2B745A" w14:textId="7A330D00" w:rsidR="28F73E17" w:rsidRDefault="28F73E17" w:rsidP="28F73E17">
      <w:pPr>
        <w:jc w:val="center"/>
      </w:pPr>
    </w:p>
    <w:p w14:paraId="3BFB40B3" w14:textId="77777777" w:rsidR="00CC4A44" w:rsidRPr="00CC4A44" w:rsidRDefault="00CC4A44" w:rsidP="00CC4A44">
      <w:pPr>
        <w:rPr>
          <w:rFonts w:ascii="Times New Roman" w:hAnsi="Times New Roman" w:cs="Times New Roman"/>
          <w:kern w:val="0"/>
          <w:sz w:val="24"/>
          <w14:ligatures w14:val="none"/>
        </w:rPr>
      </w:pPr>
      <w:r w:rsidRPr="00CC4A44">
        <w:rPr>
          <w:rFonts w:ascii="Times New Roman" w:hAnsi="Times New Roman" w:cs="Times New Roman"/>
          <w:b/>
          <w:sz w:val="24"/>
        </w:rPr>
        <w:t>Supplementary Table 3.</w:t>
      </w:r>
      <w:r w:rsidRPr="00CC4A44">
        <w:rPr>
          <w:rFonts w:ascii="Times New Roman" w:hAnsi="Times New Roman" w:cs="Times New Roman"/>
          <w:sz w:val="24"/>
        </w:rPr>
        <w:t xml:space="preserve"> List of selected 20 Active compounds for machine l</w:t>
      </w:r>
      <w:r>
        <w:rPr>
          <w:rFonts w:ascii="Times New Roman" w:hAnsi="Times New Roman" w:cs="Times New Roman"/>
          <w:sz w:val="24"/>
        </w:rPr>
        <w:t>earning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5"/>
        <w:gridCol w:w="2520"/>
      </w:tblGrid>
      <w:tr w:rsidR="00CC4A44" w:rsidRPr="00697857" w14:paraId="4B4C9C3A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6EC" w14:textId="2BB751EB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b/>
                <w:sz w:val="20"/>
                <w:szCs w:val="20"/>
              </w:rPr>
              <w:t>Sr.</w:t>
            </w:r>
            <w:r w:rsidR="006978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97857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0C0B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b/>
                <w:sz w:val="20"/>
                <w:szCs w:val="20"/>
              </w:rPr>
              <w:t>20 Active Compounds</w:t>
            </w:r>
          </w:p>
        </w:tc>
      </w:tr>
      <w:tr w:rsidR="00CC4A44" w:rsidRPr="00697857" w14:paraId="31CBD9EF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33A8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ZINC02944617</w:t>
            </w:r>
          </w:p>
        </w:tc>
      </w:tr>
      <w:tr w:rsidR="00CC4A44" w:rsidRPr="00697857" w14:paraId="59837722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064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DFB2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ZINC08764924</w:t>
            </w:r>
          </w:p>
        </w:tc>
      </w:tr>
      <w:tr w:rsidR="00CC4A44" w:rsidRPr="00697857" w14:paraId="0E8BEF60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C98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576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ZINC03847075</w:t>
            </w:r>
          </w:p>
        </w:tc>
      </w:tr>
      <w:tr w:rsidR="00CC4A44" w:rsidRPr="00697857" w14:paraId="4460B95B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D003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ZINC08952577</w:t>
            </w:r>
          </w:p>
        </w:tc>
      </w:tr>
      <w:tr w:rsidR="00CC4A44" w:rsidRPr="00697857" w14:paraId="38F6A063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919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E4B5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ZINC04258871</w:t>
            </w:r>
          </w:p>
        </w:tc>
      </w:tr>
      <w:tr w:rsidR="00CC4A44" w:rsidRPr="00697857" w14:paraId="5C64E6BD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F9B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F223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ZINC03841969</w:t>
            </w:r>
          </w:p>
        </w:tc>
      </w:tr>
      <w:tr w:rsidR="00CC4A44" w:rsidRPr="00697857" w14:paraId="2FFED415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8A7A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ZINC12661777</w:t>
            </w:r>
          </w:p>
        </w:tc>
      </w:tr>
      <w:tr w:rsidR="00CC4A44" w:rsidRPr="00697857" w14:paraId="0D68BB12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BC7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ED42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ZINC02147998</w:t>
            </w:r>
          </w:p>
        </w:tc>
      </w:tr>
      <w:tr w:rsidR="00CC4A44" w:rsidRPr="00697857" w14:paraId="3265E3ED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5D1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75A3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ZINC02092587</w:t>
            </w:r>
          </w:p>
        </w:tc>
      </w:tr>
      <w:tr w:rsidR="00CC4A44" w:rsidRPr="00697857" w14:paraId="3E422EC2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4AB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212F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ZINC02104549</w:t>
            </w:r>
          </w:p>
        </w:tc>
      </w:tr>
      <w:tr w:rsidR="00CC4A44" w:rsidRPr="00697857" w14:paraId="753639E5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C6F4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CDAE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ZINC12864260</w:t>
            </w:r>
          </w:p>
        </w:tc>
      </w:tr>
      <w:tr w:rsidR="00CC4A44" w:rsidRPr="00697857" w14:paraId="2E6E1B7F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11A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C716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ZINC08918490</w:t>
            </w:r>
          </w:p>
        </w:tc>
      </w:tr>
      <w:tr w:rsidR="00CC4A44" w:rsidRPr="00697857" w14:paraId="682B7930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7C80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ZINC04073313</w:t>
            </w:r>
          </w:p>
        </w:tc>
      </w:tr>
      <w:tr w:rsidR="00CC4A44" w:rsidRPr="00697857" w14:paraId="0EF31C03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41B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065F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ZINC04073314</w:t>
            </w:r>
          </w:p>
        </w:tc>
      </w:tr>
      <w:tr w:rsidR="00CC4A44" w:rsidRPr="00697857" w14:paraId="65A98210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409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F8F5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ZINC08952607</w:t>
            </w:r>
          </w:p>
        </w:tc>
      </w:tr>
      <w:tr w:rsidR="00CC4A44" w:rsidRPr="00697857" w14:paraId="3FAE0BB3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86D7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ZINC08789098</w:t>
            </w:r>
          </w:p>
        </w:tc>
      </w:tr>
      <w:tr w:rsidR="00CC4A44" w:rsidRPr="00697857" w14:paraId="500A0E68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5AD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6800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ZINC08918146</w:t>
            </w:r>
          </w:p>
        </w:tc>
      </w:tr>
      <w:tr w:rsidR="00CC4A44" w:rsidRPr="00697857" w14:paraId="545F2567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116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E4C3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ZINC08964756</w:t>
            </w:r>
          </w:p>
        </w:tc>
      </w:tr>
      <w:tr w:rsidR="00CC4A44" w:rsidRPr="00697857" w14:paraId="06055DE7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37C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759E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ZINC12889138</w:t>
            </w:r>
          </w:p>
        </w:tc>
      </w:tr>
      <w:tr w:rsidR="00CC4A44" w:rsidRPr="00697857" w14:paraId="4BFBFE77" w14:textId="77777777" w:rsidTr="00697857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30F8" w14:textId="77777777" w:rsidR="00CC4A44" w:rsidRPr="00697857" w:rsidRDefault="00CC4A44" w:rsidP="00CC4A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0CEA" w14:textId="77777777" w:rsidR="00CC4A44" w:rsidRPr="00697857" w:rsidRDefault="00CC4A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ZINC12296715</w:t>
            </w:r>
          </w:p>
        </w:tc>
      </w:tr>
    </w:tbl>
    <w:p w14:paraId="1DA6542E" w14:textId="673A3138" w:rsidR="00CC4A44" w:rsidRDefault="00CC4A44" w:rsidP="00CC4A44">
      <w:pPr>
        <w:rPr>
          <w:lang w:val="en-US"/>
        </w:rPr>
      </w:pPr>
    </w:p>
    <w:p w14:paraId="5FABCFAF" w14:textId="559260EF" w:rsidR="485A4297" w:rsidRDefault="485A4297" w:rsidP="485A4297"/>
    <w:p w14:paraId="65B06ADE" w14:textId="029811FC" w:rsidR="00220962" w:rsidRPr="00DE3BFB" w:rsidRDefault="00DE3BFB" w:rsidP="000D4D30">
      <w:pPr>
        <w:jc w:val="both"/>
        <w:rPr>
          <w:rFonts w:ascii="Times New Roman" w:hAnsi="Times New Roman" w:cs="Times New Roman"/>
          <w:sz w:val="24"/>
          <w:szCs w:val="24"/>
        </w:rPr>
      </w:pPr>
      <w:r w:rsidRPr="6A37BC45">
        <w:rPr>
          <w:rFonts w:ascii="Times New Roman" w:hAnsi="Times New Roman" w:cs="Times New Roman"/>
          <w:b/>
          <w:bCs/>
          <w:sz w:val="24"/>
          <w:szCs w:val="24"/>
        </w:rPr>
        <w:t>Supplementary Movie 1.</w:t>
      </w:r>
      <w:r w:rsidRPr="6A37BC45">
        <w:rPr>
          <w:rFonts w:ascii="Times New Roman" w:hAnsi="Times New Roman" w:cs="Times New Roman"/>
          <w:sz w:val="24"/>
          <w:szCs w:val="24"/>
        </w:rPr>
        <w:t xml:space="preserve"> MD simulation movie of αβ</w:t>
      </w:r>
      <w:r w:rsidRPr="6A37BC45">
        <w:rPr>
          <w:rFonts w:ascii="Times New Roman" w:hAnsi="Times New Roman" w:cs="Times New Roman"/>
          <w:sz w:val="24"/>
          <w:szCs w:val="24"/>
          <w:vertAlign w:val="subscript"/>
        </w:rPr>
        <w:t>III</w:t>
      </w:r>
      <w:r w:rsidRPr="6A37BC45">
        <w:rPr>
          <w:rFonts w:ascii="Times New Roman" w:hAnsi="Times New Roman" w:cs="Times New Roman"/>
          <w:sz w:val="24"/>
          <w:szCs w:val="24"/>
        </w:rPr>
        <w:t xml:space="preserve"> tubulin heterodimer without drug compound in </w:t>
      </w:r>
      <w:r w:rsidR="52330699" w:rsidRPr="6A37BC45">
        <w:rPr>
          <w:rFonts w:ascii="Times New Roman" w:hAnsi="Times New Roman" w:cs="Times New Roman"/>
          <w:sz w:val="24"/>
          <w:szCs w:val="24"/>
        </w:rPr>
        <w:t>Taxol</w:t>
      </w:r>
      <w:r w:rsidRPr="6A37BC45">
        <w:rPr>
          <w:rFonts w:ascii="Times New Roman" w:hAnsi="Times New Roman" w:cs="Times New Roman"/>
          <w:sz w:val="24"/>
          <w:szCs w:val="24"/>
        </w:rPr>
        <w:t xml:space="preserve"> site. The visual molecular dynamics (VMD) software was used create a simulation movie.    </w:t>
      </w:r>
    </w:p>
    <w:p w14:paraId="2BA724F4" w14:textId="12F1B116" w:rsidR="00DE3BFB" w:rsidRDefault="00DE3BFB" w:rsidP="000D4D30">
      <w:pPr>
        <w:jc w:val="both"/>
        <w:rPr>
          <w:rFonts w:ascii="Times New Roman" w:hAnsi="Times New Roman" w:cs="Times New Roman"/>
          <w:sz w:val="24"/>
          <w:szCs w:val="24"/>
        </w:rPr>
      </w:pPr>
      <w:r w:rsidRPr="6A37BC45">
        <w:rPr>
          <w:rFonts w:ascii="Times New Roman" w:hAnsi="Times New Roman" w:cs="Times New Roman"/>
          <w:b/>
          <w:bCs/>
          <w:sz w:val="24"/>
          <w:szCs w:val="24"/>
        </w:rPr>
        <w:t>Supplementary Movie 2.</w:t>
      </w:r>
      <w:r w:rsidRPr="6A37BC45">
        <w:rPr>
          <w:rFonts w:ascii="Times New Roman" w:hAnsi="Times New Roman" w:cs="Times New Roman"/>
          <w:sz w:val="24"/>
          <w:szCs w:val="24"/>
        </w:rPr>
        <w:t xml:space="preserve"> MD simulation movie of αβ</w:t>
      </w:r>
      <w:r w:rsidRPr="6A37BC45">
        <w:rPr>
          <w:rFonts w:ascii="Times New Roman" w:hAnsi="Times New Roman" w:cs="Times New Roman"/>
          <w:sz w:val="24"/>
          <w:szCs w:val="24"/>
          <w:vertAlign w:val="subscript"/>
        </w:rPr>
        <w:t>III</w:t>
      </w:r>
      <w:r w:rsidRPr="6A37BC45">
        <w:rPr>
          <w:rFonts w:ascii="Times New Roman" w:hAnsi="Times New Roman" w:cs="Times New Roman"/>
          <w:sz w:val="24"/>
          <w:szCs w:val="24"/>
        </w:rPr>
        <w:t xml:space="preserve"> tubulin heterodimer with ZINC03847075 compound in </w:t>
      </w:r>
      <w:r w:rsidR="7CCCFCE0" w:rsidRPr="6A37BC45">
        <w:rPr>
          <w:rFonts w:ascii="Times New Roman" w:hAnsi="Times New Roman" w:cs="Times New Roman"/>
          <w:sz w:val="24"/>
          <w:szCs w:val="24"/>
        </w:rPr>
        <w:t>Taxol</w:t>
      </w:r>
      <w:r w:rsidRPr="6A37BC45">
        <w:rPr>
          <w:rFonts w:ascii="Times New Roman" w:hAnsi="Times New Roman" w:cs="Times New Roman"/>
          <w:sz w:val="24"/>
          <w:szCs w:val="24"/>
        </w:rPr>
        <w:t xml:space="preserve"> site. The visual molecular dynamics (VMD) software was used create a simulation movie.    </w:t>
      </w:r>
    </w:p>
    <w:p w14:paraId="71EDE9A3" w14:textId="4C36FC63" w:rsidR="00DE3BFB" w:rsidRDefault="00DE3BFB" w:rsidP="000D4D30">
      <w:pPr>
        <w:jc w:val="both"/>
        <w:rPr>
          <w:rFonts w:ascii="Times New Roman" w:hAnsi="Times New Roman" w:cs="Times New Roman"/>
          <w:sz w:val="24"/>
          <w:szCs w:val="24"/>
        </w:rPr>
      </w:pPr>
      <w:r w:rsidRPr="6A37BC45">
        <w:rPr>
          <w:rFonts w:ascii="Times New Roman" w:hAnsi="Times New Roman" w:cs="Times New Roman"/>
          <w:b/>
          <w:bCs/>
          <w:sz w:val="24"/>
          <w:szCs w:val="24"/>
        </w:rPr>
        <w:t>Supplementary Movie 3.</w:t>
      </w:r>
      <w:r w:rsidRPr="6A37BC45">
        <w:rPr>
          <w:rFonts w:ascii="Times New Roman" w:hAnsi="Times New Roman" w:cs="Times New Roman"/>
          <w:sz w:val="24"/>
          <w:szCs w:val="24"/>
        </w:rPr>
        <w:t xml:space="preserve"> MD simulation movie of αβ</w:t>
      </w:r>
      <w:r w:rsidRPr="6A37BC45">
        <w:rPr>
          <w:rFonts w:ascii="Times New Roman" w:hAnsi="Times New Roman" w:cs="Times New Roman"/>
          <w:sz w:val="24"/>
          <w:szCs w:val="24"/>
          <w:vertAlign w:val="subscript"/>
        </w:rPr>
        <w:t>III</w:t>
      </w:r>
      <w:r w:rsidRPr="6A37BC45">
        <w:rPr>
          <w:rFonts w:ascii="Times New Roman" w:hAnsi="Times New Roman" w:cs="Times New Roman"/>
          <w:sz w:val="24"/>
          <w:szCs w:val="24"/>
        </w:rPr>
        <w:t xml:space="preserve"> tubulin heterodimer with ZINC12889138 compound in </w:t>
      </w:r>
      <w:r w:rsidR="20120FCC" w:rsidRPr="6A37BC45">
        <w:rPr>
          <w:rFonts w:ascii="Times New Roman" w:hAnsi="Times New Roman" w:cs="Times New Roman"/>
          <w:sz w:val="24"/>
          <w:szCs w:val="24"/>
        </w:rPr>
        <w:t>Taxol</w:t>
      </w:r>
      <w:r w:rsidRPr="6A37BC45">
        <w:rPr>
          <w:rFonts w:ascii="Times New Roman" w:hAnsi="Times New Roman" w:cs="Times New Roman"/>
          <w:sz w:val="24"/>
          <w:szCs w:val="24"/>
        </w:rPr>
        <w:t xml:space="preserve"> site. The visual molecular dynamics (VMD) software was used create a simulation movie.    </w:t>
      </w:r>
    </w:p>
    <w:p w14:paraId="419AE3E6" w14:textId="7B27B447" w:rsidR="00DE3BFB" w:rsidRDefault="00DE3BFB" w:rsidP="000D4D30">
      <w:pPr>
        <w:jc w:val="both"/>
        <w:rPr>
          <w:rFonts w:ascii="Times New Roman" w:hAnsi="Times New Roman" w:cs="Times New Roman"/>
          <w:sz w:val="24"/>
          <w:szCs w:val="24"/>
        </w:rPr>
      </w:pPr>
      <w:r w:rsidRPr="6A37BC45">
        <w:rPr>
          <w:rFonts w:ascii="Times New Roman" w:hAnsi="Times New Roman" w:cs="Times New Roman"/>
          <w:b/>
          <w:bCs/>
          <w:sz w:val="24"/>
          <w:szCs w:val="24"/>
        </w:rPr>
        <w:t>Supplementary Movie 4.</w:t>
      </w:r>
      <w:r w:rsidRPr="6A37BC45">
        <w:rPr>
          <w:rFonts w:ascii="Times New Roman" w:hAnsi="Times New Roman" w:cs="Times New Roman"/>
          <w:sz w:val="24"/>
          <w:szCs w:val="24"/>
        </w:rPr>
        <w:t xml:space="preserve"> MD simulation movie of αβ</w:t>
      </w:r>
      <w:r w:rsidRPr="6A37BC45">
        <w:rPr>
          <w:rFonts w:ascii="Times New Roman" w:hAnsi="Times New Roman" w:cs="Times New Roman"/>
          <w:sz w:val="24"/>
          <w:szCs w:val="24"/>
          <w:vertAlign w:val="subscript"/>
        </w:rPr>
        <w:t>III</w:t>
      </w:r>
      <w:r w:rsidRPr="6A37BC45">
        <w:rPr>
          <w:rFonts w:ascii="Times New Roman" w:hAnsi="Times New Roman" w:cs="Times New Roman"/>
          <w:sz w:val="24"/>
          <w:szCs w:val="24"/>
        </w:rPr>
        <w:t xml:space="preserve"> tubulin heterodimer with ZINC08952577 compound in </w:t>
      </w:r>
      <w:r w:rsidR="3FCBC7AD" w:rsidRPr="6A37BC45">
        <w:rPr>
          <w:rFonts w:ascii="Times New Roman" w:hAnsi="Times New Roman" w:cs="Times New Roman"/>
          <w:sz w:val="24"/>
          <w:szCs w:val="24"/>
        </w:rPr>
        <w:t>Taxol</w:t>
      </w:r>
      <w:r w:rsidRPr="6A37BC45">
        <w:rPr>
          <w:rFonts w:ascii="Times New Roman" w:hAnsi="Times New Roman" w:cs="Times New Roman"/>
          <w:sz w:val="24"/>
          <w:szCs w:val="24"/>
        </w:rPr>
        <w:t xml:space="preserve"> site. The visual molecular dynamics (VMD) software was used create a simulation movie.    </w:t>
      </w:r>
    </w:p>
    <w:p w14:paraId="256A1EC0" w14:textId="108074E7" w:rsidR="00DE3BFB" w:rsidRPr="00DE3BFB" w:rsidRDefault="00DE3BFB" w:rsidP="000D4D30">
      <w:pPr>
        <w:jc w:val="both"/>
      </w:pPr>
      <w:r w:rsidRPr="6A37BC45">
        <w:rPr>
          <w:rFonts w:ascii="Times New Roman" w:hAnsi="Times New Roman" w:cs="Times New Roman"/>
          <w:b/>
          <w:bCs/>
          <w:sz w:val="24"/>
          <w:szCs w:val="24"/>
        </w:rPr>
        <w:t>Supplementary Movie 5.</w:t>
      </w:r>
      <w:r w:rsidRPr="6A37BC45">
        <w:rPr>
          <w:rFonts w:ascii="Times New Roman" w:hAnsi="Times New Roman" w:cs="Times New Roman"/>
          <w:sz w:val="24"/>
          <w:szCs w:val="24"/>
        </w:rPr>
        <w:t xml:space="preserve"> MD simulation movie of αβ</w:t>
      </w:r>
      <w:r w:rsidRPr="6A37BC45">
        <w:rPr>
          <w:rFonts w:ascii="Times New Roman" w:hAnsi="Times New Roman" w:cs="Times New Roman"/>
          <w:sz w:val="24"/>
          <w:szCs w:val="24"/>
          <w:vertAlign w:val="subscript"/>
        </w:rPr>
        <w:t>III</w:t>
      </w:r>
      <w:r w:rsidRPr="6A37BC45">
        <w:rPr>
          <w:rFonts w:ascii="Times New Roman" w:hAnsi="Times New Roman" w:cs="Times New Roman"/>
          <w:sz w:val="24"/>
          <w:szCs w:val="24"/>
        </w:rPr>
        <w:t xml:space="preserve"> tubulin heterodimer with ZINC08952607</w:t>
      </w:r>
      <w:r>
        <w:t xml:space="preserve"> </w:t>
      </w:r>
      <w:r w:rsidRPr="6A37BC45">
        <w:rPr>
          <w:rFonts w:ascii="Times New Roman" w:hAnsi="Times New Roman" w:cs="Times New Roman"/>
          <w:sz w:val="24"/>
          <w:szCs w:val="24"/>
        </w:rPr>
        <w:t xml:space="preserve">compound in </w:t>
      </w:r>
      <w:r w:rsidR="090A2A35" w:rsidRPr="6A37BC45">
        <w:rPr>
          <w:rFonts w:ascii="Times New Roman" w:hAnsi="Times New Roman" w:cs="Times New Roman"/>
          <w:sz w:val="24"/>
          <w:szCs w:val="24"/>
        </w:rPr>
        <w:t>Taxol</w:t>
      </w:r>
      <w:r w:rsidRPr="6A37BC45">
        <w:rPr>
          <w:rFonts w:ascii="Times New Roman" w:hAnsi="Times New Roman" w:cs="Times New Roman"/>
          <w:sz w:val="24"/>
          <w:szCs w:val="24"/>
        </w:rPr>
        <w:t xml:space="preserve"> site. The visual molecular dynamics (VMD) software was used create a simulation movie.    </w:t>
      </w:r>
    </w:p>
    <w:sectPr w:rsidR="00DE3BFB" w:rsidRPr="00DE3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23BC"/>
    <w:multiLevelType w:val="hybridMultilevel"/>
    <w:tmpl w:val="31725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96A9B"/>
    <w:multiLevelType w:val="hybridMultilevel"/>
    <w:tmpl w:val="D02C9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ECE1"/>
    <w:multiLevelType w:val="hybridMultilevel"/>
    <w:tmpl w:val="779C0468"/>
    <w:lvl w:ilvl="0" w:tplc="6890E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AF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F8D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500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2B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C1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0D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4E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09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925E8"/>
    <w:multiLevelType w:val="hybridMultilevel"/>
    <w:tmpl w:val="D92E4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B8CA4"/>
    <w:multiLevelType w:val="hybridMultilevel"/>
    <w:tmpl w:val="89089A10"/>
    <w:lvl w:ilvl="0" w:tplc="07967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24A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22A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AE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C4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68B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E4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EB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702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74"/>
    <w:rsid w:val="00004A51"/>
    <w:rsid w:val="000D4D30"/>
    <w:rsid w:val="0022008F"/>
    <w:rsid w:val="00220962"/>
    <w:rsid w:val="00237674"/>
    <w:rsid w:val="002A67CC"/>
    <w:rsid w:val="002B1047"/>
    <w:rsid w:val="00402A11"/>
    <w:rsid w:val="00696B31"/>
    <w:rsid w:val="00697857"/>
    <w:rsid w:val="007240C4"/>
    <w:rsid w:val="00895513"/>
    <w:rsid w:val="00903DDC"/>
    <w:rsid w:val="00B049AC"/>
    <w:rsid w:val="00B466F3"/>
    <w:rsid w:val="00BE76B5"/>
    <w:rsid w:val="00C1697A"/>
    <w:rsid w:val="00C82703"/>
    <w:rsid w:val="00CC4A44"/>
    <w:rsid w:val="00DE3BFB"/>
    <w:rsid w:val="00E2131F"/>
    <w:rsid w:val="00E26EAF"/>
    <w:rsid w:val="0124EADA"/>
    <w:rsid w:val="02BADA6A"/>
    <w:rsid w:val="0359375E"/>
    <w:rsid w:val="049CFABC"/>
    <w:rsid w:val="0600827F"/>
    <w:rsid w:val="06524D38"/>
    <w:rsid w:val="0694633A"/>
    <w:rsid w:val="06A8E0D2"/>
    <w:rsid w:val="0796FBC6"/>
    <w:rsid w:val="090A2A35"/>
    <w:rsid w:val="091AA814"/>
    <w:rsid w:val="0C3B233A"/>
    <w:rsid w:val="0C3DE2C0"/>
    <w:rsid w:val="0D89212F"/>
    <w:rsid w:val="0E53308B"/>
    <w:rsid w:val="0E739C47"/>
    <w:rsid w:val="1557C773"/>
    <w:rsid w:val="16F69F06"/>
    <w:rsid w:val="18174EF0"/>
    <w:rsid w:val="1819A17A"/>
    <w:rsid w:val="18AE108F"/>
    <w:rsid w:val="1A955BB0"/>
    <w:rsid w:val="1B66FA62"/>
    <w:rsid w:val="1BC7EF2F"/>
    <w:rsid w:val="1C14272F"/>
    <w:rsid w:val="1E82AE59"/>
    <w:rsid w:val="1F2D8FF5"/>
    <w:rsid w:val="20120FCC"/>
    <w:rsid w:val="20DD3D9D"/>
    <w:rsid w:val="24D47ED8"/>
    <w:rsid w:val="25742429"/>
    <w:rsid w:val="2584EC8F"/>
    <w:rsid w:val="25D560EB"/>
    <w:rsid w:val="266945BF"/>
    <w:rsid w:val="28310A2A"/>
    <w:rsid w:val="28F73E17"/>
    <w:rsid w:val="29E25A70"/>
    <w:rsid w:val="2DE9FE36"/>
    <w:rsid w:val="2F0F0B67"/>
    <w:rsid w:val="30329AA9"/>
    <w:rsid w:val="3381C27C"/>
    <w:rsid w:val="33B9865C"/>
    <w:rsid w:val="34CA93D2"/>
    <w:rsid w:val="377389BA"/>
    <w:rsid w:val="378685CD"/>
    <w:rsid w:val="3873D557"/>
    <w:rsid w:val="3987F35E"/>
    <w:rsid w:val="39B71FC1"/>
    <w:rsid w:val="3C164EFC"/>
    <w:rsid w:val="3DF67477"/>
    <w:rsid w:val="3EE4D98C"/>
    <w:rsid w:val="3FCBC7AD"/>
    <w:rsid w:val="41B9038D"/>
    <w:rsid w:val="43999EB2"/>
    <w:rsid w:val="43B890EC"/>
    <w:rsid w:val="43DAA5C6"/>
    <w:rsid w:val="44370FE8"/>
    <w:rsid w:val="450E4BF7"/>
    <w:rsid w:val="485A4297"/>
    <w:rsid w:val="499A94F5"/>
    <w:rsid w:val="4D85319F"/>
    <w:rsid w:val="5033DB04"/>
    <w:rsid w:val="52330699"/>
    <w:rsid w:val="52FB228E"/>
    <w:rsid w:val="58D36C0C"/>
    <w:rsid w:val="5952BF15"/>
    <w:rsid w:val="5AF4E285"/>
    <w:rsid w:val="5B291DAB"/>
    <w:rsid w:val="5C2DC3CA"/>
    <w:rsid w:val="5C7CCF4F"/>
    <w:rsid w:val="5CC1FF31"/>
    <w:rsid w:val="5FFAC42B"/>
    <w:rsid w:val="628A8F1C"/>
    <w:rsid w:val="641D2D38"/>
    <w:rsid w:val="663DA31E"/>
    <w:rsid w:val="67DF9E18"/>
    <w:rsid w:val="6A37BC45"/>
    <w:rsid w:val="6B618ABE"/>
    <w:rsid w:val="6DD47C24"/>
    <w:rsid w:val="6F4796D9"/>
    <w:rsid w:val="70E41637"/>
    <w:rsid w:val="70F2896E"/>
    <w:rsid w:val="719CD2F1"/>
    <w:rsid w:val="7317519F"/>
    <w:rsid w:val="75066936"/>
    <w:rsid w:val="76866036"/>
    <w:rsid w:val="76C14C9C"/>
    <w:rsid w:val="76FF3BAF"/>
    <w:rsid w:val="7A94D054"/>
    <w:rsid w:val="7A9C593C"/>
    <w:rsid w:val="7CCCFCE0"/>
    <w:rsid w:val="7D320F4A"/>
    <w:rsid w:val="7DADAF7F"/>
    <w:rsid w:val="7E14B108"/>
    <w:rsid w:val="7E36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09DD2"/>
  <w15:chartTrackingRefBased/>
  <w15:docId w15:val="{FDCEA76B-1B76-4558-89C1-A2B9A4C6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962"/>
    <w:rPr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096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0962"/>
    <w:pPr>
      <w:ind w:left="720"/>
      <w:contextualSpacing/>
    </w:pPr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402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82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82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ajarang.kumbhar@nmims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Bajarang Kumbhar</dc:creator>
  <cp:keywords/>
  <dc:description/>
  <cp:lastModifiedBy>Bajarang Kumbhar (Dr.)</cp:lastModifiedBy>
  <cp:revision>3</cp:revision>
  <dcterms:created xsi:type="dcterms:W3CDTF">2025-07-21T06:08:00Z</dcterms:created>
  <dcterms:modified xsi:type="dcterms:W3CDTF">2025-08-29T06:24:00Z</dcterms:modified>
</cp:coreProperties>
</file>