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8612" w14:textId="04ECE29A" w:rsidR="00E73309" w:rsidRDefault="00A52A31" w:rsidP="000250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EBDDB48" wp14:editId="22719F07">
            <wp:extent cx="5274310" cy="6821170"/>
            <wp:effectExtent l="0" t="0" r="0" b="0"/>
            <wp:docPr id="422415470" name="图片 2" descr="图表, 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415470" name="图片 2" descr="图表, 日程表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B296E" w14:textId="71015446" w:rsidR="00E73309" w:rsidRDefault="00A52A31" w:rsidP="000250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 S1</w:t>
      </w:r>
      <w:r w:rsidR="000740C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FB4E1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977AC" w:rsidRPr="004977AC">
        <w:rPr>
          <w:rFonts w:ascii="Times New Roman" w:hAnsi="Times New Roman" w:cs="Times New Roman" w:hint="eastAsia"/>
          <w:sz w:val="24"/>
          <w:szCs w:val="24"/>
        </w:rPr>
        <w:t>SNP marker density distribution</w:t>
      </w:r>
    </w:p>
    <w:p w14:paraId="51054D1E" w14:textId="53094328" w:rsidR="004977AC" w:rsidRPr="004977AC" w:rsidRDefault="001D6E64" w:rsidP="00025022">
      <w:pPr>
        <w:rPr>
          <w:rFonts w:ascii="Times New Roman" w:hAnsi="Times New Roman" w:cs="Times New Roman"/>
          <w:sz w:val="24"/>
          <w:szCs w:val="24"/>
        </w:rPr>
      </w:pPr>
      <w:r w:rsidRPr="0023028A">
        <w:rPr>
          <w:rFonts w:ascii="Times New Roman" w:hAnsi="Times New Roman"/>
          <w:b/>
          <w:bCs/>
          <w:sz w:val="22"/>
        </w:rPr>
        <w:t>A</w:t>
      </w:r>
      <w:r w:rsidRPr="0023028A">
        <w:rPr>
          <w:rFonts w:ascii="Times New Roman" w:hAnsi="Times New Roman" w:hint="eastAsia"/>
          <w:b/>
          <w:bCs/>
          <w:sz w:val="22"/>
        </w:rPr>
        <w:t xml:space="preserve"> and </w:t>
      </w:r>
      <w:r w:rsidRPr="0023028A">
        <w:rPr>
          <w:rFonts w:ascii="Times New Roman" w:hAnsi="Times New Roman"/>
          <w:b/>
          <w:bCs/>
          <w:sz w:val="22"/>
        </w:rPr>
        <w:t>B</w:t>
      </w:r>
      <w:r w:rsidRPr="0023028A">
        <w:rPr>
          <w:rFonts w:ascii="Times New Roman" w:hAnsi="Times New Roman" w:hint="eastAsia"/>
          <w:sz w:val="22"/>
        </w:rPr>
        <w:t>,</w:t>
      </w:r>
      <w:r w:rsidR="000C1E09" w:rsidRPr="000C1E09">
        <w:rPr>
          <w:rFonts w:hint="eastAsia"/>
        </w:rPr>
        <w:t xml:space="preserve"> </w:t>
      </w:r>
      <w:r w:rsidR="000C1E09" w:rsidRPr="000C1E09">
        <w:rPr>
          <w:rFonts w:ascii="Times New Roman" w:hAnsi="Times New Roman" w:hint="eastAsia"/>
          <w:sz w:val="22"/>
        </w:rPr>
        <w:t>The distribution of SNP variations in 2 sorghum varieties on 10 chromosomes</w:t>
      </w:r>
      <w:r w:rsidR="000C1E09">
        <w:rPr>
          <w:rFonts w:ascii="Times New Roman" w:hAnsi="Times New Roman" w:hint="eastAsia"/>
          <w:sz w:val="22"/>
        </w:rPr>
        <w:t>.</w:t>
      </w:r>
      <w:r w:rsidR="00484060" w:rsidRPr="00484060">
        <w:rPr>
          <w:rFonts w:ascii="Times New Roman" w:hAnsi="Times New Roman" w:hint="eastAsia"/>
          <w:sz w:val="22"/>
        </w:rPr>
        <w:t xml:space="preserve"> A represents AJ2055, and B represents RN133.</w:t>
      </w:r>
    </w:p>
    <w:p w14:paraId="232BC1A2" w14:textId="77777777" w:rsidR="00A52A31" w:rsidRPr="004977AC" w:rsidRDefault="00A52A31" w:rsidP="00025022">
      <w:pPr>
        <w:rPr>
          <w:rFonts w:ascii="Times New Roman" w:hAnsi="Times New Roman" w:cs="Times New Roman"/>
          <w:sz w:val="24"/>
          <w:szCs w:val="24"/>
        </w:rPr>
      </w:pPr>
    </w:p>
    <w:p w14:paraId="5FC9342F" w14:textId="77777777" w:rsidR="00A52A31" w:rsidRDefault="00A52A31" w:rsidP="000250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73D026" w14:textId="77777777" w:rsidR="00E73309" w:rsidRDefault="00E73309" w:rsidP="00025022">
      <w:pPr>
        <w:rPr>
          <w:rFonts w:ascii="Times New Roman" w:hAnsi="Times New Roman" w:cs="Times New Roman"/>
          <w:b/>
          <w:bCs/>
          <w:sz w:val="24"/>
          <w:szCs w:val="24"/>
        </w:rPr>
        <w:sectPr w:rsidR="00E7330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B441BB" w14:textId="48936816" w:rsidR="0023028A" w:rsidRPr="00025022" w:rsidRDefault="007D0863" w:rsidP="00025022">
      <w:pPr>
        <w:rPr>
          <w:rFonts w:ascii="Times New Roman" w:hAnsi="Times New Roman" w:cs="Times New Roman"/>
          <w:sz w:val="24"/>
          <w:szCs w:val="24"/>
        </w:rPr>
      </w:pPr>
      <w:r w:rsidRPr="000250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752" behindDoc="0" locked="0" layoutInCell="1" allowOverlap="1" wp14:anchorId="77A6AD61" wp14:editId="7D4057C3">
            <wp:simplePos x="0" y="0"/>
            <wp:positionH relativeFrom="margin">
              <wp:align>center</wp:align>
            </wp:positionH>
            <wp:positionV relativeFrom="paragraph">
              <wp:posOffset>5787</wp:posOffset>
            </wp:positionV>
            <wp:extent cx="4797706" cy="7319925"/>
            <wp:effectExtent l="0" t="0" r="0" b="0"/>
            <wp:wrapTopAndBottom/>
            <wp:docPr id="21101098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06" cy="73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Ref190777471"/>
      <w:bookmarkStart w:id="1" w:name="OLE_LINK1"/>
      <w:r w:rsidR="0023028A" w:rsidRPr="00025022">
        <w:rPr>
          <w:rFonts w:ascii="Times New Roman" w:hAnsi="Times New Roman" w:cs="Times New Roman"/>
          <w:b/>
          <w:bCs/>
          <w:sz w:val="24"/>
          <w:szCs w:val="24"/>
        </w:rPr>
        <w:t>Fig S</w:t>
      </w:r>
      <w:bookmarkEnd w:id="0"/>
      <w:r w:rsidR="00A52A31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23028A" w:rsidRPr="00025022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23028A" w:rsidRPr="00025022">
        <w:rPr>
          <w:rFonts w:ascii="Times New Roman" w:hAnsi="Times New Roman" w:cs="Times New Roman"/>
          <w:sz w:val="24"/>
          <w:szCs w:val="24"/>
        </w:rPr>
        <w:t xml:space="preserve"> Go enrichment analysis.</w:t>
      </w:r>
    </w:p>
    <w:bookmarkEnd w:id="1"/>
    <w:p w14:paraId="79C1763B" w14:textId="77777777" w:rsidR="00560824" w:rsidRDefault="0023028A" w:rsidP="0023028A">
      <w:pPr>
        <w:spacing w:line="360" w:lineRule="auto"/>
        <w:rPr>
          <w:rFonts w:ascii="Times New Roman" w:hAnsi="Times New Roman"/>
          <w:sz w:val="22"/>
        </w:rPr>
        <w:sectPr w:rsidR="005608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3028A">
        <w:rPr>
          <w:rFonts w:ascii="Times New Roman" w:hAnsi="Times New Roman"/>
          <w:b/>
          <w:bCs/>
          <w:sz w:val="22"/>
        </w:rPr>
        <w:t>A</w:t>
      </w:r>
      <w:r w:rsidRPr="0023028A">
        <w:rPr>
          <w:rFonts w:ascii="Times New Roman" w:hAnsi="Times New Roman" w:hint="eastAsia"/>
          <w:b/>
          <w:bCs/>
          <w:sz w:val="22"/>
        </w:rPr>
        <w:t xml:space="preserve"> and </w:t>
      </w:r>
      <w:r w:rsidRPr="0023028A">
        <w:rPr>
          <w:rFonts w:ascii="Times New Roman" w:hAnsi="Times New Roman"/>
          <w:b/>
          <w:bCs/>
          <w:sz w:val="22"/>
        </w:rPr>
        <w:t>B</w:t>
      </w:r>
      <w:r w:rsidRPr="0023028A">
        <w:rPr>
          <w:rFonts w:ascii="Times New Roman" w:hAnsi="Times New Roman" w:hint="eastAsia"/>
          <w:sz w:val="22"/>
        </w:rPr>
        <w:t>,</w:t>
      </w:r>
      <w:r w:rsidRPr="0023028A">
        <w:rPr>
          <w:rFonts w:ascii="Times New Roman" w:hAnsi="Times New Roman"/>
          <w:sz w:val="22"/>
        </w:rPr>
        <w:t xml:space="preserve"> Functional enrichment analysis of unique SNPs and InDels variants in two sorghum varieties</w:t>
      </w:r>
      <w:r w:rsidRPr="0023028A">
        <w:rPr>
          <w:rFonts w:ascii="Times New Roman" w:hAnsi="Times New Roman" w:hint="eastAsia"/>
          <w:sz w:val="22"/>
        </w:rPr>
        <w:t xml:space="preserve"> </w:t>
      </w:r>
      <w:r w:rsidRPr="0023028A">
        <w:rPr>
          <w:rFonts w:ascii="Times New Roman" w:hAnsi="Times New Roman"/>
          <w:sz w:val="22"/>
        </w:rPr>
        <w:t>(</w:t>
      </w:r>
      <w:r w:rsidRPr="0023028A">
        <w:rPr>
          <w:rFonts w:ascii="Times New Roman" w:hAnsi="Times New Roman"/>
          <w:i/>
          <w:iCs/>
          <w:sz w:val="22"/>
        </w:rPr>
        <w:t>P</w:t>
      </w:r>
      <w:r w:rsidRPr="0023028A">
        <w:rPr>
          <w:rFonts w:ascii="Times New Roman" w:hAnsi="Times New Roman"/>
          <w:sz w:val="22"/>
        </w:rPr>
        <w:t>&lt;0.05</w:t>
      </w:r>
      <w:r w:rsidRPr="0023028A">
        <w:rPr>
          <w:rFonts w:ascii="Times New Roman" w:hAnsi="Times New Roman" w:hint="eastAsia"/>
          <w:sz w:val="22"/>
        </w:rPr>
        <w:t>)</w:t>
      </w:r>
      <w:r w:rsidRPr="0023028A">
        <w:rPr>
          <w:rFonts w:ascii="Times New Roman" w:hAnsi="Times New Roman"/>
          <w:sz w:val="22"/>
        </w:rPr>
        <w:t>. Red represents AJ2055, and blue represents RN133. The analysis includes three categories: Biological Process (BP), Cellular Component (CC), and Molecular Function (MF).</w:t>
      </w:r>
    </w:p>
    <w:p w14:paraId="504A8CCE" w14:textId="2DE5B263" w:rsidR="0023028A" w:rsidRDefault="00306D03" w:rsidP="0023028A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noProof/>
          <w:sz w:val="22"/>
        </w:rPr>
        <w:lastRenderedPageBreak/>
        <w:drawing>
          <wp:inline distT="0" distB="0" distL="0" distR="0" wp14:anchorId="58197374" wp14:editId="5FF94725">
            <wp:extent cx="8860155" cy="3686810"/>
            <wp:effectExtent l="0" t="0" r="0" b="0"/>
            <wp:docPr id="13372944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015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3456A" w14:textId="58D5C496" w:rsidR="00560824" w:rsidRDefault="00560824" w:rsidP="0023028A">
      <w:pPr>
        <w:spacing w:line="360" w:lineRule="auto"/>
        <w:rPr>
          <w:rFonts w:ascii="Times New Roman" w:hAnsi="Times New Roman"/>
          <w:sz w:val="22"/>
        </w:rPr>
      </w:pPr>
    </w:p>
    <w:p w14:paraId="00F7B281" w14:textId="3E998434" w:rsidR="00481337" w:rsidRPr="00481337" w:rsidRDefault="00481337" w:rsidP="004813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1337">
        <w:rPr>
          <w:rFonts w:ascii="Times New Roman" w:hAnsi="Times New Roman" w:cs="Times New Roman"/>
          <w:b/>
          <w:bCs/>
          <w:sz w:val="24"/>
          <w:szCs w:val="24"/>
        </w:rPr>
        <w:t>Fig S</w:t>
      </w:r>
      <w:r w:rsidR="00A52A31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481337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Pr="00481337">
        <w:rPr>
          <w:rFonts w:ascii="Times New Roman" w:hAnsi="Times New Roman" w:cs="Times New Roman"/>
          <w:sz w:val="24"/>
          <w:szCs w:val="24"/>
        </w:rPr>
        <w:t xml:space="preserve"> Significant enrichment pathway of InDels variants. </w:t>
      </w:r>
    </w:p>
    <w:p w14:paraId="3987B4BD" w14:textId="40AE1F3B" w:rsidR="00481337" w:rsidRPr="00481337" w:rsidRDefault="00481337" w:rsidP="004813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1337">
        <w:rPr>
          <w:rFonts w:ascii="Times New Roman" w:hAnsi="Times New Roman" w:cs="Times New Roman"/>
          <w:b/>
          <w:bCs/>
          <w:sz w:val="24"/>
          <w:szCs w:val="24"/>
        </w:rPr>
        <w:t>A and B</w:t>
      </w:r>
      <w:r w:rsidRPr="00481337">
        <w:rPr>
          <w:rFonts w:ascii="Times New Roman" w:hAnsi="Times New Roman" w:cs="Times New Roman"/>
          <w:sz w:val="24"/>
          <w:szCs w:val="24"/>
        </w:rPr>
        <w:t>, KEGG enrichment analysis of InDels variants in two sorghum varieties (</w:t>
      </w:r>
      <w:r w:rsidRPr="0048133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481337">
        <w:rPr>
          <w:rFonts w:ascii="Times New Roman" w:hAnsi="Times New Roman" w:cs="Times New Roman"/>
          <w:sz w:val="24"/>
          <w:szCs w:val="24"/>
        </w:rPr>
        <w:t xml:space="preserve">&lt;0.05). </w:t>
      </w:r>
      <w:r w:rsidR="00DB31BF">
        <w:rPr>
          <w:rFonts w:ascii="Times New Roman" w:hAnsi="Times New Roman" w:cs="Times New Roman" w:hint="eastAsia"/>
          <w:sz w:val="24"/>
          <w:szCs w:val="24"/>
        </w:rPr>
        <w:t>A</w:t>
      </w:r>
      <w:r w:rsidRPr="00481337">
        <w:rPr>
          <w:rFonts w:ascii="Times New Roman" w:hAnsi="Times New Roman" w:cs="Times New Roman"/>
          <w:sz w:val="24"/>
          <w:szCs w:val="24"/>
        </w:rPr>
        <w:t xml:space="preserve"> represents AJ2055, and </w:t>
      </w:r>
      <w:r w:rsidR="00DB31BF">
        <w:rPr>
          <w:rFonts w:ascii="Times New Roman" w:hAnsi="Times New Roman" w:cs="Times New Roman" w:hint="eastAsia"/>
          <w:sz w:val="24"/>
          <w:szCs w:val="24"/>
        </w:rPr>
        <w:t>B</w:t>
      </w:r>
      <w:r w:rsidRPr="00481337">
        <w:rPr>
          <w:rFonts w:ascii="Times New Roman" w:hAnsi="Times New Roman" w:cs="Times New Roman"/>
          <w:sz w:val="24"/>
          <w:szCs w:val="24"/>
        </w:rPr>
        <w:t xml:space="preserve"> represents RN133.</w:t>
      </w:r>
    </w:p>
    <w:p w14:paraId="6E3C68F7" w14:textId="77777777" w:rsidR="00560824" w:rsidRDefault="00560824" w:rsidP="0023028A">
      <w:pPr>
        <w:spacing w:line="360" w:lineRule="auto"/>
        <w:rPr>
          <w:rFonts w:ascii="Times New Roman" w:hAnsi="Times New Roman"/>
          <w:sz w:val="22"/>
        </w:rPr>
      </w:pPr>
    </w:p>
    <w:p w14:paraId="70B36952" w14:textId="77777777" w:rsidR="00C754BA" w:rsidRDefault="00C754BA" w:rsidP="0023028A">
      <w:pPr>
        <w:spacing w:line="360" w:lineRule="auto"/>
        <w:rPr>
          <w:rFonts w:ascii="Times New Roman" w:hAnsi="Times New Roman"/>
          <w:sz w:val="22"/>
        </w:rPr>
        <w:sectPr w:rsidR="00C754BA" w:rsidSect="00306D0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F6541E1" w14:textId="6823527F" w:rsidR="00926449" w:rsidRDefault="00926449" w:rsidP="0023028A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noProof/>
          <w:sz w:val="22"/>
        </w:rPr>
        <w:lastRenderedPageBreak/>
        <w:drawing>
          <wp:anchor distT="0" distB="0" distL="114300" distR="114300" simplePos="0" relativeHeight="251659776" behindDoc="0" locked="0" layoutInCell="1" allowOverlap="1" wp14:anchorId="36D412C8" wp14:editId="7AC2E045">
            <wp:simplePos x="914400" y="1226916"/>
            <wp:positionH relativeFrom="margin">
              <wp:align>center</wp:align>
            </wp:positionH>
            <wp:positionV relativeFrom="margin">
              <wp:align>top</wp:align>
            </wp:positionV>
            <wp:extent cx="8601590" cy="4392000"/>
            <wp:effectExtent l="0" t="0" r="0" b="0"/>
            <wp:wrapSquare wrapText="bothSides"/>
            <wp:docPr id="14679566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956668" name="图片 14679566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1590" cy="43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D49EAF" w14:textId="4A24DAF2" w:rsidR="002063A9" w:rsidRPr="002063A9" w:rsidRDefault="002063A9" w:rsidP="002063A9">
      <w:pPr>
        <w:spacing w:line="360" w:lineRule="auto"/>
        <w:rPr>
          <w:rFonts w:ascii="Times New Roman" w:hAnsi="Times New Roman" w:hint="eastAsia"/>
          <w:sz w:val="24"/>
          <w:szCs w:val="24"/>
        </w:rPr>
      </w:pPr>
      <w:r w:rsidRPr="002063A9">
        <w:rPr>
          <w:rFonts w:ascii="Times New Roman" w:hAnsi="Times New Roman" w:hint="eastAsia"/>
          <w:b/>
          <w:bCs/>
          <w:sz w:val="24"/>
          <w:szCs w:val="24"/>
        </w:rPr>
        <w:t>Fig S</w:t>
      </w:r>
      <w:r w:rsidR="00C76E3D">
        <w:rPr>
          <w:rFonts w:ascii="Times New Roman" w:hAnsi="Times New Roman" w:hint="eastAsia"/>
          <w:b/>
          <w:bCs/>
          <w:sz w:val="24"/>
          <w:szCs w:val="24"/>
        </w:rPr>
        <w:t>4</w:t>
      </w:r>
      <w:r w:rsidRPr="002063A9"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2063A9">
        <w:rPr>
          <w:rFonts w:ascii="Times New Roman" w:hAnsi="Times New Roman" w:hint="eastAsia"/>
          <w:sz w:val="24"/>
          <w:szCs w:val="24"/>
        </w:rPr>
        <w:t xml:space="preserve"> Significant enrichment pathway of </w:t>
      </w:r>
      <w:r w:rsidR="00C76E3D">
        <w:rPr>
          <w:rFonts w:ascii="Times New Roman" w:hAnsi="Times New Roman" w:hint="eastAsia"/>
          <w:sz w:val="24"/>
          <w:szCs w:val="24"/>
        </w:rPr>
        <w:t>SNP</w:t>
      </w:r>
      <w:r w:rsidRPr="002063A9">
        <w:rPr>
          <w:rFonts w:ascii="Times New Roman" w:hAnsi="Times New Roman" w:hint="eastAsia"/>
          <w:sz w:val="24"/>
          <w:szCs w:val="24"/>
        </w:rPr>
        <w:t xml:space="preserve">s variants. </w:t>
      </w:r>
    </w:p>
    <w:p w14:paraId="0D8B67C5" w14:textId="1FE41F2D" w:rsidR="00926449" w:rsidRPr="002063A9" w:rsidRDefault="002063A9" w:rsidP="0023028A">
      <w:pPr>
        <w:spacing w:line="360" w:lineRule="auto"/>
        <w:rPr>
          <w:rFonts w:ascii="Times New Roman" w:hAnsi="Times New Roman"/>
          <w:sz w:val="24"/>
          <w:szCs w:val="24"/>
        </w:rPr>
      </w:pPr>
      <w:r w:rsidRPr="002063A9">
        <w:rPr>
          <w:rFonts w:ascii="Times New Roman" w:hAnsi="Times New Roman" w:hint="eastAsia"/>
          <w:b/>
          <w:bCs/>
          <w:sz w:val="24"/>
          <w:szCs w:val="24"/>
        </w:rPr>
        <w:t>A and B,</w:t>
      </w:r>
      <w:r w:rsidRPr="002063A9">
        <w:rPr>
          <w:rFonts w:ascii="Times New Roman" w:hAnsi="Times New Roman" w:hint="eastAsia"/>
          <w:sz w:val="24"/>
          <w:szCs w:val="24"/>
        </w:rPr>
        <w:t xml:space="preserve"> KEGG enrichment analysis of </w:t>
      </w:r>
      <w:r w:rsidR="00674878">
        <w:rPr>
          <w:rFonts w:ascii="Times New Roman" w:hAnsi="Times New Roman" w:hint="eastAsia"/>
          <w:sz w:val="24"/>
          <w:szCs w:val="24"/>
        </w:rPr>
        <w:t>SNP</w:t>
      </w:r>
      <w:r w:rsidR="00674878" w:rsidRPr="002063A9">
        <w:rPr>
          <w:rFonts w:ascii="Times New Roman" w:hAnsi="Times New Roman" w:hint="eastAsia"/>
          <w:sz w:val="24"/>
          <w:szCs w:val="24"/>
        </w:rPr>
        <w:t>s</w:t>
      </w:r>
      <w:r w:rsidRPr="002063A9">
        <w:rPr>
          <w:rFonts w:ascii="Times New Roman" w:hAnsi="Times New Roman" w:hint="eastAsia"/>
          <w:sz w:val="24"/>
          <w:szCs w:val="24"/>
        </w:rPr>
        <w:t xml:space="preserve"> variants in two sorghum varieties (</w:t>
      </w:r>
      <w:r w:rsidR="00C76E3D">
        <w:rPr>
          <w:rFonts w:ascii="Times New Roman" w:hAnsi="Times New Roman" w:hint="eastAsia"/>
          <w:sz w:val="24"/>
          <w:szCs w:val="24"/>
        </w:rPr>
        <w:t>FDR</w:t>
      </w:r>
      <w:r w:rsidRPr="002063A9">
        <w:rPr>
          <w:rFonts w:ascii="Times New Roman" w:hAnsi="Times New Roman" w:hint="eastAsia"/>
          <w:sz w:val="24"/>
          <w:szCs w:val="24"/>
        </w:rPr>
        <w:t>&lt;0.05). A represents AJ2055, and B represents RN133.</w:t>
      </w:r>
    </w:p>
    <w:p w14:paraId="16226F79" w14:textId="77777777" w:rsidR="00926449" w:rsidRDefault="00926449" w:rsidP="0023028A">
      <w:pPr>
        <w:spacing w:line="360" w:lineRule="auto"/>
        <w:rPr>
          <w:rFonts w:ascii="Times New Roman" w:hAnsi="Times New Roman" w:hint="eastAsia"/>
          <w:sz w:val="22"/>
        </w:rPr>
        <w:sectPr w:rsidR="00926449" w:rsidSect="00C754B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0516272" w14:textId="437DCD80" w:rsidR="00235F71" w:rsidRPr="002063A9" w:rsidRDefault="00235F71" w:rsidP="00235F71">
      <w:pPr>
        <w:spacing w:line="360" w:lineRule="auto"/>
        <w:rPr>
          <w:rFonts w:ascii="Times New Roman" w:hAnsi="Times New Roman" w:hint="eastAsia"/>
          <w:sz w:val="24"/>
          <w:szCs w:val="24"/>
        </w:rPr>
      </w:pPr>
      <w:r w:rsidRPr="002063A9">
        <w:rPr>
          <w:rFonts w:ascii="Times New Roman" w:hAnsi="Times New Roman" w:hint="eastAsia"/>
          <w:b/>
          <w:bCs/>
          <w:sz w:val="24"/>
          <w:szCs w:val="24"/>
        </w:rPr>
        <w:lastRenderedPageBreak/>
        <w:t>Fig S</w:t>
      </w:r>
      <w:r>
        <w:rPr>
          <w:rFonts w:ascii="Times New Roman" w:hAnsi="Times New Roman" w:hint="eastAsia"/>
          <w:b/>
          <w:bCs/>
          <w:sz w:val="24"/>
          <w:szCs w:val="24"/>
        </w:rPr>
        <w:t>5</w:t>
      </w:r>
      <w:r w:rsidRPr="002063A9">
        <w:rPr>
          <w:rFonts w:ascii="Times New Roman" w:hAnsi="Times New Roman" w:hint="eastAsia"/>
          <w:b/>
          <w:bCs/>
          <w:sz w:val="24"/>
          <w:szCs w:val="24"/>
        </w:rPr>
        <w:t>.</w:t>
      </w:r>
      <w:r w:rsidRPr="002063A9">
        <w:rPr>
          <w:rFonts w:ascii="Times New Roman" w:hAnsi="Times New Roman" w:hint="eastAsia"/>
          <w:sz w:val="24"/>
          <w:szCs w:val="24"/>
        </w:rPr>
        <w:t xml:space="preserve"> Significant enrichment pathway of </w:t>
      </w:r>
      <w:r w:rsidR="008B4698" w:rsidRPr="00481337">
        <w:rPr>
          <w:rFonts w:ascii="Times New Roman" w:hAnsi="Times New Roman" w:cs="Times New Roman"/>
          <w:sz w:val="24"/>
          <w:szCs w:val="24"/>
        </w:rPr>
        <w:t>InDel</w:t>
      </w:r>
      <w:r w:rsidRPr="002063A9">
        <w:rPr>
          <w:rFonts w:ascii="Times New Roman" w:hAnsi="Times New Roman" w:hint="eastAsia"/>
          <w:sz w:val="24"/>
          <w:szCs w:val="24"/>
        </w:rPr>
        <w:t xml:space="preserve">s variants. </w:t>
      </w:r>
    </w:p>
    <w:p w14:paraId="1ED6B47C" w14:textId="0FC04EF6" w:rsidR="00F32C02" w:rsidRDefault="00235F71" w:rsidP="0023028A">
      <w:pPr>
        <w:spacing w:line="360" w:lineRule="auto"/>
        <w:rPr>
          <w:rFonts w:ascii="Times New Roman" w:hAnsi="Times New Roman"/>
          <w:sz w:val="22"/>
        </w:rPr>
      </w:pPr>
      <w:r w:rsidRPr="002063A9">
        <w:rPr>
          <w:rFonts w:ascii="Times New Roman" w:hAnsi="Times New Roman" w:hint="eastAsia"/>
          <w:b/>
          <w:bCs/>
          <w:sz w:val="24"/>
          <w:szCs w:val="24"/>
        </w:rPr>
        <w:t>A and B,</w:t>
      </w:r>
      <w:r w:rsidRPr="002063A9">
        <w:rPr>
          <w:rFonts w:ascii="Times New Roman" w:hAnsi="Times New Roman" w:hint="eastAsia"/>
          <w:sz w:val="24"/>
          <w:szCs w:val="24"/>
        </w:rPr>
        <w:t xml:space="preserve"> KEGG enrichment analysis of InDels variants in two sorghum varieties (</w:t>
      </w:r>
      <w:r>
        <w:rPr>
          <w:rFonts w:ascii="Times New Roman" w:hAnsi="Times New Roman" w:hint="eastAsia"/>
          <w:sz w:val="24"/>
          <w:szCs w:val="24"/>
        </w:rPr>
        <w:t>FDR</w:t>
      </w:r>
      <w:r w:rsidRPr="002063A9">
        <w:rPr>
          <w:rFonts w:ascii="Times New Roman" w:hAnsi="Times New Roman" w:hint="eastAsia"/>
          <w:sz w:val="24"/>
          <w:szCs w:val="24"/>
        </w:rPr>
        <w:t>&lt;0.05). A represents AJ2055, and B represents RN133.</w:t>
      </w:r>
      <w:r w:rsidR="00F32C02">
        <w:rPr>
          <w:rFonts w:ascii="Times New Roman" w:hAnsi="Times New Roman"/>
          <w:noProof/>
          <w:sz w:val="22"/>
        </w:rPr>
        <w:drawing>
          <wp:anchor distT="0" distB="0" distL="114300" distR="114300" simplePos="0" relativeHeight="251660800" behindDoc="0" locked="0" layoutInCell="1" allowOverlap="1" wp14:anchorId="7CD86908" wp14:editId="5B5E0E0C">
            <wp:simplePos x="914400" y="1226916"/>
            <wp:positionH relativeFrom="margin">
              <wp:align>center</wp:align>
            </wp:positionH>
            <wp:positionV relativeFrom="margin">
              <wp:align>top</wp:align>
            </wp:positionV>
            <wp:extent cx="8601590" cy="4392000"/>
            <wp:effectExtent l="0" t="0" r="0" b="0"/>
            <wp:wrapSquare wrapText="bothSides"/>
            <wp:docPr id="1524544496" name="图片 2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544496" name="图片 2" descr="图表, 散点图&#10;&#10;AI 生成的内容可能不正确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1590" cy="43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BC383E" w14:textId="77777777" w:rsidR="00F32C02" w:rsidRDefault="00F32C02" w:rsidP="0023028A">
      <w:pPr>
        <w:spacing w:line="360" w:lineRule="auto"/>
        <w:rPr>
          <w:rFonts w:ascii="Times New Roman" w:hAnsi="Times New Roman" w:hint="eastAsia"/>
          <w:sz w:val="22"/>
        </w:rPr>
        <w:sectPr w:rsidR="00F32C02" w:rsidSect="00C754B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C436480" w14:textId="77777777" w:rsidR="00F32C02" w:rsidRDefault="00F32C02" w:rsidP="0023028A">
      <w:pPr>
        <w:spacing w:line="360" w:lineRule="auto"/>
        <w:rPr>
          <w:rFonts w:ascii="Times New Roman" w:hAnsi="Times New Roman"/>
          <w:sz w:val="22"/>
        </w:rPr>
      </w:pPr>
    </w:p>
    <w:p w14:paraId="66A43084" w14:textId="77777777" w:rsidR="00F32C02" w:rsidRPr="00926449" w:rsidRDefault="00F32C02" w:rsidP="0023028A">
      <w:pPr>
        <w:spacing w:line="360" w:lineRule="auto"/>
        <w:rPr>
          <w:rFonts w:ascii="Times New Roman" w:hAnsi="Times New Roman" w:hint="eastAsia"/>
          <w:sz w:val="22"/>
        </w:rPr>
      </w:pPr>
    </w:p>
    <w:p w14:paraId="63276E60" w14:textId="4D86AC1E" w:rsidR="00D03B29" w:rsidRPr="006B2CFE" w:rsidRDefault="006B2CFE" w:rsidP="006B2CF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Ref190774140"/>
      <w:r w:rsidRPr="006B2CFE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Pr="006B2CFE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6B2CFE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Supplementary_Table \* ARABIC </w:instrText>
      </w:r>
      <w:r w:rsidRPr="006B2CFE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6B2CFE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6B2CFE">
        <w:rPr>
          <w:rFonts w:ascii="Times New Roman" w:hAnsi="Times New Roman" w:cs="Times New Roman"/>
          <w:b/>
          <w:bCs/>
          <w:noProof/>
          <w:sz w:val="24"/>
          <w:szCs w:val="24"/>
        </w:rPr>
        <w:fldChar w:fldCharType="end"/>
      </w:r>
      <w:bookmarkEnd w:id="2"/>
      <w:r w:rsidRPr="006B2CFE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Pr="006B2CFE">
        <w:rPr>
          <w:rFonts w:ascii="Times New Roman" w:hAnsi="Times New Roman" w:cs="Times New Roman"/>
          <w:sz w:val="24"/>
          <w:szCs w:val="24"/>
        </w:rPr>
        <w:t xml:space="preserve"> Statistics of InDel</w:t>
      </w:r>
      <w:r w:rsidR="00481337">
        <w:rPr>
          <w:rFonts w:ascii="Times New Roman" w:hAnsi="Times New Roman" w:cs="Times New Roman" w:hint="eastAsia"/>
          <w:sz w:val="24"/>
          <w:szCs w:val="24"/>
        </w:rPr>
        <w:t>s</w:t>
      </w:r>
      <w:r w:rsidRPr="006B2CFE">
        <w:rPr>
          <w:rFonts w:ascii="Times New Roman" w:hAnsi="Times New Roman" w:cs="Times New Roman"/>
          <w:sz w:val="24"/>
          <w:szCs w:val="24"/>
        </w:rPr>
        <w:t xml:space="preserve"> variant gene regions and mutation types</w:t>
      </w:r>
    </w:p>
    <w:tbl>
      <w:tblPr>
        <w:tblpPr w:leftFromText="180" w:rightFromText="180" w:vertAnchor="text" w:horzAnchor="margin" w:tblpXSpec="center" w:tblpY="2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589"/>
        <w:gridCol w:w="1254"/>
        <w:gridCol w:w="1417"/>
        <w:gridCol w:w="1559"/>
        <w:gridCol w:w="1560"/>
        <w:gridCol w:w="850"/>
        <w:gridCol w:w="1276"/>
        <w:gridCol w:w="1701"/>
        <w:gridCol w:w="1134"/>
      </w:tblGrid>
      <w:tr w:rsidR="00C754BA" w:rsidRPr="00AA701C" w14:paraId="4913B3CB" w14:textId="77777777" w:rsidTr="00150177">
        <w:trPr>
          <w:trHeight w:val="330"/>
        </w:trPr>
        <w:tc>
          <w:tcPr>
            <w:tcW w:w="8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E557B0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61D6DF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Upstream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7D2457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Stop gain</w:t>
            </w:r>
          </w:p>
        </w:tc>
        <w:tc>
          <w:tcPr>
            <w:tcW w:w="58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E81D0F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Stop loss</w:t>
            </w: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AFA13D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Frameshift deletion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C9845E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Frameshift insertion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E7D082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Non-frameshift deletion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36D435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Non-frameshift insertion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77CBF2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D7E2D3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Downstream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257F50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Heterogenous rate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91DE8D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</w:tr>
      <w:tr w:rsidR="00C754BA" w:rsidRPr="00AA701C" w14:paraId="10416A63" w14:textId="77777777" w:rsidTr="00150177">
        <w:trPr>
          <w:trHeight w:val="31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5543B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B2055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1AF9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17964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09D7F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6DF36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DFECC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4AC55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3F2A6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0A5DD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80E23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22879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3427B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A6CDB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EF749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177391</w:t>
            </w:r>
          </w:p>
        </w:tc>
      </w:tr>
      <w:tr w:rsidR="00C754BA" w:rsidRPr="00AA701C" w14:paraId="19C1AB36" w14:textId="77777777" w:rsidTr="00150177">
        <w:trPr>
          <w:trHeight w:val="320"/>
        </w:trPr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89B1AA7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5A5C79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28884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29A65B2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3C5267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321342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199CA5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29B65B1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992BF7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387586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018ADE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21435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03943C9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EA4764" w14:textId="77777777" w:rsidR="00AA701C" w:rsidRPr="00AA701C" w:rsidRDefault="00AA701C" w:rsidP="00EC633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A70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296856</w:t>
            </w:r>
          </w:p>
        </w:tc>
      </w:tr>
    </w:tbl>
    <w:p w14:paraId="4207B2FA" w14:textId="77777777" w:rsidR="00DD5881" w:rsidRDefault="00DD5881" w:rsidP="0023028A">
      <w:pPr>
        <w:spacing w:line="360" w:lineRule="auto"/>
        <w:rPr>
          <w:rFonts w:ascii="Times New Roman" w:hAnsi="Times New Roman"/>
          <w:sz w:val="22"/>
        </w:rPr>
      </w:pPr>
    </w:p>
    <w:p w14:paraId="4A93A21E" w14:textId="77777777" w:rsidR="00DD5881" w:rsidRDefault="00DD5881" w:rsidP="0023028A">
      <w:pPr>
        <w:spacing w:line="360" w:lineRule="auto"/>
        <w:rPr>
          <w:rFonts w:ascii="Times New Roman" w:hAnsi="Times New Roman"/>
          <w:sz w:val="22"/>
        </w:rPr>
      </w:pPr>
    </w:p>
    <w:sectPr w:rsidR="00DD5881" w:rsidSect="00C754B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0476" w14:textId="77777777" w:rsidR="00186915" w:rsidRDefault="00186915" w:rsidP="0023028A">
      <w:pPr>
        <w:rPr>
          <w:rFonts w:hint="eastAsia"/>
        </w:rPr>
      </w:pPr>
      <w:r>
        <w:separator/>
      </w:r>
    </w:p>
  </w:endnote>
  <w:endnote w:type="continuationSeparator" w:id="0">
    <w:p w14:paraId="44222244" w14:textId="77777777" w:rsidR="00186915" w:rsidRDefault="00186915" w:rsidP="002302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18C77" w14:textId="77777777" w:rsidR="00186915" w:rsidRDefault="00186915" w:rsidP="0023028A">
      <w:pPr>
        <w:rPr>
          <w:rFonts w:hint="eastAsia"/>
        </w:rPr>
      </w:pPr>
      <w:r>
        <w:separator/>
      </w:r>
    </w:p>
  </w:footnote>
  <w:footnote w:type="continuationSeparator" w:id="0">
    <w:p w14:paraId="2D567F7A" w14:textId="77777777" w:rsidR="00186915" w:rsidRDefault="00186915" w:rsidP="0023028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167"/>
    <w:rsid w:val="00025022"/>
    <w:rsid w:val="000740C1"/>
    <w:rsid w:val="00080CDE"/>
    <w:rsid w:val="000B1B20"/>
    <w:rsid w:val="000C1E09"/>
    <w:rsid w:val="00150177"/>
    <w:rsid w:val="00174167"/>
    <w:rsid w:val="00186915"/>
    <w:rsid w:val="001D6E64"/>
    <w:rsid w:val="002063A9"/>
    <w:rsid w:val="0023028A"/>
    <w:rsid w:val="002344EF"/>
    <w:rsid w:val="00235F71"/>
    <w:rsid w:val="002A31C3"/>
    <w:rsid w:val="002E5BA8"/>
    <w:rsid w:val="00306D03"/>
    <w:rsid w:val="00314BA7"/>
    <w:rsid w:val="003A7B77"/>
    <w:rsid w:val="00481337"/>
    <w:rsid w:val="00484060"/>
    <w:rsid w:val="00493465"/>
    <w:rsid w:val="004977AC"/>
    <w:rsid w:val="00560824"/>
    <w:rsid w:val="005720B4"/>
    <w:rsid w:val="005829ED"/>
    <w:rsid w:val="0060472A"/>
    <w:rsid w:val="00622299"/>
    <w:rsid w:val="00674878"/>
    <w:rsid w:val="006B2CFE"/>
    <w:rsid w:val="007056AE"/>
    <w:rsid w:val="007A2831"/>
    <w:rsid w:val="007D0863"/>
    <w:rsid w:val="007F1B01"/>
    <w:rsid w:val="00831A56"/>
    <w:rsid w:val="00863403"/>
    <w:rsid w:val="008B4698"/>
    <w:rsid w:val="008B60C9"/>
    <w:rsid w:val="008E6F53"/>
    <w:rsid w:val="0092188B"/>
    <w:rsid w:val="00926449"/>
    <w:rsid w:val="00931DAE"/>
    <w:rsid w:val="00A266C5"/>
    <w:rsid w:val="00A52A31"/>
    <w:rsid w:val="00A5763A"/>
    <w:rsid w:val="00A8441E"/>
    <w:rsid w:val="00AA701C"/>
    <w:rsid w:val="00AE5961"/>
    <w:rsid w:val="00B9791F"/>
    <w:rsid w:val="00BB4CE5"/>
    <w:rsid w:val="00BC7DBA"/>
    <w:rsid w:val="00BD2DA0"/>
    <w:rsid w:val="00BD366C"/>
    <w:rsid w:val="00BE22D6"/>
    <w:rsid w:val="00C00369"/>
    <w:rsid w:val="00C754BA"/>
    <w:rsid w:val="00C76E3D"/>
    <w:rsid w:val="00CE0864"/>
    <w:rsid w:val="00D03B29"/>
    <w:rsid w:val="00D07200"/>
    <w:rsid w:val="00D53B91"/>
    <w:rsid w:val="00DB31BF"/>
    <w:rsid w:val="00DD5881"/>
    <w:rsid w:val="00E00285"/>
    <w:rsid w:val="00E0668B"/>
    <w:rsid w:val="00E1644F"/>
    <w:rsid w:val="00E73309"/>
    <w:rsid w:val="00F32C02"/>
    <w:rsid w:val="00F76943"/>
    <w:rsid w:val="00F82C44"/>
    <w:rsid w:val="00FB4E1E"/>
    <w:rsid w:val="00FC71B6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84A35"/>
  <w15:chartTrackingRefBased/>
  <w15:docId w15:val="{FB95516F-5FEA-45AA-B5F4-FA9A2D3E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41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1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16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16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16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16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16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16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416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4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4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416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416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7416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416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416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416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41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74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1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741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41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741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1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416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4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7416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416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302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3028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302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3028A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23028A"/>
    <w:rPr>
      <w:rFonts w:ascii="Times New Roman" w:eastAsia="Times New Roman" w:hAnsi="Times New Roman" w:cstheme="majorBidi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4CAF0-5B9D-4F3A-9099-7BFBEC3BA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兴龙 李</dc:creator>
  <cp:keywords/>
  <dc:description/>
  <cp:lastModifiedBy>Tomas L</cp:lastModifiedBy>
  <cp:revision>116</cp:revision>
  <dcterms:created xsi:type="dcterms:W3CDTF">2025-02-20T09:37:00Z</dcterms:created>
  <dcterms:modified xsi:type="dcterms:W3CDTF">2025-08-11T09:32:00Z</dcterms:modified>
</cp:coreProperties>
</file>