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483C6" w14:textId="77777777" w:rsidR="001913C6" w:rsidRDefault="001913C6" w:rsidP="001913C6">
      <w:pPr>
        <w:rPr>
          <w:b/>
          <w:bCs/>
          <w:sz w:val="32"/>
          <w:szCs w:val="32"/>
          <w:lang w:val="en-GB"/>
        </w:rPr>
      </w:pPr>
      <w:r w:rsidRPr="00942017">
        <w:rPr>
          <w:b/>
          <w:bCs/>
          <w:sz w:val="32"/>
          <w:szCs w:val="32"/>
          <w:lang w:val="en-GB"/>
        </w:rPr>
        <w:t>Brain region and cell type-specific DNA methylation profiles in association with ADHD</w:t>
      </w:r>
    </w:p>
    <w:p w14:paraId="625029E1" w14:textId="77777777" w:rsidR="001913C6" w:rsidRPr="006A15EB" w:rsidRDefault="001913C6" w:rsidP="001913C6">
      <w:pPr>
        <w:rPr>
          <w:noProof/>
          <w:lang w:val="en-GB"/>
        </w:rPr>
      </w:pPr>
      <w:r w:rsidRPr="00C17FCA">
        <w:rPr>
          <w:noProof/>
          <w:lang w:val="en-GB"/>
        </w:rPr>
        <w:t>Mandy Meijer, Gustavo Sudre, Kwangmi Ahn, Maggie Po Yuan Fu, Philip Shaw</w:t>
      </w:r>
    </w:p>
    <w:p w14:paraId="38638C9B" w14:textId="77777777" w:rsidR="001913C6" w:rsidRPr="006A15EB" w:rsidRDefault="001913C6" w:rsidP="001913C6">
      <w:pPr>
        <w:rPr>
          <w:noProof/>
          <w:lang w:val="en-GB"/>
        </w:rPr>
      </w:pPr>
    </w:p>
    <w:p w14:paraId="5E15F76A" w14:textId="77777777" w:rsidR="001913C6" w:rsidRPr="00780B6B" w:rsidRDefault="001913C6" w:rsidP="001913C6">
      <w:pPr>
        <w:rPr>
          <w:b/>
          <w:bCs/>
          <w:noProof/>
          <w:sz w:val="24"/>
          <w:szCs w:val="24"/>
          <w:lang w:val="en-GB"/>
        </w:rPr>
      </w:pPr>
      <w:r w:rsidRPr="00780B6B">
        <w:rPr>
          <w:b/>
          <w:bCs/>
          <w:noProof/>
          <w:sz w:val="24"/>
          <w:szCs w:val="24"/>
          <w:lang w:val="en-GB"/>
        </w:rPr>
        <w:t>Supplementary material</w:t>
      </w:r>
    </w:p>
    <w:p w14:paraId="0BC186EF" w14:textId="77777777" w:rsidR="001913C6" w:rsidRPr="006A15EB" w:rsidRDefault="001913C6" w:rsidP="001913C6">
      <w:pPr>
        <w:rPr>
          <w:b/>
          <w:bCs/>
          <w:noProof/>
          <w:lang w:val="en-GB"/>
        </w:rPr>
      </w:pPr>
      <w:r w:rsidRPr="006A15EB">
        <w:rPr>
          <w:b/>
          <w:bCs/>
          <w:noProof/>
          <w:lang w:val="en-GB"/>
        </w:rPr>
        <w:br w:type="page"/>
      </w:r>
    </w:p>
    <w:p w14:paraId="1A62481B" w14:textId="77777777" w:rsidR="001913C6" w:rsidRPr="00780B6B" w:rsidRDefault="001913C6" w:rsidP="001913C6">
      <w:pPr>
        <w:spacing w:line="360" w:lineRule="auto"/>
        <w:rPr>
          <w:rFonts w:cstheme="minorHAnsi"/>
          <w:b/>
          <w:bCs/>
          <w:noProof/>
          <w:sz w:val="24"/>
          <w:szCs w:val="24"/>
          <w:lang w:val="en-GB"/>
        </w:rPr>
      </w:pPr>
      <w:r w:rsidRPr="00780B6B">
        <w:rPr>
          <w:rFonts w:cstheme="minorHAnsi"/>
          <w:b/>
          <w:bCs/>
          <w:noProof/>
          <w:sz w:val="24"/>
          <w:szCs w:val="24"/>
          <w:lang w:val="en-GB"/>
        </w:rPr>
        <w:lastRenderedPageBreak/>
        <w:t>Supplementary methods</w:t>
      </w:r>
    </w:p>
    <w:p w14:paraId="47750003" w14:textId="77777777" w:rsidR="001913C6" w:rsidRPr="009F0307" w:rsidRDefault="001913C6" w:rsidP="001913C6">
      <w:pPr>
        <w:spacing w:line="360" w:lineRule="auto"/>
        <w:jc w:val="both"/>
        <w:rPr>
          <w:rFonts w:cstheme="minorHAnsi"/>
          <w:i/>
          <w:iCs/>
          <w:lang w:val="en-GB"/>
        </w:rPr>
      </w:pPr>
      <w:r w:rsidRPr="009F0307">
        <w:rPr>
          <w:rFonts w:cstheme="minorHAnsi"/>
          <w:i/>
          <w:iCs/>
          <w:lang w:val="en-GB"/>
        </w:rPr>
        <w:t xml:space="preserve">Postmortem brain tissue </w:t>
      </w:r>
    </w:p>
    <w:p w14:paraId="6E8E4283" w14:textId="77777777" w:rsidR="001913C6" w:rsidRPr="009F0307" w:rsidRDefault="001913C6" w:rsidP="001913C6">
      <w:pPr>
        <w:spacing w:line="360" w:lineRule="auto"/>
        <w:jc w:val="both"/>
        <w:rPr>
          <w:rFonts w:cstheme="minorHAnsi"/>
          <w:lang w:val="en-US"/>
        </w:rPr>
      </w:pPr>
      <w:r w:rsidRPr="009F0307">
        <w:rPr>
          <w:rFonts w:cstheme="minorHAnsi"/>
          <w:lang w:val="en-GB"/>
        </w:rPr>
        <w:t xml:space="preserve">ADHD diagnoses were assessed at every study site by clinician interviews based on the DSM with the next of kin. </w:t>
      </w:r>
      <w:r w:rsidRPr="009F0307">
        <w:rPr>
          <w:rFonts w:cstheme="minorHAnsi"/>
          <w:lang w:val="en-US"/>
        </w:rPr>
        <w:t>For the NIMH HBCC and Maryland Brain Collection, postmortem interviews were performed with at least one family member of the deceased by a trained psychiatrist, social worker, or other health care professional using the Structured Clinical Interview for DSM-IV-clinician version</w:t>
      </w:r>
      <w:r w:rsidRPr="009F0307">
        <w:rPr>
          <w:rFonts w:cstheme="minorHAnsi"/>
          <w:lang w:val="en-US"/>
        </w:rPr>
        <w:fldChar w:fldCharType="begin"/>
      </w:r>
      <w:r w:rsidRPr="009F0307">
        <w:rPr>
          <w:rFonts w:cstheme="minorHAnsi"/>
          <w:lang w:val="en-US"/>
        </w:rPr>
        <w:instrText xml:space="preserve"> ADDIN EN.CITE &lt;EndNote&gt;&lt;Cite&gt;&lt;Author&gt;First&lt;/Author&gt;&lt;Year&gt;1997&lt;/Year&gt;&lt;RecNum&gt;2576&lt;/RecNum&gt;&lt;DisplayText&gt;&lt;style face="superscript"&gt;1&lt;/style&gt;&lt;/DisplayText&gt;&lt;record&gt;&lt;rec-number&gt;2576&lt;/rec-number&gt;&lt;foreign-keys&gt;&lt;key app="EN" db-id="59vaerv2jx90r3edreppaz5j9stwe5zaxzxd" timestamp="1638892084"&gt;2576&lt;/key&gt;&lt;/foreign-keys&gt;&lt;ref-type name="Generic"&gt;13&lt;/ref-type&gt;&lt;contributors&gt;&lt;authors&gt;&lt;author&gt;First, Michael B&lt;/author&gt;&lt;author&gt;Spitzer, Robert L&lt;/author&gt;&lt;author&gt;Gibbon, MWJB&lt;/author&gt;&lt;author&gt;Williams, Janet BW&lt;/author&gt;&lt;/authors&gt;&lt;/contributors&gt;&lt;titles&gt;&lt;title&gt;Structured clinical interview for DSM-IV clinical version (SCID-I/CV)&lt;/title&gt;&lt;/titles&gt;&lt;dates&gt;&lt;year&gt;1997&lt;/year&gt;&lt;/dates&gt;&lt;publisher&gt;Washington DC: American Psychiatric Press&lt;/publisher&gt;&lt;urls&gt;&lt;/urls&gt;&lt;/record&gt;&lt;/Cite&gt;&lt;/EndNote&gt;</w:instrText>
      </w:r>
      <w:r w:rsidRPr="009F0307">
        <w:rPr>
          <w:rFonts w:cstheme="minorHAnsi"/>
          <w:lang w:val="en-US"/>
        </w:rPr>
        <w:fldChar w:fldCharType="separate"/>
      </w:r>
      <w:r w:rsidRPr="009F0307">
        <w:rPr>
          <w:rFonts w:cstheme="minorHAnsi"/>
          <w:noProof/>
          <w:vertAlign w:val="superscript"/>
          <w:lang w:val="en-US"/>
        </w:rPr>
        <w:t>1</w:t>
      </w:r>
      <w:r w:rsidRPr="009F0307">
        <w:rPr>
          <w:rFonts w:cstheme="minorHAnsi"/>
          <w:lang w:val="en-GB"/>
        </w:rPr>
        <w:fldChar w:fldCharType="end"/>
      </w:r>
      <w:r w:rsidRPr="009F0307">
        <w:rPr>
          <w:rFonts w:cstheme="minorHAnsi"/>
          <w:lang w:val="en-US"/>
        </w:rPr>
        <w:t xml:space="preserve"> along with psychiatric record reviews using the Diagnostic Evaluation after Death.</w:t>
      </w:r>
      <w:r w:rsidRPr="009F0307">
        <w:rPr>
          <w:rFonts w:cstheme="minorHAnsi"/>
          <w:lang w:val="en-US"/>
        </w:rPr>
        <w:fldChar w:fldCharType="begin"/>
      </w:r>
      <w:r w:rsidRPr="009F0307">
        <w:rPr>
          <w:rFonts w:cstheme="minorHAnsi"/>
          <w:lang w:val="en-US"/>
        </w:rPr>
        <w:instrText xml:space="preserve"> ADDIN EN.CITE &lt;EndNote&gt;&lt;Cite&gt;&lt;Author&gt;Salzman&lt;/Author&gt;&lt;Year&gt;1983&lt;/Year&gt;&lt;RecNum&gt;2577&lt;/RecNum&gt;&lt;DisplayText&gt;&lt;style face="superscript"&gt;2&lt;/style&gt;&lt;/DisplayText&gt;&lt;record&gt;&lt;rec-number&gt;2577&lt;/rec-number&gt;&lt;foreign-keys&gt;&lt;key app="EN" db-id="59vaerv2jx90r3edreppaz5j9stwe5zaxzxd" timestamp="1638892159"&gt;2577&lt;/key&gt;&lt;/foreign-keys&gt;&lt;ref-type name="Journal Article"&gt;17&lt;/ref-type&gt;&lt;contributors&gt;&lt;authors&gt;&lt;author&gt;Salzman, S&lt;/author&gt;&lt;author&gt;Endicott, J&lt;/author&gt;&lt;author&gt;Clayton, P&lt;/author&gt;&lt;author&gt;Winokur, G&lt;/author&gt;&lt;/authors&gt;&lt;/contributors&gt;&lt;titles&gt;&lt;title&gt;Diagnostic evaluation after death (DEAD)&lt;/title&gt;&lt;secondary-title&gt;National Institute of Mental Health, Rockville&lt;/secondary-title&gt;&lt;/titles&gt;&lt;periodical&gt;&lt;full-title&gt;National Institute of Mental Health, Rockville&lt;/full-title&gt;&lt;/periodical&gt;&lt;dates&gt;&lt;year&gt;1983&lt;/year&gt;&lt;/dates&gt;&lt;urls&gt;&lt;/urls&gt;&lt;/record&gt;&lt;/Cite&gt;&lt;/EndNote&gt;</w:instrText>
      </w:r>
      <w:r w:rsidRPr="009F0307">
        <w:rPr>
          <w:rFonts w:cstheme="minorHAnsi"/>
          <w:lang w:val="en-US"/>
        </w:rPr>
        <w:fldChar w:fldCharType="separate"/>
      </w:r>
      <w:r w:rsidRPr="009F0307">
        <w:rPr>
          <w:rFonts w:cstheme="minorHAnsi"/>
          <w:noProof/>
          <w:vertAlign w:val="superscript"/>
          <w:lang w:val="en-US"/>
        </w:rPr>
        <w:t>2</w:t>
      </w:r>
      <w:r w:rsidRPr="009F0307">
        <w:rPr>
          <w:rFonts w:cstheme="minorHAnsi"/>
          <w:lang w:val="en-GB"/>
        </w:rPr>
        <w:fldChar w:fldCharType="end"/>
      </w:r>
      <w:r w:rsidRPr="009F0307">
        <w:rPr>
          <w:rFonts w:cstheme="minorHAnsi"/>
          <w:lang w:val="en-US"/>
        </w:rPr>
        <w:t xml:space="preserve"> Where available other pertinent records such as Medical Examiner’s Office or medical records were summarized and  reviewed by two psychiatrists who arrived at a consensus for DSM diagnoses.</w:t>
      </w:r>
      <w:r w:rsidRPr="009F0307">
        <w:rPr>
          <w:rFonts w:cstheme="minorHAnsi"/>
          <w:lang w:val="en-US"/>
        </w:rPr>
        <w:fldChar w:fldCharType="begin">
          <w:fldData xml:space="preserve">PEVuZE5vdGU+PENpdGU+PEF1dGhvcj5Eb25hdGk8L0F1dGhvcj48WWVhcj4yMDA4PC9ZZWFyPjxS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</w:fldData>
        </w:fldChar>
      </w:r>
      <w:r w:rsidRPr="009F0307">
        <w:rPr>
          <w:rFonts w:cstheme="minorHAnsi"/>
          <w:lang w:val="en-US"/>
        </w:rPr>
        <w:instrText xml:space="preserve"> ADDIN EN.CITE </w:instrText>
      </w:r>
      <w:r w:rsidRPr="009F0307">
        <w:rPr>
          <w:rFonts w:cstheme="minorHAnsi"/>
          <w:lang w:val="en-US"/>
        </w:rPr>
        <w:fldChar w:fldCharType="begin">
          <w:fldData xml:space="preserve">PEVuZE5vdGU+PENpdGU+PEF1dGhvcj5Eb25hdGk8L0F1dGhvcj48WWVhcj4yMDA4PC9ZZWFyPjxS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</w:fldData>
        </w:fldChar>
      </w:r>
      <w:r w:rsidRPr="009F0307">
        <w:rPr>
          <w:rFonts w:cstheme="minorHAnsi"/>
          <w:lang w:val="en-US"/>
        </w:rPr>
        <w:instrText xml:space="preserve"> ADDIN EN.CITE.DATA </w:instrText>
      </w:r>
      <w:r w:rsidRPr="009F0307">
        <w:rPr>
          <w:rFonts w:cstheme="minorHAnsi"/>
          <w:lang w:val="en-US"/>
        </w:rPr>
      </w:r>
      <w:r w:rsidRPr="009F0307">
        <w:rPr>
          <w:rFonts w:cstheme="minorHAnsi"/>
          <w:lang w:val="en-US"/>
        </w:rPr>
        <w:fldChar w:fldCharType="end"/>
      </w:r>
      <w:r w:rsidRPr="009F0307">
        <w:rPr>
          <w:rFonts w:cstheme="minorHAnsi"/>
          <w:lang w:val="en-US"/>
        </w:rPr>
      </w:r>
      <w:r w:rsidRPr="009F0307">
        <w:rPr>
          <w:rFonts w:cstheme="minorHAnsi"/>
          <w:lang w:val="en-US"/>
        </w:rPr>
        <w:fldChar w:fldCharType="separate"/>
      </w:r>
      <w:r w:rsidRPr="009F0307">
        <w:rPr>
          <w:rFonts w:cstheme="minorHAnsi"/>
          <w:noProof/>
          <w:vertAlign w:val="superscript"/>
          <w:lang w:val="en-US"/>
        </w:rPr>
        <w:t>3</w:t>
      </w:r>
      <w:r w:rsidRPr="009F0307">
        <w:rPr>
          <w:rFonts w:cstheme="minorHAnsi"/>
          <w:lang w:val="en-GB"/>
        </w:rPr>
        <w:fldChar w:fldCharType="end"/>
      </w:r>
      <w:r w:rsidRPr="009F0307">
        <w:rPr>
          <w:rFonts w:cstheme="minorHAnsi"/>
          <w:lang w:val="en-US"/>
        </w:rPr>
        <w:t xml:space="preserve"> The University of Pittsburgh Brain Tissue Donation Program similarly conducted a postmortem interview with the family of the deceased using a structured interview for the DSM 5. Interview data were reviewed by a team of psychiatrists and psychologists along with medical records and publicly available records to arrive at a DSM diagnosis.</w:t>
      </w:r>
      <w:r w:rsidRPr="009F0307">
        <w:rPr>
          <w:rFonts w:cstheme="minorHAnsi"/>
          <w:lang w:val="en-US"/>
        </w:rPr>
        <w:fldChar w:fldCharType="begin"/>
      </w:r>
      <w:r w:rsidRPr="009F0307">
        <w:rPr>
          <w:rFonts w:cstheme="minorHAnsi"/>
          <w:lang w:val="en-US"/>
        </w:rPr>
        <w:instrText xml:space="preserve"> ADDIN EN.CITE &lt;EndNote&gt;&lt;Cite&gt;&lt;Author&gt;Department of Psychiatry&lt;/Author&gt;&lt;Year&gt;2020&lt;/Year&gt;&lt;RecNum&gt;2588&lt;/RecNum&gt;&lt;DisplayText&gt;&lt;style face="superscript"&gt;4&lt;/style&gt;&lt;/DisplayText&gt;&lt;record&gt;&lt;rec-number&gt;2588&lt;/rec-number&gt;&lt;foreign-keys&gt;&lt;key app="EN" db-id="59vaerv2jx90r3edreppaz5j9stwe5zaxzxd" timestamp="1638985432"&gt;2588&lt;/key&gt;&lt;/foreign-keys&gt;&lt;ref-type name="Web Page"&gt;12&lt;/ref-type&gt;&lt;contributors&gt;&lt;authors&gt;&lt;author&gt;Department of Psychiatry, University of Pittsburgh&lt;/author&gt;&lt;/authors&gt;&lt;/contributors&gt;&lt;titles&gt;&lt;title&gt;A Unique Approach to Lifespan Diagnosis: The Psychological Autopsy,&lt;/title&gt;&lt;/titles&gt;&lt;dates&gt;&lt;year&gt;2020&lt;/year&gt;&lt;/dates&gt;&lt;urls&gt;&lt;related-urls&gt;&lt;url&gt;&lt;style face="underline" font="default" size="100%"&gt;https://psychiatry.pitt.edu/unique-approach-lifespan-diagnosis-psychological-autopsy&lt;/style&gt;&lt;/url&gt;&lt;/related-urls&gt;&lt;/urls&gt;&lt;/record&gt;&lt;/Cite&gt;&lt;/EndNote&gt;</w:instrText>
      </w:r>
      <w:r w:rsidRPr="009F0307">
        <w:rPr>
          <w:rFonts w:cstheme="minorHAnsi"/>
          <w:lang w:val="en-US"/>
        </w:rPr>
        <w:fldChar w:fldCharType="separate"/>
      </w:r>
      <w:r w:rsidRPr="009F0307">
        <w:rPr>
          <w:rFonts w:cstheme="minorHAnsi"/>
          <w:noProof/>
          <w:vertAlign w:val="superscript"/>
          <w:lang w:val="en-US"/>
        </w:rPr>
        <w:t>4</w:t>
      </w:r>
      <w:r w:rsidRPr="009F0307">
        <w:rPr>
          <w:rFonts w:cstheme="minorHAnsi"/>
          <w:lang w:val="en-GB"/>
        </w:rPr>
        <w:fldChar w:fldCharType="end"/>
      </w:r>
      <w:r w:rsidRPr="009F0307">
        <w:rPr>
          <w:rFonts w:cstheme="minorHAnsi"/>
          <w:lang w:val="en-US"/>
        </w:rPr>
        <w:t xml:space="preserve"> </w:t>
      </w:r>
    </w:p>
    <w:p w14:paraId="629A8A1B" w14:textId="77777777" w:rsidR="001913C6" w:rsidRPr="009F0307" w:rsidRDefault="001913C6" w:rsidP="001913C6">
      <w:pPr>
        <w:spacing w:line="360" w:lineRule="auto"/>
        <w:jc w:val="both"/>
        <w:rPr>
          <w:rFonts w:cstheme="minorHAnsi"/>
          <w:lang w:val="en-GB"/>
        </w:rPr>
      </w:pPr>
      <w:r w:rsidRPr="009F0307">
        <w:rPr>
          <w:rFonts w:cstheme="minorHAnsi"/>
          <w:lang w:val="en-GB"/>
        </w:rPr>
        <w:t xml:space="preserve">Brain tissue was sectioned as coronal slabs at autopsy and then frozen at –80 °C. Dissections were performed on frozen tissue held on dry ice in small batches for about 30 minutes. Dissections targeted the dorsal anterior cingulate cortex (ACC), above the genu of the corpus callosum, and the head of the caudate (Caudate Nucleus; CN). </w:t>
      </w:r>
    </w:p>
    <w:p w14:paraId="5DB12B03" w14:textId="77777777" w:rsidR="001913C6" w:rsidRPr="009F0307" w:rsidRDefault="001913C6" w:rsidP="001913C6">
      <w:pPr>
        <w:spacing w:line="360" w:lineRule="auto"/>
        <w:rPr>
          <w:rFonts w:cstheme="minorHAnsi"/>
          <w:lang w:val="en-GB"/>
        </w:rPr>
      </w:pPr>
    </w:p>
    <w:p w14:paraId="70CBFFEF" w14:textId="77777777" w:rsidR="001913C6" w:rsidRPr="009F0307" w:rsidRDefault="001913C6" w:rsidP="001913C6">
      <w:pPr>
        <w:spacing w:line="360" w:lineRule="auto"/>
        <w:rPr>
          <w:rFonts w:cstheme="minorHAnsi"/>
          <w:i/>
          <w:iCs/>
          <w:lang w:val="en-GB"/>
        </w:rPr>
      </w:pPr>
      <w:r w:rsidRPr="009F0307">
        <w:rPr>
          <w:rFonts w:cstheme="minorHAnsi"/>
          <w:i/>
          <w:iCs/>
          <w:lang w:val="en-GB"/>
        </w:rPr>
        <w:t>DNA methylation</w:t>
      </w:r>
    </w:p>
    <w:p w14:paraId="5D26589A" w14:textId="77777777" w:rsidR="001913C6" w:rsidRPr="009F0307" w:rsidRDefault="001913C6" w:rsidP="001913C6">
      <w:pPr>
        <w:spacing w:line="360" w:lineRule="auto"/>
        <w:jc w:val="both"/>
        <w:rPr>
          <w:rFonts w:cstheme="minorHAnsi"/>
          <w:lang w:val="en-GB"/>
        </w:rPr>
      </w:pPr>
      <w:r w:rsidRPr="009F0307">
        <w:rPr>
          <w:rFonts w:cstheme="minorHAnsi"/>
          <w:lang w:val="en-GB"/>
        </w:rPr>
        <w:t xml:space="preserve">DNA methylation was processed by importing raw IDAT files into R using the </w:t>
      </w:r>
      <w:proofErr w:type="spellStart"/>
      <w:r w:rsidRPr="009F0307">
        <w:rPr>
          <w:rFonts w:cstheme="minorHAnsi"/>
          <w:i/>
          <w:iCs/>
          <w:lang w:val="en-GB"/>
        </w:rPr>
        <w:t>minfi</w:t>
      </w:r>
      <w:proofErr w:type="spellEnd"/>
      <w:r w:rsidRPr="009F0307">
        <w:rPr>
          <w:rFonts w:cstheme="minorHAnsi"/>
          <w:i/>
          <w:iCs/>
          <w:lang w:val="en-GB"/>
        </w:rPr>
        <w:t xml:space="preserve"> </w:t>
      </w:r>
      <w:r w:rsidRPr="009F0307">
        <w:rPr>
          <w:rFonts w:cstheme="minorHAnsi"/>
          <w:lang w:val="en-GB"/>
        </w:rPr>
        <w:t>package.</w:t>
      </w:r>
      <w:r w:rsidRPr="009F0307">
        <w:rPr>
          <w:rFonts w:cstheme="minorHAnsi"/>
          <w:lang w:val="en-GB"/>
        </w:rPr>
        <w:fldChar w:fldCharType="begin">
          <w:fldData xml:space="preserve">PEVuZE5vdGU+PENpdGU+PEF1dGhvcj5BcnllZTwvQXV0aG9yPjxZZWFyPjIwMTQ8L1llYXI+PFJl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=
</w:fldData>
        </w:fldChar>
      </w:r>
      <w:r w:rsidRPr="009F0307">
        <w:rPr>
          <w:rFonts w:cstheme="minorHAnsi"/>
          <w:lang w:val="en-GB"/>
        </w:rPr>
        <w:instrText xml:space="preserve"> ADDIN EN.CITE </w:instrText>
      </w:r>
      <w:r w:rsidRPr="009F0307">
        <w:rPr>
          <w:rFonts w:cstheme="minorHAnsi"/>
          <w:lang w:val="en-GB"/>
        </w:rPr>
        <w:fldChar w:fldCharType="begin">
          <w:fldData xml:space="preserve">PEVuZE5vdGU+PENpdGU+PEF1dGhvcj5BcnllZTwvQXV0aG9yPjxZZWFyPjIwMTQ8L1llYXI+PFJl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=
</w:fldData>
        </w:fldChar>
      </w:r>
      <w:r w:rsidRPr="009F0307">
        <w:rPr>
          <w:rFonts w:cstheme="minorHAnsi"/>
          <w:lang w:val="en-GB"/>
        </w:rPr>
        <w:instrText xml:space="preserve"> ADDIN EN.CITE.DATA </w:instrText>
      </w:r>
      <w:r w:rsidRPr="009F0307">
        <w:rPr>
          <w:rFonts w:cstheme="minorHAnsi"/>
          <w:lang w:val="en-GB"/>
        </w:rPr>
      </w:r>
      <w:r w:rsidRPr="009F0307">
        <w:rPr>
          <w:rFonts w:cstheme="minorHAnsi"/>
          <w:lang w:val="en-GB"/>
        </w:rPr>
        <w:fldChar w:fldCharType="end"/>
      </w:r>
      <w:r w:rsidRPr="009F0307">
        <w:rPr>
          <w:rFonts w:cstheme="minorHAnsi"/>
          <w:lang w:val="en-GB"/>
        </w:rPr>
      </w:r>
      <w:r w:rsidRPr="009F0307">
        <w:rPr>
          <w:rFonts w:cstheme="minorHAnsi"/>
          <w:lang w:val="en-GB"/>
        </w:rPr>
        <w:fldChar w:fldCharType="separate"/>
      </w:r>
      <w:r w:rsidRPr="009F0307">
        <w:rPr>
          <w:rFonts w:cstheme="minorHAnsi"/>
          <w:noProof/>
          <w:vertAlign w:val="superscript"/>
          <w:lang w:val="en-GB"/>
        </w:rPr>
        <w:t>5</w:t>
      </w:r>
      <w:r w:rsidRPr="009F0307">
        <w:rPr>
          <w:rFonts w:cstheme="minorHAnsi"/>
          <w:lang w:val="en-GB"/>
        </w:rPr>
        <w:fldChar w:fldCharType="end"/>
      </w:r>
      <w:r w:rsidRPr="009F0307">
        <w:rPr>
          <w:rFonts w:cstheme="minorHAnsi"/>
          <w:lang w:val="en-GB"/>
        </w:rPr>
        <w:t xml:space="preserve"> Samples were excluded if the median unmethylation or methylated signal was lower than 13, sodium </w:t>
      </w:r>
      <w:proofErr w:type="spellStart"/>
      <w:r w:rsidRPr="009F0307">
        <w:rPr>
          <w:rFonts w:cstheme="minorHAnsi"/>
          <w:lang w:val="en-GB"/>
        </w:rPr>
        <w:t>bisulfite</w:t>
      </w:r>
      <w:proofErr w:type="spellEnd"/>
      <w:r w:rsidRPr="009F0307">
        <w:rPr>
          <w:rFonts w:cstheme="minorHAnsi"/>
          <w:lang w:val="en-GB"/>
        </w:rPr>
        <w:t xml:space="preserve"> conversion rates were &lt;80%, detection p-values&gt;0.01 in more than 1% of probes, the overall methylation call rate&lt;95%, or reported sex did not match predicted sex using </w:t>
      </w:r>
      <w:proofErr w:type="spellStart"/>
      <w:r w:rsidRPr="009F0307">
        <w:rPr>
          <w:rFonts w:cstheme="minorHAnsi"/>
          <w:i/>
          <w:iCs/>
          <w:lang w:val="en-GB"/>
        </w:rPr>
        <w:t>minfi</w:t>
      </w:r>
      <w:proofErr w:type="spellEnd"/>
      <w:r w:rsidRPr="009F0307">
        <w:rPr>
          <w:rFonts w:cstheme="minorHAnsi"/>
          <w:i/>
          <w:iCs/>
          <w:lang w:val="en-GB"/>
        </w:rPr>
        <w:t>::</w:t>
      </w:r>
      <w:proofErr w:type="spellStart"/>
      <w:r w:rsidRPr="009F0307">
        <w:rPr>
          <w:rFonts w:cstheme="minorHAnsi"/>
          <w:i/>
          <w:iCs/>
          <w:lang w:val="en-GB"/>
        </w:rPr>
        <w:t>getSex</w:t>
      </w:r>
      <w:proofErr w:type="spellEnd"/>
      <w:r w:rsidRPr="009F0307">
        <w:rPr>
          <w:rFonts w:cstheme="minorHAnsi"/>
          <w:i/>
          <w:iCs/>
          <w:lang w:val="en-GB"/>
        </w:rPr>
        <w:t xml:space="preserve">(). </w:t>
      </w:r>
      <w:r w:rsidRPr="009F0307">
        <w:rPr>
          <w:rFonts w:cstheme="minorHAnsi"/>
          <w:lang w:val="en-GB"/>
        </w:rPr>
        <w:t>Principal components (PCs) calculated across all probes were used to identify outliers, and any sample with more than 2 standard deviations from the mean for both PC1 and PC2 were removed. Then probes were removed if the detection p-value&gt;0.01 in more than 2% of samples or when the probes were located on the sex chromosomes, known to cross-hybridize, not measuring DNA methylation in CpG sites, and probes that contain common SNPs. Filtered probes were quantile normalized using the CPACOR pipeline.</w:t>
      </w:r>
      <w:r w:rsidRPr="009F0307">
        <w:rPr>
          <w:rFonts w:cstheme="minorHAnsi"/>
          <w:lang w:val="en-GB"/>
        </w:rPr>
        <w:fldChar w:fldCharType="begin"/>
      </w:r>
      <w:r w:rsidRPr="009F0307">
        <w:rPr>
          <w:rFonts w:cstheme="minorHAnsi"/>
          <w:lang w:val="en-GB"/>
        </w:rPr>
        <w:instrText xml:space="preserve"> ADDIN EN.CITE &lt;EndNote&gt;&lt;Cite&gt;&lt;Author&gt;Lehne&lt;/Author&gt;&lt;Year&gt;2015&lt;/Year&gt;&lt;RecNum&gt;1368&lt;/RecNum&gt;&lt;DisplayText&gt;&lt;style face="superscript"&gt;6&lt;/style&gt;&lt;/DisplayText&gt;&lt;record&gt;&lt;rec-number&gt;1368&lt;/rec-number&gt;&lt;foreign-keys&gt;&lt;key app="EN" db-id="t9w0waw9h099xnet90n59v9ap5tzpawtwps9" timestamp="1718310938"&gt;1368&lt;/key&gt;&lt;/foreign-keys&gt;&lt;ref-type name="Journal Article"&gt;17&lt;/ref-type&gt;&lt;contributors&gt;&lt;authors&gt;&lt;author&gt;Lehne, B.&lt;/author&gt;&lt;author&gt;Drong, A. W.&lt;/author&gt;&lt;author&gt;Loh, M.&lt;/author&gt;&lt;author&gt;Zhang, W.&lt;/author&gt;&lt;author&gt;Scott, W. R.&lt;/author&gt;&lt;author&gt;Tan, S. T.&lt;/author&gt;&lt;author&gt;Afzal, U.&lt;/author&gt;&lt;author&gt;Scott, J.&lt;/author&gt;&lt;author&gt;Jarvelin, M. R.&lt;/author&gt;&lt;author&gt;Elliott, P.&lt;/author&gt;&lt;author&gt;McCarthy, M. I.&lt;/author&gt;&lt;author&gt;Kooner, J. S.&lt;/author&gt;&lt;author&gt;Chambers, J. C.&lt;/author&gt;&lt;/authors&gt;&lt;/contributors&gt;&lt;titles&gt;&lt;title&gt;A coherent approach for analysis of the Illumina HumanMethylation450 BeadChip improves data quality and performance in epigenome-wide association studies&lt;/title&gt;&lt;secondary-title&gt;Genome Biol&lt;/secondary-title&gt;&lt;/titles&gt;&lt;periodical&gt;&lt;full-title&gt;Genome Biol&lt;/full-title&gt;&lt;/periodical&gt;&lt;pages&gt;37&lt;/pages&gt;&lt;volume&gt;16&lt;/volume&gt;&lt;number&gt;1&lt;/number&gt;&lt;edition&gt;2015/04/09&lt;/edition&gt;&lt;keywords&gt;&lt;keyword&gt;CpG Islands/genetics&lt;/keyword&gt;&lt;keyword&gt;DNA Methylation/*genetics&lt;/keyword&gt;&lt;keyword&gt;Epigenesis, Genetic/*genetics&lt;/keyword&gt;&lt;keyword&gt;Epigenomics/*methods&lt;/keyword&gt;&lt;keyword&gt;Genome, Human&lt;/keyword&gt;&lt;keyword&gt;Genome-Wide Association Study/*methods&lt;/keyword&gt;&lt;keyword&gt;Humans&lt;/keyword&gt;&lt;keyword&gt;Oligonucleotide Array Sequence Analysis&lt;/keyword&gt;&lt;keyword&gt;Quantitative Trait Loci/genetics&lt;/keyword&gt;&lt;keyword&gt;Software&lt;/keyword&gt;&lt;/keywords&gt;&lt;dates&gt;&lt;year&gt;2015&lt;/year&gt;&lt;pub-dates&gt;&lt;date&gt;Feb 15&lt;/date&gt;&lt;/pub-dates&gt;&lt;/dates&gt;&lt;isbn&gt;1474-760X (Electronic)&amp;#xD;1474-7596 (Print)&amp;#xD;1474-7596 (Linking)&lt;/isbn&gt;&lt;accession-num&gt;25853392&lt;/accession-num&gt;&lt;urls&gt;&lt;related-urls&gt;&lt;url&gt;https://www.ncbi.nlm.nih.gov/pubmed/25853392&lt;/url&gt;&lt;/related-urls&gt;&lt;/urls&gt;&lt;custom2&gt;PMC4365767&lt;/custom2&gt;&lt;electronic-resource-num&gt;10.1186/s13059-015-0600-x&lt;/electronic-resource-num&gt;&lt;/record&gt;&lt;/Cite&gt;&lt;/EndNote&gt;</w:instrText>
      </w:r>
      <w:r w:rsidRPr="009F0307">
        <w:rPr>
          <w:rFonts w:cstheme="minorHAnsi"/>
          <w:lang w:val="en-GB"/>
        </w:rPr>
        <w:fldChar w:fldCharType="separate"/>
      </w:r>
      <w:r w:rsidRPr="009F0307">
        <w:rPr>
          <w:rFonts w:cstheme="minorHAnsi"/>
          <w:noProof/>
          <w:vertAlign w:val="superscript"/>
          <w:lang w:val="en-GB"/>
        </w:rPr>
        <w:t>6</w:t>
      </w:r>
      <w:r w:rsidRPr="009F0307">
        <w:rPr>
          <w:rFonts w:cstheme="minorHAnsi"/>
          <w:lang w:val="en-GB"/>
        </w:rPr>
        <w:fldChar w:fldCharType="end"/>
      </w:r>
      <w:r w:rsidRPr="009F0307">
        <w:rPr>
          <w:rFonts w:cstheme="minorHAnsi"/>
          <w:lang w:val="en-GB"/>
        </w:rPr>
        <w:t xml:space="preserve"> In total, 811,639 probes were retained for the CN, and 820,051 probes were retained for the ACC.  Two CN samples were removed based on median </w:t>
      </w:r>
      <w:r w:rsidRPr="009F0307">
        <w:rPr>
          <w:rFonts w:cstheme="minorHAnsi"/>
          <w:lang w:val="en-GB"/>
        </w:rPr>
        <w:lastRenderedPageBreak/>
        <w:t>intensity plots, and four ACC samples were removed as outliers based on PCs performed in SNPs identified from the DNA methylation array. The final postmortem brain EWAS thus included data from 51 ACC and 56 caudate specimens.</w:t>
      </w:r>
    </w:p>
    <w:p w14:paraId="2321F1A0" w14:textId="77777777" w:rsidR="001913C6" w:rsidRPr="009F0307" w:rsidRDefault="001913C6" w:rsidP="001913C6">
      <w:pPr>
        <w:spacing w:line="360" w:lineRule="auto"/>
        <w:jc w:val="both"/>
        <w:rPr>
          <w:rFonts w:cstheme="minorHAnsi"/>
          <w:lang w:val="en-GB"/>
        </w:rPr>
      </w:pPr>
      <w:r w:rsidRPr="009F0307">
        <w:rPr>
          <w:rFonts w:cstheme="minorHAnsi"/>
          <w:lang w:val="en-GB"/>
        </w:rPr>
        <w:t>A smoking score was calculated based on the cleaned DNA methylation data.</w:t>
      </w:r>
      <w:r w:rsidRPr="009F0307">
        <w:rPr>
          <w:rFonts w:cstheme="minorHAnsi"/>
          <w:lang w:val="en-GB"/>
        </w:rPr>
        <w:fldChar w:fldCharType="begin"/>
      </w:r>
      <w:r w:rsidRPr="009F0307">
        <w:rPr>
          <w:rFonts w:cstheme="minorHAnsi"/>
          <w:lang w:val="en-GB"/>
        </w:rPr>
        <w:instrText xml:space="preserve"> ADDIN EN.CITE &lt;EndNote&gt;&lt;Cite&gt;&lt;Author&gt;Elliott&lt;/Author&gt;&lt;Year&gt;2014&lt;/Year&gt;&lt;RecNum&gt;564&lt;/RecNum&gt;&lt;DisplayText&gt;&lt;style face="superscript"&gt;7&lt;/style&gt;&lt;/DisplayText&gt;&lt;record&gt;&lt;rec-number&gt;564&lt;/rec-number&gt;&lt;foreign-keys&gt;&lt;key app="EN" db-id="t9w0waw9h099xnet90n59v9ap5tzpawtwps9" timestamp="1690329800"&gt;564&lt;/key&gt;&lt;/foreign-keys&gt;&lt;ref-type name="Journal Article"&gt;17&lt;/ref-type&gt;&lt;contributors&gt;&lt;authors&gt;&lt;author&gt;Elliott, H. R.&lt;/author&gt;&lt;author&gt;Tillin, T.&lt;/author&gt;&lt;author&gt;McArdle, W. L.&lt;/author&gt;&lt;author&gt;Ho, K.&lt;/author&gt;&lt;author&gt;Duggirala, A.&lt;/author&gt;&lt;author&gt;Frayling, T. M.&lt;/author&gt;&lt;author&gt;Davey Smith, G.&lt;/author&gt;&lt;author&gt;Hughes, A. D.&lt;/author&gt;&lt;author&gt;Chaturvedi, N.&lt;/author&gt;&lt;author&gt;Relton, C. L.&lt;/author&gt;&lt;/authors&gt;&lt;/contributors&gt;&lt;auth-address&gt;MRC Integrative Epidemiology Unit, School of Social and Community Medicine, University of Bristol, Bristol, UK. hannah.elliott@bristol.ac.uk.&lt;/auth-address&gt;&lt;titles&gt;&lt;title&gt;Differences in smoking associated DNA methylation patterns in South Asians and Europeans&lt;/title&gt;&lt;secondary-title&gt;Clin Epigenetics&lt;/secondary-title&gt;&lt;/titles&gt;&lt;periodical&gt;&lt;full-title&gt;Clinical Epigenetics&lt;/full-title&gt;&lt;abbr-1&gt;Clin Epigenetics&lt;/abbr-1&gt;&lt;/periodical&gt;&lt;pages&gt;4&lt;/pages&gt;&lt;volume&gt;6&lt;/volume&gt;&lt;number&gt;1&lt;/number&gt;&lt;edition&gt;2014/02/04&lt;/edition&gt;&lt;dates&gt;&lt;year&gt;2014&lt;/year&gt;&lt;pub-dates&gt;&lt;date&gt;Feb 3&lt;/date&gt;&lt;/pub-dates&gt;&lt;/dates&gt;&lt;isbn&gt;1868-7075 (Print)&amp;#xD;1868-7083 (Electronic)&amp;#xD;1868-7075 (Linking)&lt;/isbn&gt;&lt;accession-num&gt;24485148&lt;/accession-num&gt;&lt;urls&gt;&lt;related-urls&gt;&lt;url&gt;https://www.ncbi.nlm.nih.gov/pubmed/24485148&lt;/url&gt;&lt;/related-urls&gt;&lt;/urls&gt;&lt;custom2&gt;PMC3915234&lt;/custom2&gt;&lt;electronic-resource-num&gt;10.1186/1868-7083-6-4&lt;/electronic-resource-num&gt;&lt;/record&gt;&lt;/Cite&gt;&lt;/EndNote&gt;</w:instrText>
      </w:r>
      <w:r w:rsidRPr="009F0307">
        <w:rPr>
          <w:rFonts w:cstheme="minorHAnsi"/>
          <w:lang w:val="en-GB"/>
        </w:rPr>
        <w:fldChar w:fldCharType="separate"/>
      </w:r>
      <w:r w:rsidRPr="009F0307">
        <w:rPr>
          <w:rFonts w:cstheme="minorHAnsi"/>
          <w:noProof/>
          <w:vertAlign w:val="superscript"/>
          <w:lang w:val="en-GB"/>
        </w:rPr>
        <w:t>7</w:t>
      </w:r>
      <w:r w:rsidRPr="009F0307">
        <w:rPr>
          <w:rFonts w:cstheme="minorHAnsi"/>
          <w:lang w:val="en-GB"/>
        </w:rPr>
        <w:fldChar w:fldCharType="end"/>
      </w:r>
    </w:p>
    <w:p w14:paraId="683F4D41" w14:textId="77777777" w:rsidR="001913C6" w:rsidRPr="009F0307" w:rsidRDefault="001913C6" w:rsidP="001913C6">
      <w:pPr>
        <w:spacing w:line="360" w:lineRule="auto"/>
        <w:jc w:val="both"/>
        <w:rPr>
          <w:rFonts w:cstheme="minorHAnsi"/>
          <w:lang w:val="en-GB"/>
        </w:rPr>
      </w:pPr>
    </w:p>
    <w:p w14:paraId="5F83B76A" w14:textId="77777777" w:rsidR="001913C6" w:rsidRPr="009F0307" w:rsidRDefault="001913C6" w:rsidP="001913C6">
      <w:pPr>
        <w:spacing w:line="360" w:lineRule="auto"/>
        <w:jc w:val="both"/>
        <w:rPr>
          <w:rFonts w:cstheme="minorHAnsi"/>
          <w:i/>
          <w:iCs/>
          <w:lang w:val="en-GB"/>
        </w:rPr>
      </w:pPr>
      <w:r w:rsidRPr="009F0307">
        <w:rPr>
          <w:rFonts w:cstheme="minorHAnsi"/>
          <w:i/>
          <w:iCs/>
          <w:lang w:val="en-GB"/>
        </w:rPr>
        <w:t>Differentially methylated regions</w:t>
      </w:r>
    </w:p>
    <w:p w14:paraId="5B204090" w14:textId="77777777" w:rsidR="001913C6" w:rsidRPr="009F0307" w:rsidRDefault="001913C6" w:rsidP="001913C6">
      <w:pPr>
        <w:spacing w:line="360" w:lineRule="auto"/>
        <w:jc w:val="both"/>
        <w:rPr>
          <w:rFonts w:cstheme="minorHAnsi"/>
          <w:lang w:val="en-GB"/>
        </w:rPr>
      </w:pPr>
      <w:r w:rsidRPr="009F0307">
        <w:rPr>
          <w:rFonts w:cstheme="minorHAnsi"/>
          <w:lang w:val="en-GB"/>
        </w:rPr>
        <w:t xml:space="preserve">We performed </w:t>
      </w:r>
      <w:proofErr w:type="spellStart"/>
      <w:r w:rsidRPr="009F0307">
        <w:rPr>
          <w:rFonts w:cstheme="minorHAnsi"/>
          <w:lang w:val="en-GB"/>
        </w:rPr>
        <w:t>mCSEA</w:t>
      </w:r>
      <w:proofErr w:type="spellEnd"/>
      <w:r w:rsidRPr="009F0307">
        <w:rPr>
          <w:rFonts w:cstheme="minorHAnsi"/>
          <w:lang w:val="en-GB"/>
        </w:rPr>
        <w:t xml:space="preserve"> based on Gene-Set Enrichment Analysis, ranking all CpG sites based on the t-</w:t>
      </w:r>
      <w:proofErr w:type="spellStart"/>
      <w:r w:rsidRPr="009F0307">
        <w:rPr>
          <w:rFonts w:cstheme="minorHAnsi"/>
          <w:lang w:val="en-GB"/>
        </w:rPr>
        <w:t>statstics</w:t>
      </w:r>
      <w:proofErr w:type="spellEnd"/>
      <w:r w:rsidRPr="009F0307">
        <w:rPr>
          <w:rFonts w:cstheme="minorHAnsi"/>
          <w:lang w:val="en-GB"/>
        </w:rPr>
        <w:t xml:space="preserve"> derived from the association between DNA methylation profiles and ADHD diagnosis state. An enrichment analysis is performed on CpG sites in pre-defined regions using GSEA, implemented in </w:t>
      </w:r>
      <w:proofErr w:type="spellStart"/>
      <w:r w:rsidRPr="009F0307">
        <w:rPr>
          <w:rFonts w:cstheme="minorHAnsi"/>
          <w:i/>
          <w:iCs/>
          <w:lang w:val="en-GB"/>
        </w:rPr>
        <w:t>fgsea</w:t>
      </w:r>
      <w:proofErr w:type="spellEnd"/>
      <w:r w:rsidRPr="009F0307">
        <w:rPr>
          <w:rFonts w:cstheme="minorHAnsi"/>
          <w:i/>
          <w:iCs/>
          <w:lang w:val="en-GB"/>
        </w:rPr>
        <w:t>.</w:t>
      </w:r>
      <w:r w:rsidRPr="009F0307">
        <w:rPr>
          <w:rFonts w:cstheme="minorHAnsi"/>
          <w:lang w:val="en-GB"/>
        </w:rPr>
        <w:t xml:space="preserve"> Regions with CpG sites over-represented in the ordered list of CpG sites are defined as differentially methylated regions (DMRs). The DMR analysis was conducted separately for probes in gene bodies, promoter regions, and CpG islands, and only regions with five or more probes were considered. For the ACC, this resulted in 15,155 regions for gene bodies, 19,162 for promoters, and 24,657 for CpG islands. For the CN, this resulted in 15,076 regions for gene bodies, 19,073 for promoters, and 24,626 for CpG islands. The leading probes of a DMR were mapped to the nearest gene using the R package IlluminaHumanMethylationEPICanno.ilm10b2.hg19, (within 1500 bp upstream or downstream). </w:t>
      </w:r>
    </w:p>
    <w:p w14:paraId="7F59B318" w14:textId="77777777" w:rsidR="001913C6" w:rsidRPr="009F0307" w:rsidRDefault="001913C6" w:rsidP="001913C6">
      <w:pPr>
        <w:rPr>
          <w:rFonts w:cstheme="minorHAnsi"/>
          <w:noProof/>
          <w:lang w:val="en-GB"/>
        </w:rPr>
      </w:pPr>
    </w:p>
    <w:p w14:paraId="2F38974E" w14:textId="77777777" w:rsidR="001913C6" w:rsidRPr="009F0307" w:rsidRDefault="001913C6" w:rsidP="001913C6">
      <w:pPr>
        <w:rPr>
          <w:rFonts w:cstheme="minorHAnsi"/>
          <w:noProof/>
          <w:lang w:val="en-GB"/>
        </w:rPr>
      </w:pPr>
    </w:p>
    <w:p w14:paraId="29116148" w14:textId="77777777" w:rsidR="001913C6" w:rsidRPr="009F0307" w:rsidRDefault="001913C6" w:rsidP="001913C6">
      <w:pPr>
        <w:rPr>
          <w:rFonts w:cstheme="minorHAnsi"/>
          <w:i/>
          <w:iCs/>
          <w:noProof/>
          <w:lang w:val="en-GB"/>
        </w:rPr>
      </w:pPr>
      <w:r w:rsidRPr="009F0307">
        <w:rPr>
          <w:rFonts w:cstheme="minorHAnsi"/>
          <w:i/>
          <w:iCs/>
          <w:noProof/>
          <w:lang w:val="en-GB"/>
        </w:rPr>
        <w:br w:type="page"/>
      </w:r>
    </w:p>
    <w:p w14:paraId="1ACDC7BF" w14:textId="77777777" w:rsidR="001913C6" w:rsidRPr="00780B6B" w:rsidRDefault="001913C6" w:rsidP="001913C6">
      <w:pPr>
        <w:jc w:val="both"/>
        <w:rPr>
          <w:rFonts w:cstheme="minorHAnsi"/>
          <w:b/>
          <w:bCs/>
          <w:noProof/>
          <w:sz w:val="24"/>
          <w:szCs w:val="24"/>
          <w:lang w:val="en-GB"/>
        </w:rPr>
      </w:pPr>
      <w:r w:rsidRPr="00780B6B">
        <w:rPr>
          <w:rFonts w:cstheme="minorHAnsi"/>
          <w:b/>
          <w:bCs/>
          <w:noProof/>
          <w:sz w:val="24"/>
          <w:szCs w:val="24"/>
          <w:lang w:val="en-GB"/>
        </w:rPr>
        <w:lastRenderedPageBreak/>
        <w:t>Supplementary results</w:t>
      </w:r>
    </w:p>
    <w:p w14:paraId="6374B3E4" w14:textId="77777777" w:rsidR="001913C6" w:rsidRDefault="001913C6" w:rsidP="001913C6">
      <w:pPr>
        <w:jc w:val="both"/>
        <w:rPr>
          <w:lang w:val="en-GB"/>
        </w:rPr>
      </w:pPr>
      <w:r>
        <w:rPr>
          <w:noProof/>
        </w:rPr>
        <w:drawing>
          <wp:anchor distT="0" distB="0" distL="114300" distR="114300" simplePos="0" relativeHeight="251659264" behindDoc="0" locked="0" layoutInCell="1" allowOverlap="1" wp14:anchorId="01164D27" wp14:editId="4F9A8445">
            <wp:simplePos x="0" y="0"/>
            <wp:positionH relativeFrom="page">
              <wp:align>right</wp:align>
            </wp:positionH>
            <wp:positionV relativeFrom="paragraph">
              <wp:posOffset>0</wp:posOffset>
            </wp:positionV>
            <wp:extent cx="7483764" cy="2124710"/>
            <wp:effectExtent l="0" t="0" r="3175" b="0"/>
            <wp:wrapTopAndBottom/>
            <wp:docPr id="665004704" name="Afbeelding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004704" name="Afbeelding 1" descr="A graph of a graph&#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483764" cy="2124710"/>
                    </a:xfrm>
                    <a:prstGeom prst="rect">
                      <a:avLst/>
                    </a:prstGeom>
                    <a:noFill/>
                  </pic:spPr>
                </pic:pic>
              </a:graphicData>
            </a:graphic>
            <wp14:sizeRelH relativeFrom="margin">
              <wp14:pctWidth>0</wp14:pctWidth>
            </wp14:sizeRelH>
            <wp14:sizeRelV relativeFrom="margin">
              <wp14:pctHeight>0</wp14:pctHeight>
            </wp14:sizeRelV>
          </wp:anchor>
        </w:drawing>
      </w:r>
      <w:r w:rsidRPr="00B115AA">
        <w:rPr>
          <w:b/>
          <w:bCs/>
          <w:lang w:val="en-GB"/>
        </w:rPr>
        <w:t>Supplementary Figure 1 Estimated cell type p</w:t>
      </w:r>
      <w:r>
        <w:rPr>
          <w:b/>
          <w:bCs/>
          <w:lang w:val="en-GB"/>
        </w:rPr>
        <w:t xml:space="preserve">roportions in the anterior cingulate cortex and caudate nucleus do not differ between individuals with ADHD and unaffected comparison individuals. </w:t>
      </w:r>
      <w:r>
        <w:rPr>
          <w:lang w:val="en-GB"/>
        </w:rPr>
        <w:t xml:space="preserve">Brain cell type proportions were estimated with the </w:t>
      </w:r>
      <w:proofErr w:type="spellStart"/>
      <w:r>
        <w:rPr>
          <w:lang w:val="en-GB"/>
        </w:rPr>
        <w:t>HiBED</w:t>
      </w:r>
      <w:proofErr w:type="spellEnd"/>
      <w:r>
        <w:rPr>
          <w:lang w:val="en-GB"/>
        </w:rPr>
        <w:t xml:space="preserve"> epigenomic deconvolution panel. Principal component analyses showed that the anterior cingulate cortex (ACC; red) showed different cell type proportion patterns than the caudate nucleus (blue) (left panel). There were no differences in brain cell type proportions between individuals with ADHD (red) compared to unaffected individuals (blue) in either the ACC (middle panel) or caudate nucleus (right panel). </w:t>
      </w:r>
    </w:p>
    <w:p w14:paraId="0F2612F0" w14:textId="77777777" w:rsidR="001913C6" w:rsidRDefault="001913C6" w:rsidP="001913C6">
      <w:pPr>
        <w:jc w:val="both"/>
        <w:rPr>
          <w:lang w:val="en-GB"/>
        </w:rPr>
      </w:pPr>
    </w:p>
    <w:p w14:paraId="42B14440" w14:textId="77777777" w:rsidR="001913C6" w:rsidRDefault="001913C6" w:rsidP="001913C6">
      <w:pPr>
        <w:jc w:val="both"/>
        <w:rPr>
          <w:lang w:val="en-GB"/>
        </w:rPr>
      </w:pPr>
      <w:r>
        <w:rPr>
          <w:noProof/>
          <w:lang w:val="en-GB"/>
        </w:rPr>
        <w:drawing>
          <wp:anchor distT="0" distB="0" distL="114300" distR="114300" simplePos="0" relativeHeight="251660288" behindDoc="0" locked="0" layoutInCell="1" allowOverlap="1" wp14:anchorId="75D12042" wp14:editId="72CF7D6F">
            <wp:simplePos x="0" y="0"/>
            <wp:positionH relativeFrom="column">
              <wp:posOffset>-25</wp:posOffset>
            </wp:positionH>
            <wp:positionV relativeFrom="paragraph">
              <wp:posOffset>-3912</wp:posOffset>
            </wp:positionV>
            <wp:extent cx="6064851" cy="3101645"/>
            <wp:effectExtent l="0" t="0" r="0" b="3810"/>
            <wp:wrapTopAndBottom/>
            <wp:docPr id="1931954174" name="Afbeelding 2"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954174" name="Afbeelding 2" descr="A comparison of a graph&#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64851" cy="3101645"/>
                    </a:xfrm>
                    <a:prstGeom prst="rect">
                      <a:avLst/>
                    </a:prstGeom>
                    <a:noFill/>
                  </pic:spPr>
                </pic:pic>
              </a:graphicData>
            </a:graphic>
          </wp:anchor>
        </w:drawing>
      </w:r>
      <w:r w:rsidRPr="00953A88">
        <w:rPr>
          <w:b/>
          <w:bCs/>
          <w:lang w:val="en-GB"/>
        </w:rPr>
        <w:t xml:space="preserve">Supplementary Figure 2 Quantile-quantile plots for epigenome-wide </w:t>
      </w:r>
      <w:r>
        <w:rPr>
          <w:b/>
          <w:bCs/>
          <w:lang w:val="en-GB"/>
        </w:rPr>
        <w:t xml:space="preserve">association studies in the anterior cingulate cortex and caudate nucleus bulk tissue did not show test-statistic inflation. </w:t>
      </w:r>
      <w:r w:rsidRPr="00953A88">
        <w:rPr>
          <w:lang w:val="en-GB"/>
        </w:rPr>
        <w:t xml:space="preserve">The x-axis shows the expected -log10(p-value) and the y-axis shows the observed -log10(p-value). The inflation factor (λ) is given at the </w:t>
      </w:r>
      <w:r>
        <w:rPr>
          <w:lang w:val="en-GB"/>
        </w:rPr>
        <w:t xml:space="preserve">top of each plot. ACC = anterior cingulate cortex; Caudate = Caudate nucleus. </w:t>
      </w:r>
    </w:p>
    <w:p w14:paraId="25941488" w14:textId="7D1FA87C" w:rsidR="001913C6" w:rsidRDefault="001913C6" w:rsidP="001913C6">
      <w:pPr>
        <w:rPr>
          <w:lang w:val="en-GB"/>
        </w:rPr>
      </w:pPr>
    </w:p>
    <w:p w14:paraId="7090D76C" w14:textId="1D85C63C" w:rsidR="00842F27" w:rsidRPr="00842F27" w:rsidRDefault="00842F27" w:rsidP="001913C6">
      <w:pPr>
        <w:jc w:val="both"/>
        <w:rPr>
          <w:b/>
          <w:bCs/>
          <w:lang w:val="en-GB"/>
        </w:rPr>
      </w:pPr>
      <w:r w:rsidRPr="00842F27">
        <w:rPr>
          <w:b/>
          <w:bCs/>
          <w:lang w:val="en-GB"/>
        </w:rPr>
        <w:t>Supplementary Table 1 Comorbidities in individuals with ADHD</w:t>
      </w:r>
    </w:p>
    <w:tbl>
      <w:tblPr>
        <w:tblStyle w:val="TableGrid"/>
        <w:tblW w:w="0" w:type="auto"/>
        <w:tblLook w:val="04A0" w:firstRow="1" w:lastRow="0" w:firstColumn="1" w:lastColumn="0" w:noHBand="0" w:noVBand="1"/>
      </w:tblPr>
      <w:tblGrid>
        <w:gridCol w:w="3964"/>
        <w:gridCol w:w="993"/>
      </w:tblGrid>
      <w:tr w:rsidR="00842F27" w14:paraId="6B3E2A8B" w14:textId="77777777" w:rsidTr="00842F27">
        <w:tc>
          <w:tcPr>
            <w:tcW w:w="3964" w:type="dxa"/>
          </w:tcPr>
          <w:p w14:paraId="3F058A2F" w14:textId="77777777" w:rsidR="00842F27" w:rsidRPr="00E91C8B" w:rsidRDefault="00842F27" w:rsidP="00D10DB8">
            <w:pPr>
              <w:rPr>
                <w:b/>
                <w:bCs/>
              </w:rPr>
            </w:pPr>
            <w:r w:rsidRPr="00E91C8B">
              <w:rPr>
                <w:b/>
                <w:bCs/>
              </w:rPr>
              <w:t>Comorbidities</w:t>
            </w:r>
          </w:p>
        </w:tc>
        <w:tc>
          <w:tcPr>
            <w:tcW w:w="993" w:type="dxa"/>
          </w:tcPr>
          <w:p w14:paraId="5292F7ED" w14:textId="77777777" w:rsidR="00842F27" w:rsidRPr="00E91C8B" w:rsidRDefault="00842F27" w:rsidP="00D10DB8">
            <w:pPr>
              <w:rPr>
                <w:b/>
                <w:bCs/>
              </w:rPr>
            </w:pPr>
            <w:r w:rsidRPr="00E91C8B">
              <w:rPr>
                <w:b/>
                <w:bCs/>
              </w:rPr>
              <w:t>N</w:t>
            </w:r>
          </w:p>
        </w:tc>
      </w:tr>
      <w:tr w:rsidR="00842F27" w14:paraId="46BFB7CF" w14:textId="77777777" w:rsidTr="00842F27">
        <w:tc>
          <w:tcPr>
            <w:tcW w:w="3964" w:type="dxa"/>
          </w:tcPr>
          <w:p w14:paraId="4AF30278" w14:textId="77777777" w:rsidR="00842F27" w:rsidRDefault="00842F27" w:rsidP="00D10DB8">
            <w:r>
              <w:t>None</w:t>
            </w:r>
          </w:p>
        </w:tc>
        <w:tc>
          <w:tcPr>
            <w:tcW w:w="993" w:type="dxa"/>
          </w:tcPr>
          <w:p w14:paraId="67B285B1" w14:textId="77777777" w:rsidR="00842F27" w:rsidRDefault="00842F27" w:rsidP="00D10DB8">
            <w:r>
              <w:t>16</w:t>
            </w:r>
          </w:p>
        </w:tc>
      </w:tr>
      <w:tr w:rsidR="00842F27" w14:paraId="5083B359" w14:textId="77777777" w:rsidTr="00842F27">
        <w:tc>
          <w:tcPr>
            <w:tcW w:w="3964" w:type="dxa"/>
          </w:tcPr>
          <w:p w14:paraId="43FB583D" w14:textId="77777777" w:rsidR="00842F27" w:rsidRDefault="00842F27" w:rsidP="00D10DB8">
            <w:r>
              <w:t>ASD</w:t>
            </w:r>
          </w:p>
        </w:tc>
        <w:tc>
          <w:tcPr>
            <w:tcW w:w="993" w:type="dxa"/>
          </w:tcPr>
          <w:p w14:paraId="1C750669" w14:textId="77777777" w:rsidR="00842F27" w:rsidRDefault="00842F27" w:rsidP="00D10DB8">
            <w:r>
              <w:t>1</w:t>
            </w:r>
          </w:p>
        </w:tc>
      </w:tr>
      <w:tr w:rsidR="00842F27" w14:paraId="56636282" w14:textId="77777777" w:rsidTr="00842F27">
        <w:tc>
          <w:tcPr>
            <w:tcW w:w="3964" w:type="dxa"/>
          </w:tcPr>
          <w:p w14:paraId="678448ED" w14:textId="77777777" w:rsidR="00842F27" w:rsidRDefault="00842F27" w:rsidP="00D10DB8">
            <w:r>
              <w:t>MDD</w:t>
            </w:r>
          </w:p>
        </w:tc>
        <w:tc>
          <w:tcPr>
            <w:tcW w:w="993" w:type="dxa"/>
          </w:tcPr>
          <w:p w14:paraId="58EEA601" w14:textId="77777777" w:rsidR="00842F27" w:rsidRDefault="00842F27" w:rsidP="00D10DB8">
            <w:r>
              <w:t>5</w:t>
            </w:r>
          </w:p>
        </w:tc>
      </w:tr>
      <w:tr w:rsidR="00842F27" w14:paraId="7DDB4990" w14:textId="77777777" w:rsidTr="00842F27">
        <w:tc>
          <w:tcPr>
            <w:tcW w:w="3964" w:type="dxa"/>
          </w:tcPr>
          <w:p w14:paraId="3DC6EF84" w14:textId="77777777" w:rsidR="00842F27" w:rsidRDefault="00842F27" w:rsidP="00D10DB8">
            <w:r>
              <w:t>BPAD_NOS; Impulse control disorder</w:t>
            </w:r>
          </w:p>
        </w:tc>
        <w:tc>
          <w:tcPr>
            <w:tcW w:w="993" w:type="dxa"/>
          </w:tcPr>
          <w:p w14:paraId="13DF7013" w14:textId="77777777" w:rsidR="00842F27" w:rsidRDefault="00842F27" w:rsidP="00D10DB8">
            <w:r>
              <w:t>1</w:t>
            </w:r>
          </w:p>
        </w:tc>
      </w:tr>
      <w:tr w:rsidR="00842F27" w14:paraId="271114ED" w14:textId="77777777" w:rsidTr="00842F27">
        <w:tc>
          <w:tcPr>
            <w:tcW w:w="3964" w:type="dxa"/>
          </w:tcPr>
          <w:p w14:paraId="60A21026" w14:textId="77777777" w:rsidR="00842F27" w:rsidRPr="00E91C8B" w:rsidRDefault="00842F27" w:rsidP="00D10DB8">
            <w:pPr>
              <w:rPr>
                <w:b/>
                <w:bCs/>
              </w:rPr>
            </w:pPr>
            <w:r w:rsidRPr="00E91C8B">
              <w:rPr>
                <w:b/>
                <w:bCs/>
              </w:rPr>
              <w:t>Total</w:t>
            </w:r>
          </w:p>
        </w:tc>
        <w:tc>
          <w:tcPr>
            <w:tcW w:w="993" w:type="dxa"/>
          </w:tcPr>
          <w:p w14:paraId="44525EF1" w14:textId="77777777" w:rsidR="00842F27" w:rsidRPr="00E91C8B" w:rsidRDefault="00842F27" w:rsidP="00D10DB8">
            <w:pPr>
              <w:rPr>
                <w:b/>
                <w:bCs/>
              </w:rPr>
            </w:pPr>
            <w:r w:rsidRPr="00E91C8B">
              <w:rPr>
                <w:b/>
                <w:bCs/>
              </w:rPr>
              <w:t>23</w:t>
            </w:r>
          </w:p>
        </w:tc>
      </w:tr>
    </w:tbl>
    <w:p w14:paraId="7F822655" w14:textId="77777777" w:rsidR="00842F27" w:rsidRPr="00842F27" w:rsidRDefault="00842F27" w:rsidP="001913C6">
      <w:pPr>
        <w:jc w:val="both"/>
        <w:rPr>
          <w:lang w:val="en-GB"/>
        </w:rPr>
      </w:pPr>
    </w:p>
    <w:p w14:paraId="3BB022BB" w14:textId="77777777" w:rsidR="00842F27" w:rsidRDefault="00842F27" w:rsidP="001913C6">
      <w:pPr>
        <w:jc w:val="both"/>
        <w:rPr>
          <w:b/>
          <w:bCs/>
          <w:lang w:val="en-GB"/>
        </w:rPr>
      </w:pPr>
    </w:p>
    <w:p w14:paraId="3CE4719C" w14:textId="7BA9E1D7" w:rsidR="001913C6" w:rsidRDefault="001913C6" w:rsidP="001913C6">
      <w:pPr>
        <w:jc w:val="both"/>
        <w:rPr>
          <w:b/>
          <w:bCs/>
          <w:lang w:val="en-GB"/>
        </w:rPr>
      </w:pPr>
      <w:r>
        <w:rPr>
          <w:b/>
          <w:bCs/>
          <w:lang w:val="en-GB"/>
        </w:rPr>
        <w:t xml:space="preserve">Supplementary Table </w:t>
      </w:r>
      <w:r w:rsidR="00CD6D7D">
        <w:rPr>
          <w:b/>
          <w:bCs/>
          <w:lang w:val="en-GB"/>
        </w:rPr>
        <w:t>2</w:t>
      </w:r>
      <w:r>
        <w:rPr>
          <w:b/>
          <w:bCs/>
          <w:lang w:val="en-GB"/>
        </w:rPr>
        <w:t xml:space="preserve"> Differentially methylated regions in bulk epigenome-wide association study for ADHD in both the anterior cingulate cortex and caudate nucleus corrected for seven different brain cell types </w:t>
      </w:r>
    </w:p>
    <w:p w14:paraId="22E73D19" w14:textId="10C826BB" w:rsidR="001913C6" w:rsidRPr="00AD15A2" w:rsidRDefault="001913C6" w:rsidP="001913C6">
      <w:pPr>
        <w:jc w:val="both"/>
        <w:rPr>
          <w:i/>
          <w:iCs/>
          <w:lang w:val="en-GB"/>
        </w:rPr>
      </w:pPr>
      <w:r>
        <w:rPr>
          <w:i/>
          <w:iCs/>
          <w:lang w:val="en-GB"/>
        </w:rPr>
        <w:t xml:space="preserve">See Excel “Supplementary Table </w:t>
      </w:r>
      <w:r w:rsidR="00CD6D7D">
        <w:rPr>
          <w:i/>
          <w:iCs/>
          <w:lang w:val="en-GB"/>
        </w:rPr>
        <w:t>2</w:t>
      </w:r>
      <w:r>
        <w:rPr>
          <w:i/>
          <w:iCs/>
          <w:lang w:val="en-GB"/>
        </w:rPr>
        <w:t>”</w:t>
      </w:r>
    </w:p>
    <w:p w14:paraId="1C1FB03E" w14:textId="77777777" w:rsidR="001913C6" w:rsidRDefault="001913C6" w:rsidP="001913C6">
      <w:pPr>
        <w:jc w:val="both"/>
        <w:rPr>
          <w:b/>
          <w:bCs/>
          <w:lang w:val="en-GB"/>
        </w:rPr>
      </w:pPr>
    </w:p>
    <w:p w14:paraId="06B8EAEE" w14:textId="77777777" w:rsidR="001913C6" w:rsidRDefault="001913C6" w:rsidP="001913C6">
      <w:pPr>
        <w:jc w:val="both"/>
        <w:rPr>
          <w:b/>
          <w:bCs/>
          <w:lang w:val="en-GB"/>
        </w:rPr>
      </w:pPr>
    </w:p>
    <w:p w14:paraId="7F196CF8" w14:textId="51B6A01D" w:rsidR="001913C6" w:rsidRPr="006A15EB" w:rsidRDefault="001913C6" w:rsidP="001913C6">
      <w:pPr>
        <w:jc w:val="both"/>
        <w:rPr>
          <w:lang w:val="en-GB"/>
        </w:rPr>
      </w:pPr>
      <w:r>
        <w:rPr>
          <w:b/>
          <w:bCs/>
          <w:lang w:val="en-GB"/>
        </w:rPr>
        <w:t xml:space="preserve">Supplementary Table </w:t>
      </w:r>
      <w:r w:rsidR="00CD6D7D">
        <w:rPr>
          <w:b/>
          <w:bCs/>
          <w:lang w:val="en-GB"/>
        </w:rPr>
        <w:t>3</w:t>
      </w:r>
      <w:r>
        <w:rPr>
          <w:b/>
          <w:bCs/>
          <w:lang w:val="en-GB"/>
        </w:rPr>
        <w:t xml:space="preserve"> Overview of statistically significant associations in cell type-specific epigenome-wide association study for ADHD in both the anterior cingulate cortex and caudate nucleus</w:t>
      </w:r>
    </w:p>
    <w:tbl>
      <w:tblPr>
        <w:tblStyle w:val="TableGrid"/>
        <w:tblW w:w="0" w:type="auto"/>
        <w:tblLook w:val="04A0" w:firstRow="1" w:lastRow="0" w:firstColumn="1" w:lastColumn="0" w:noHBand="0" w:noVBand="1"/>
      </w:tblPr>
      <w:tblGrid>
        <w:gridCol w:w="1812"/>
        <w:gridCol w:w="1812"/>
        <w:gridCol w:w="1812"/>
        <w:gridCol w:w="1813"/>
        <w:gridCol w:w="1813"/>
      </w:tblGrid>
      <w:tr w:rsidR="001913C6" w14:paraId="10F793D8" w14:textId="77777777" w:rsidTr="002767CA">
        <w:tc>
          <w:tcPr>
            <w:tcW w:w="1812" w:type="dxa"/>
          </w:tcPr>
          <w:p w14:paraId="0D76755C" w14:textId="77777777" w:rsidR="001913C6" w:rsidRDefault="001913C6" w:rsidP="002767CA">
            <w:pPr>
              <w:rPr>
                <w:rFonts w:asciiTheme="majorHAnsi" w:hAnsiTheme="majorHAnsi" w:cstheme="majorHAnsi"/>
                <w:lang w:val="en-GB"/>
              </w:rPr>
            </w:pPr>
          </w:p>
        </w:tc>
        <w:tc>
          <w:tcPr>
            <w:tcW w:w="3624" w:type="dxa"/>
            <w:gridSpan w:val="2"/>
          </w:tcPr>
          <w:p w14:paraId="1481094A" w14:textId="77777777" w:rsidR="001913C6" w:rsidRDefault="001913C6" w:rsidP="002767CA">
            <w:pPr>
              <w:jc w:val="center"/>
              <w:rPr>
                <w:rFonts w:asciiTheme="majorHAnsi" w:hAnsiTheme="majorHAnsi" w:cstheme="majorHAnsi"/>
                <w:lang w:val="en-GB"/>
              </w:rPr>
            </w:pPr>
            <w:r>
              <w:rPr>
                <w:rFonts w:asciiTheme="majorHAnsi" w:hAnsiTheme="majorHAnsi" w:cstheme="majorHAnsi"/>
                <w:lang w:val="en-GB"/>
              </w:rPr>
              <w:t>ACC</w:t>
            </w:r>
          </w:p>
        </w:tc>
        <w:tc>
          <w:tcPr>
            <w:tcW w:w="3626" w:type="dxa"/>
            <w:gridSpan w:val="2"/>
          </w:tcPr>
          <w:p w14:paraId="354E1E92" w14:textId="77777777" w:rsidR="001913C6" w:rsidRDefault="001913C6" w:rsidP="002767CA">
            <w:pPr>
              <w:jc w:val="center"/>
              <w:rPr>
                <w:rFonts w:asciiTheme="majorHAnsi" w:hAnsiTheme="majorHAnsi" w:cstheme="majorHAnsi"/>
                <w:lang w:val="en-GB"/>
              </w:rPr>
            </w:pPr>
            <w:r>
              <w:rPr>
                <w:rFonts w:asciiTheme="majorHAnsi" w:hAnsiTheme="majorHAnsi" w:cstheme="majorHAnsi"/>
                <w:lang w:val="en-GB"/>
              </w:rPr>
              <w:t>CN</w:t>
            </w:r>
          </w:p>
        </w:tc>
      </w:tr>
      <w:tr w:rsidR="001913C6" w14:paraId="1C0FC720" w14:textId="77777777" w:rsidTr="002767CA">
        <w:tc>
          <w:tcPr>
            <w:tcW w:w="1812" w:type="dxa"/>
          </w:tcPr>
          <w:p w14:paraId="04EF7FEB" w14:textId="77777777" w:rsidR="001913C6" w:rsidRDefault="001913C6" w:rsidP="002767CA">
            <w:pPr>
              <w:rPr>
                <w:rFonts w:asciiTheme="majorHAnsi" w:hAnsiTheme="majorHAnsi" w:cstheme="majorHAnsi"/>
                <w:lang w:val="en-GB"/>
              </w:rPr>
            </w:pPr>
            <w:r>
              <w:rPr>
                <w:rFonts w:asciiTheme="majorHAnsi" w:hAnsiTheme="majorHAnsi" w:cstheme="majorHAnsi"/>
                <w:lang w:val="en-GB"/>
              </w:rPr>
              <w:t>Cell type</w:t>
            </w:r>
          </w:p>
        </w:tc>
        <w:tc>
          <w:tcPr>
            <w:tcW w:w="1812" w:type="dxa"/>
          </w:tcPr>
          <w:p w14:paraId="730B018E" w14:textId="77777777" w:rsidR="001913C6" w:rsidRDefault="001913C6" w:rsidP="002767CA">
            <w:pPr>
              <w:jc w:val="center"/>
              <w:rPr>
                <w:rFonts w:asciiTheme="majorHAnsi" w:hAnsiTheme="majorHAnsi" w:cstheme="majorHAnsi"/>
                <w:lang w:val="en-GB"/>
              </w:rPr>
            </w:pPr>
            <w:r>
              <w:rPr>
                <w:rFonts w:asciiTheme="majorHAnsi" w:hAnsiTheme="majorHAnsi" w:cstheme="majorHAnsi"/>
                <w:lang w:val="en-GB"/>
              </w:rPr>
              <w:t># Significant associations</w:t>
            </w:r>
          </w:p>
        </w:tc>
        <w:tc>
          <w:tcPr>
            <w:tcW w:w="1812" w:type="dxa"/>
          </w:tcPr>
          <w:p w14:paraId="0847A4B8" w14:textId="77777777" w:rsidR="001913C6" w:rsidRDefault="001913C6" w:rsidP="002767CA">
            <w:pPr>
              <w:jc w:val="center"/>
              <w:rPr>
                <w:rFonts w:asciiTheme="majorHAnsi" w:hAnsiTheme="majorHAnsi" w:cstheme="majorHAnsi"/>
                <w:lang w:val="en-GB"/>
              </w:rPr>
            </w:pPr>
            <w:r>
              <w:rPr>
                <w:rFonts w:asciiTheme="majorHAnsi" w:hAnsiTheme="majorHAnsi" w:cstheme="majorHAnsi"/>
                <w:lang w:val="en-GB"/>
              </w:rPr>
              <w:t>Lowest adjusted p-value</w:t>
            </w:r>
          </w:p>
        </w:tc>
        <w:tc>
          <w:tcPr>
            <w:tcW w:w="1813" w:type="dxa"/>
          </w:tcPr>
          <w:p w14:paraId="3F86CB56" w14:textId="77777777" w:rsidR="001913C6" w:rsidRDefault="001913C6" w:rsidP="002767CA">
            <w:pPr>
              <w:jc w:val="center"/>
              <w:rPr>
                <w:rFonts w:asciiTheme="majorHAnsi" w:hAnsiTheme="majorHAnsi" w:cstheme="majorHAnsi"/>
                <w:lang w:val="en-GB"/>
              </w:rPr>
            </w:pPr>
            <w:r>
              <w:rPr>
                <w:rFonts w:asciiTheme="majorHAnsi" w:hAnsiTheme="majorHAnsi" w:cstheme="majorHAnsi"/>
                <w:lang w:val="en-GB"/>
              </w:rPr>
              <w:t># Significant associations</w:t>
            </w:r>
          </w:p>
        </w:tc>
        <w:tc>
          <w:tcPr>
            <w:tcW w:w="1813" w:type="dxa"/>
          </w:tcPr>
          <w:p w14:paraId="31336754" w14:textId="77777777" w:rsidR="001913C6" w:rsidRDefault="001913C6" w:rsidP="002767CA">
            <w:pPr>
              <w:jc w:val="center"/>
              <w:rPr>
                <w:rFonts w:asciiTheme="majorHAnsi" w:hAnsiTheme="majorHAnsi" w:cstheme="majorHAnsi"/>
                <w:lang w:val="en-GB"/>
              </w:rPr>
            </w:pPr>
            <w:r>
              <w:rPr>
                <w:rFonts w:asciiTheme="majorHAnsi" w:hAnsiTheme="majorHAnsi" w:cstheme="majorHAnsi"/>
                <w:lang w:val="en-GB"/>
              </w:rPr>
              <w:t>Lowest adjusted p-value</w:t>
            </w:r>
          </w:p>
        </w:tc>
      </w:tr>
      <w:tr w:rsidR="001913C6" w14:paraId="75FDBA6D" w14:textId="77777777" w:rsidTr="002767CA">
        <w:tc>
          <w:tcPr>
            <w:tcW w:w="1812" w:type="dxa"/>
          </w:tcPr>
          <w:p w14:paraId="2456E6A7" w14:textId="77777777" w:rsidR="001913C6" w:rsidRDefault="001913C6" w:rsidP="002767CA">
            <w:pPr>
              <w:rPr>
                <w:rFonts w:asciiTheme="majorHAnsi" w:hAnsiTheme="majorHAnsi" w:cstheme="majorHAnsi"/>
                <w:lang w:val="en-GB"/>
              </w:rPr>
            </w:pPr>
            <w:r>
              <w:rPr>
                <w:rFonts w:asciiTheme="majorHAnsi" w:hAnsiTheme="majorHAnsi" w:cstheme="majorHAnsi"/>
                <w:lang w:val="en-GB"/>
              </w:rPr>
              <w:t>Endothelial cells</w:t>
            </w:r>
          </w:p>
        </w:tc>
        <w:tc>
          <w:tcPr>
            <w:tcW w:w="1812" w:type="dxa"/>
          </w:tcPr>
          <w:p w14:paraId="34DB47D8" w14:textId="77777777" w:rsidR="001913C6" w:rsidRDefault="001913C6" w:rsidP="002767CA">
            <w:pPr>
              <w:rPr>
                <w:rFonts w:asciiTheme="majorHAnsi" w:hAnsiTheme="majorHAnsi" w:cstheme="majorHAnsi"/>
                <w:lang w:val="en-GB"/>
              </w:rPr>
            </w:pPr>
            <w:r>
              <w:rPr>
                <w:rFonts w:asciiTheme="majorHAnsi" w:hAnsiTheme="majorHAnsi" w:cstheme="majorHAnsi"/>
                <w:lang w:val="en-GB"/>
              </w:rPr>
              <w:t>0</w:t>
            </w:r>
          </w:p>
        </w:tc>
        <w:tc>
          <w:tcPr>
            <w:tcW w:w="1812" w:type="dxa"/>
          </w:tcPr>
          <w:p w14:paraId="5B6005A1" w14:textId="77777777" w:rsidR="001913C6" w:rsidRDefault="001913C6" w:rsidP="002767CA">
            <w:pPr>
              <w:rPr>
                <w:rFonts w:asciiTheme="majorHAnsi" w:hAnsiTheme="majorHAnsi" w:cstheme="majorHAnsi"/>
                <w:lang w:val="en-GB"/>
              </w:rPr>
            </w:pPr>
            <w:r>
              <w:rPr>
                <w:rFonts w:asciiTheme="majorHAnsi" w:hAnsiTheme="majorHAnsi" w:cstheme="majorHAnsi"/>
                <w:lang w:val="en-GB"/>
              </w:rPr>
              <w:t>0.126</w:t>
            </w:r>
          </w:p>
        </w:tc>
        <w:tc>
          <w:tcPr>
            <w:tcW w:w="1813" w:type="dxa"/>
          </w:tcPr>
          <w:p w14:paraId="0DC4DB5E" w14:textId="77777777" w:rsidR="001913C6" w:rsidRDefault="001913C6" w:rsidP="002767CA">
            <w:pPr>
              <w:rPr>
                <w:rFonts w:asciiTheme="majorHAnsi" w:hAnsiTheme="majorHAnsi" w:cstheme="majorHAnsi"/>
                <w:lang w:val="en-GB"/>
              </w:rPr>
            </w:pPr>
            <w:r>
              <w:rPr>
                <w:rFonts w:asciiTheme="majorHAnsi" w:hAnsiTheme="majorHAnsi" w:cstheme="majorHAnsi"/>
                <w:lang w:val="en-GB"/>
              </w:rPr>
              <w:t>0</w:t>
            </w:r>
          </w:p>
        </w:tc>
        <w:tc>
          <w:tcPr>
            <w:tcW w:w="1813" w:type="dxa"/>
          </w:tcPr>
          <w:p w14:paraId="54204B83" w14:textId="77777777" w:rsidR="001913C6" w:rsidRDefault="001913C6" w:rsidP="002767CA">
            <w:pPr>
              <w:rPr>
                <w:rFonts w:asciiTheme="majorHAnsi" w:hAnsiTheme="majorHAnsi" w:cstheme="majorHAnsi"/>
                <w:lang w:val="en-GB"/>
              </w:rPr>
            </w:pPr>
            <w:r>
              <w:rPr>
                <w:rFonts w:asciiTheme="majorHAnsi" w:hAnsiTheme="majorHAnsi" w:cstheme="majorHAnsi"/>
                <w:lang w:val="en-GB"/>
              </w:rPr>
              <w:t>0.0962</w:t>
            </w:r>
          </w:p>
        </w:tc>
      </w:tr>
      <w:tr w:rsidR="001913C6" w14:paraId="697B4BB9" w14:textId="77777777" w:rsidTr="002767CA">
        <w:tc>
          <w:tcPr>
            <w:tcW w:w="1812" w:type="dxa"/>
          </w:tcPr>
          <w:p w14:paraId="21E5DFA3" w14:textId="77777777" w:rsidR="001913C6" w:rsidRPr="00FC438D" w:rsidRDefault="001913C6" w:rsidP="002767CA">
            <w:pPr>
              <w:rPr>
                <w:rFonts w:asciiTheme="majorHAnsi" w:hAnsiTheme="majorHAnsi" w:cstheme="majorHAnsi"/>
                <w:b/>
                <w:bCs/>
                <w:lang w:val="en-GB"/>
              </w:rPr>
            </w:pPr>
            <w:r w:rsidRPr="00FC438D">
              <w:rPr>
                <w:rFonts w:asciiTheme="majorHAnsi" w:hAnsiTheme="majorHAnsi" w:cstheme="majorHAnsi"/>
                <w:b/>
                <w:bCs/>
                <w:lang w:val="en-GB"/>
              </w:rPr>
              <w:t>Stromal cells</w:t>
            </w:r>
          </w:p>
        </w:tc>
        <w:tc>
          <w:tcPr>
            <w:tcW w:w="1812" w:type="dxa"/>
          </w:tcPr>
          <w:p w14:paraId="0AC12365" w14:textId="77777777" w:rsidR="001913C6" w:rsidRPr="00FC438D" w:rsidRDefault="001913C6" w:rsidP="002767CA">
            <w:pPr>
              <w:rPr>
                <w:rFonts w:asciiTheme="majorHAnsi" w:hAnsiTheme="majorHAnsi" w:cstheme="majorHAnsi"/>
                <w:b/>
                <w:bCs/>
                <w:lang w:val="en-GB"/>
              </w:rPr>
            </w:pPr>
            <w:r w:rsidRPr="00FC438D">
              <w:rPr>
                <w:rFonts w:asciiTheme="majorHAnsi" w:hAnsiTheme="majorHAnsi" w:cstheme="majorHAnsi"/>
                <w:b/>
                <w:bCs/>
                <w:lang w:val="en-GB"/>
              </w:rPr>
              <w:t>12</w:t>
            </w:r>
          </w:p>
        </w:tc>
        <w:tc>
          <w:tcPr>
            <w:tcW w:w="1812" w:type="dxa"/>
          </w:tcPr>
          <w:p w14:paraId="2E778F7E" w14:textId="77777777" w:rsidR="001913C6" w:rsidRPr="00FC438D" w:rsidRDefault="001913C6" w:rsidP="002767CA">
            <w:pPr>
              <w:rPr>
                <w:rFonts w:asciiTheme="majorHAnsi" w:hAnsiTheme="majorHAnsi" w:cstheme="majorHAnsi"/>
                <w:b/>
                <w:bCs/>
                <w:lang w:val="en-GB"/>
              </w:rPr>
            </w:pPr>
            <w:r w:rsidRPr="00FC438D">
              <w:rPr>
                <w:rFonts w:asciiTheme="majorHAnsi" w:hAnsiTheme="majorHAnsi" w:cstheme="majorHAnsi"/>
                <w:b/>
                <w:bCs/>
                <w:lang w:val="en-GB"/>
              </w:rPr>
              <w:t>0.003</w:t>
            </w:r>
          </w:p>
        </w:tc>
        <w:tc>
          <w:tcPr>
            <w:tcW w:w="1813" w:type="dxa"/>
          </w:tcPr>
          <w:p w14:paraId="3BC89849" w14:textId="77777777" w:rsidR="001913C6" w:rsidRPr="00FC438D" w:rsidRDefault="001913C6" w:rsidP="002767CA">
            <w:pPr>
              <w:rPr>
                <w:rFonts w:asciiTheme="majorHAnsi" w:hAnsiTheme="majorHAnsi" w:cstheme="majorHAnsi"/>
                <w:b/>
                <w:bCs/>
                <w:lang w:val="en-GB"/>
              </w:rPr>
            </w:pPr>
            <w:r w:rsidRPr="00FC438D">
              <w:rPr>
                <w:rFonts w:asciiTheme="majorHAnsi" w:hAnsiTheme="majorHAnsi" w:cstheme="majorHAnsi"/>
                <w:b/>
                <w:bCs/>
                <w:lang w:val="en-GB"/>
              </w:rPr>
              <w:t>1</w:t>
            </w:r>
          </w:p>
        </w:tc>
        <w:tc>
          <w:tcPr>
            <w:tcW w:w="1813" w:type="dxa"/>
          </w:tcPr>
          <w:p w14:paraId="1986F540" w14:textId="77777777" w:rsidR="001913C6" w:rsidRPr="00FC438D" w:rsidRDefault="001913C6" w:rsidP="002767CA">
            <w:pPr>
              <w:rPr>
                <w:rFonts w:asciiTheme="majorHAnsi" w:hAnsiTheme="majorHAnsi" w:cstheme="majorHAnsi"/>
                <w:b/>
                <w:bCs/>
                <w:lang w:val="en-GB"/>
              </w:rPr>
            </w:pPr>
            <w:r w:rsidRPr="00FC438D">
              <w:rPr>
                <w:rFonts w:asciiTheme="majorHAnsi" w:hAnsiTheme="majorHAnsi" w:cstheme="majorHAnsi"/>
                <w:b/>
                <w:bCs/>
                <w:lang w:val="en-GB"/>
              </w:rPr>
              <w:t>0.00534</w:t>
            </w:r>
          </w:p>
        </w:tc>
      </w:tr>
      <w:tr w:rsidR="001913C6" w14:paraId="36068D69" w14:textId="77777777" w:rsidTr="002767CA">
        <w:tc>
          <w:tcPr>
            <w:tcW w:w="1812" w:type="dxa"/>
          </w:tcPr>
          <w:p w14:paraId="3A14F03E" w14:textId="77777777" w:rsidR="001913C6" w:rsidRDefault="001913C6" w:rsidP="002767CA">
            <w:pPr>
              <w:rPr>
                <w:rFonts w:asciiTheme="majorHAnsi" w:hAnsiTheme="majorHAnsi" w:cstheme="majorHAnsi"/>
                <w:lang w:val="en-GB"/>
              </w:rPr>
            </w:pPr>
            <w:r>
              <w:rPr>
                <w:rFonts w:asciiTheme="majorHAnsi" w:hAnsiTheme="majorHAnsi" w:cstheme="majorHAnsi"/>
                <w:lang w:val="en-GB"/>
              </w:rPr>
              <w:t>Astrocytes</w:t>
            </w:r>
          </w:p>
        </w:tc>
        <w:tc>
          <w:tcPr>
            <w:tcW w:w="1812" w:type="dxa"/>
          </w:tcPr>
          <w:p w14:paraId="505153EA" w14:textId="77777777" w:rsidR="001913C6" w:rsidRDefault="001913C6" w:rsidP="002767CA">
            <w:pPr>
              <w:rPr>
                <w:rFonts w:asciiTheme="majorHAnsi" w:hAnsiTheme="majorHAnsi" w:cstheme="majorHAnsi"/>
                <w:lang w:val="en-GB"/>
              </w:rPr>
            </w:pPr>
            <w:r>
              <w:rPr>
                <w:rFonts w:asciiTheme="majorHAnsi" w:hAnsiTheme="majorHAnsi" w:cstheme="majorHAnsi"/>
                <w:lang w:val="en-GB"/>
              </w:rPr>
              <w:t>0</w:t>
            </w:r>
          </w:p>
        </w:tc>
        <w:tc>
          <w:tcPr>
            <w:tcW w:w="1812" w:type="dxa"/>
          </w:tcPr>
          <w:p w14:paraId="5B0D063B" w14:textId="77777777" w:rsidR="001913C6" w:rsidRDefault="001913C6" w:rsidP="002767CA">
            <w:pPr>
              <w:rPr>
                <w:rFonts w:asciiTheme="majorHAnsi" w:hAnsiTheme="majorHAnsi" w:cstheme="majorHAnsi"/>
                <w:lang w:val="en-GB"/>
              </w:rPr>
            </w:pPr>
            <w:r>
              <w:rPr>
                <w:rFonts w:asciiTheme="majorHAnsi" w:hAnsiTheme="majorHAnsi" w:cstheme="majorHAnsi"/>
                <w:lang w:val="en-GB"/>
              </w:rPr>
              <w:t>0.09</w:t>
            </w:r>
          </w:p>
        </w:tc>
        <w:tc>
          <w:tcPr>
            <w:tcW w:w="1813" w:type="dxa"/>
          </w:tcPr>
          <w:p w14:paraId="1DB4F78D" w14:textId="77777777" w:rsidR="001913C6" w:rsidRDefault="001913C6" w:rsidP="002767CA">
            <w:pPr>
              <w:rPr>
                <w:rFonts w:asciiTheme="majorHAnsi" w:hAnsiTheme="majorHAnsi" w:cstheme="majorHAnsi"/>
                <w:lang w:val="en-GB"/>
              </w:rPr>
            </w:pPr>
            <w:r>
              <w:rPr>
                <w:rFonts w:asciiTheme="majorHAnsi" w:hAnsiTheme="majorHAnsi" w:cstheme="majorHAnsi"/>
                <w:lang w:val="en-GB"/>
              </w:rPr>
              <w:t>0</w:t>
            </w:r>
          </w:p>
        </w:tc>
        <w:tc>
          <w:tcPr>
            <w:tcW w:w="1813" w:type="dxa"/>
          </w:tcPr>
          <w:p w14:paraId="4289A833" w14:textId="77777777" w:rsidR="001913C6" w:rsidRDefault="001913C6" w:rsidP="002767CA">
            <w:pPr>
              <w:rPr>
                <w:rFonts w:asciiTheme="majorHAnsi" w:hAnsiTheme="majorHAnsi" w:cstheme="majorHAnsi"/>
                <w:lang w:val="en-GB"/>
              </w:rPr>
            </w:pPr>
            <w:r>
              <w:rPr>
                <w:rFonts w:asciiTheme="majorHAnsi" w:hAnsiTheme="majorHAnsi" w:cstheme="majorHAnsi"/>
                <w:lang w:val="en-GB"/>
              </w:rPr>
              <w:t>0.999</w:t>
            </w:r>
          </w:p>
        </w:tc>
      </w:tr>
      <w:tr w:rsidR="001913C6" w14:paraId="281715F2" w14:textId="77777777" w:rsidTr="002767CA">
        <w:tc>
          <w:tcPr>
            <w:tcW w:w="1812" w:type="dxa"/>
          </w:tcPr>
          <w:p w14:paraId="346BC9AA" w14:textId="77777777" w:rsidR="001913C6" w:rsidRPr="00FC438D" w:rsidRDefault="001913C6" w:rsidP="002767CA">
            <w:pPr>
              <w:rPr>
                <w:rFonts w:asciiTheme="majorHAnsi" w:hAnsiTheme="majorHAnsi" w:cstheme="majorHAnsi"/>
                <w:b/>
                <w:bCs/>
                <w:lang w:val="en-GB"/>
              </w:rPr>
            </w:pPr>
            <w:r w:rsidRPr="00FC438D">
              <w:rPr>
                <w:rFonts w:asciiTheme="majorHAnsi" w:hAnsiTheme="majorHAnsi" w:cstheme="majorHAnsi"/>
                <w:b/>
                <w:bCs/>
                <w:lang w:val="en-GB"/>
              </w:rPr>
              <w:t>Microglia</w:t>
            </w:r>
          </w:p>
        </w:tc>
        <w:tc>
          <w:tcPr>
            <w:tcW w:w="1812" w:type="dxa"/>
          </w:tcPr>
          <w:p w14:paraId="26245467" w14:textId="77777777" w:rsidR="001913C6" w:rsidRDefault="001913C6" w:rsidP="002767CA">
            <w:pPr>
              <w:rPr>
                <w:rFonts w:asciiTheme="majorHAnsi" w:hAnsiTheme="majorHAnsi" w:cstheme="majorHAnsi"/>
                <w:lang w:val="en-GB"/>
              </w:rPr>
            </w:pPr>
            <w:r>
              <w:rPr>
                <w:rFonts w:asciiTheme="majorHAnsi" w:hAnsiTheme="majorHAnsi" w:cstheme="majorHAnsi"/>
                <w:lang w:val="en-GB"/>
              </w:rPr>
              <w:t>0</w:t>
            </w:r>
          </w:p>
        </w:tc>
        <w:tc>
          <w:tcPr>
            <w:tcW w:w="1812" w:type="dxa"/>
          </w:tcPr>
          <w:p w14:paraId="5AC6BE7F" w14:textId="77777777" w:rsidR="001913C6" w:rsidRDefault="001913C6" w:rsidP="002767CA">
            <w:pPr>
              <w:rPr>
                <w:rFonts w:asciiTheme="majorHAnsi" w:hAnsiTheme="majorHAnsi" w:cstheme="majorHAnsi"/>
                <w:lang w:val="en-GB"/>
              </w:rPr>
            </w:pPr>
            <w:r>
              <w:rPr>
                <w:rFonts w:asciiTheme="majorHAnsi" w:hAnsiTheme="majorHAnsi" w:cstheme="majorHAnsi"/>
                <w:lang w:val="en-GB"/>
              </w:rPr>
              <w:t>0.999</w:t>
            </w:r>
          </w:p>
        </w:tc>
        <w:tc>
          <w:tcPr>
            <w:tcW w:w="1813" w:type="dxa"/>
          </w:tcPr>
          <w:p w14:paraId="1586E821" w14:textId="77777777" w:rsidR="001913C6" w:rsidRPr="00FC438D" w:rsidRDefault="001913C6" w:rsidP="002767CA">
            <w:pPr>
              <w:rPr>
                <w:rFonts w:asciiTheme="majorHAnsi" w:hAnsiTheme="majorHAnsi" w:cstheme="majorHAnsi"/>
                <w:b/>
                <w:bCs/>
                <w:lang w:val="en-GB"/>
              </w:rPr>
            </w:pPr>
            <w:r w:rsidRPr="00FC438D">
              <w:rPr>
                <w:rFonts w:asciiTheme="majorHAnsi" w:hAnsiTheme="majorHAnsi" w:cstheme="majorHAnsi"/>
                <w:b/>
                <w:bCs/>
                <w:lang w:val="en-GB"/>
              </w:rPr>
              <w:t>3</w:t>
            </w:r>
          </w:p>
        </w:tc>
        <w:tc>
          <w:tcPr>
            <w:tcW w:w="1813" w:type="dxa"/>
          </w:tcPr>
          <w:p w14:paraId="7383F33B" w14:textId="77777777" w:rsidR="001913C6" w:rsidRPr="00FC438D" w:rsidRDefault="001913C6" w:rsidP="002767CA">
            <w:pPr>
              <w:rPr>
                <w:rFonts w:asciiTheme="majorHAnsi" w:hAnsiTheme="majorHAnsi" w:cstheme="majorHAnsi"/>
                <w:b/>
                <w:bCs/>
                <w:lang w:val="en-GB"/>
              </w:rPr>
            </w:pPr>
            <w:r w:rsidRPr="00FC438D">
              <w:rPr>
                <w:rFonts w:asciiTheme="majorHAnsi" w:hAnsiTheme="majorHAnsi" w:cstheme="majorHAnsi"/>
                <w:b/>
                <w:bCs/>
                <w:lang w:val="en-GB"/>
              </w:rPr>
              <w:t>0.000809</w:t>
            </w:r>
          </w:p>
        </w:tc>
      </w:tr>
      <w:tr w:rsidR="001913C6" w14:paraId="1EEE280D" w14:textId="77777777" w:rsidTr="002767CA">
        <w:tc>
          <w:tcPr>
            <w:tcW w:w="1812" w:type="dxa"/>
          </w:tcPr>
          <w:p w14:paraId="18B1B3F7" w14:textId="77777777" w:rsidR="001913C6" w:rsidRDefault="001913C6" w:rsidP="002767CA">
            <w:pPr>
              <w:rPr>
                <w:rFonts w:asciiTheme="majorHAnsi" w:hAnsiTheme="majorHAnsi" w:cstheme="majorHAnsi"/>
                <w:lang w:val="en-GB"/>
              </w:rPr>
            </w:pPr>
            <w:r>
              <w:rPr>
                <w:rFonts w:asciiTheme="majorHAnsi" w:hAnsiTheme="majorHAnsi" w:cstheme="majorHAnsi"/>
                <w:lang w:val="en-GB"/>
              </w:rPr>
              <w:t>Oligodendrocytes</w:t>
            </w:r>
          </w:p>
        </w:tc>
        <w:tc>
          <w:tcPr>
            <w:tcW w:w="1812" w:type="dxa"/>
          </w:tcPr>
          <w:p w14:paraId="7451D668" w14:textId="77777777" w:rsidR="001913C6" w:rsidRDefault="001913C6" w:rsidP="002767CA">
            <w:pPr>
              <w:rPr>
                <w:rFonts w:asciiTheme="majorHAnsi" w:hAnsiTheme="majorHAnsi" w:cstheme="majorHAnsi"/>
                <w:lang w:val="en-GB"/>
              </w:rPr>
            </w:pPr>
            <w:r>
              <w:rPr>
                <w:rFonts w:asciiTheme="majorHAnsi" w:hAnsiTheme="majorHAnsi" w:cstheme="majorHAnsi"/>
                <w:lang w:val="en-GB"/>
              </w:rPr>
              <w:t>0</w:t>
            </w:r>
          </w:p>
        </w:tc>
        <w:tc>
          <w:tcPr>
            <w:tcW w:w="1812" w:type="dxa"/>
          </w:tcPr>
          <w:p w14:paraId="029B3F28" w14:textId="77777777" w:rsidR="001913C6" w:rsidRDefault="001913C6" w:rsidP="002767CA">
            <w:pPr>
              <w:rPr>
                <w:rFonts w:asciiTheme="majorHAnsi" w:hAnsiTheme="majorHAnsi" w:cstheme="majorHAnsi"/>
                <w:lang w:val="en-GB"/>
              </w:rPr>
            </w:pPr>
            <w:r>
              <w:rPr>
                <w:rFonts w:asciiTheme="majorHAnsi" w:hAnsiTheme="majorHAnsi" w:cstheme="majorHAnsi"/>
                <w:lang w:val="en-GB"/>
              </w:rPr>
              <w:t>0.999</w:t>
            </w:r>
          </w:p>
        </w:tc>
        <w:tc>
          <w:tcPr>
            <w:tcW w:w="1813" w:type="dxa"/>
          </w:tcPr>
          <w:p w14:paraId="18D2A040" w14:textId="77777777" w:rsidR="001913C6" w:rsidRDefault="001913C6" w:rsidP="002767CA">
            <w:pPr>
              <w:rPr>
                <w:rFonts w:asciiTheme="majorHAnsi" w:hAnsiTheme="majorHAnsi" w:cstheme="majorHAnsi"/>
                <w:lang w:val="en-GB"/>
              </w:rPr>
            </w:pPr>
            <w:r>
              <w:rPr>
                <w:rFonts w:asciiTheme="majorHAnsi" w:hAnsiTheme="majorHAnsi" w:cstheme="majorHAnsi"/>
                <w:lang w:val="en-GB"/>
              </w:rPr>
              <w:t>0</w:t>
            </w:r>
          </w:p>
        </w:tc>
        <w:tc>
          <w:tcPr>
            <w:tcW w:w="1813" w:type="dxa"/>
          </w:tcPr>
          <w:p w14:paraId="635A6C00" w14:textId="77777777" w:rsidR="001913C6" w:rsidRDefault="001913C6" w:rsidP="002767CA">
            <w:pPr>
              <w:rPr>
                <w:rFonts w:asciiTheme="majorHAnsi" w:hAnsiTheme="majorHAnsi" w:cstheme="majorHAnsi"/>
                <w:lang w:val="en-GB"/>
              </w:rPr>
            </w:pPr>
            <w:r>
              <w:rPr>
                <w:rFonts w:asciiTheme="majorHAnsi" w:hAnsiTheme="majorHAnsi" w:cstheme="majorHAnsi"/>
                <w:lang w:val="en-GB"/>
              </w:rPr>
              <w:t>0.479</w:t>
            </w:r>
          </w:p>
        </w:tc>
      </w:tr>
      <w:tr w:rsidR="001913C6" w14:paraId="24373FC7" w14:textId="77777777" w:rsidTr="002767CA">
        <w:tc>
          <w:tcPr>
            <w:tcW w:w="1812" w:type="dxa"/>
          </w:tcPr>
          <w:p w14:paraId="31832B5A" w14:textId="77777777" w:rsidR="001913C6" w:rsidRDefault="001913C6" w:rsidP="002767CA">
            <w:pPr>
              <w:rPr>
                <w:rFonts w:asciiTheme="majorHAnsi" w:hAnsiTheme="majorHAnsi" w:cstheme="majorHAnsi"/>
                <w:lang w:val="en-GB"/>
              </w:rPr>
            </w:pPr>
            <w:r>
              <w:rPr>
                <w:rFonts w:asciiTheme="majorHAnsi" w:hAnsiTheme="majorHAnsi" w:cstheme="majorHAnsi"/>
                <w:lang w:val="en-GB"/>
              </w:rPr>
              <w:t>GABA</w:t>
            </w:r>
          </w:p>
        </w:tc>
        <w:tc>
          <w:tcPr>
            <w:tcW w:w="1812" w:type="dxa"/>
          </w:tcPr>
          <w:p w14:paraId="1022F11E" w14:textId="77777777" w:rsidR="001913C6" w:rsidRDefault="001913C6" w:rsidP="002767CA">
            <w:pPr>
              <w:rPr>
                <w:rFonts w:asciiTheme="majorHAnsi" w:hAnsiTheme="majorHAnsi" w:cstheme="majorHAnsi"/>
                <w:lang w:val="en-GB"/>
              </w:rPr>
            </w:pPr>
            <w:r>
              <w:rPr>
                <w:rFonts w:asciiTheme="majorHAnsi" w:hAnsiTheme="majorHAnsi" w:cstheme="majorHAnsi"/>
                <w:lang w:val="en-GB"/>
              </w:rPr>
              <w:t>0</w:t>
            </w:r>
          </w:p>
        </w:tc>
        <w:tc>
          <w:tcPr>
            <w:tcW w:w="1812" w:type="dxa"/>
          </w:tcPr>
          <w:p w14:paraId="2788C213" w14:textId="77777777" w:rsidR="001913C6" w:rsidRDefault="001913C6" w:rsidP="002767CA">
            <w:pPr>
              <w:rPr>
                <w:rFonts w:asciiTheme="majorHAnsi" w:hAnsiTheme="majorHAnsi" w:cstheme="majorHAnsi"/>
                <w:lang w:val="en-GB"/>
              </w:rPr>
            </w:pPr>
            <w:r>
              <w:rPr>
                <w:rFonts w:asciiTheme="majorHAnsi" w:hAnsiTheme="majorHAnsi" w:cstheme="majorHAnsi"/>
                <w:lang w:val="en-GB"/>
              </w:rPr>
              <w:t>0.347</w:t>
            </w:r>
          </w:p>
        </w:tc>
        <w:tc>
          <w:tcPr>
            <w:tcW w:w="1813" w:type="dxa"/>
          </w:tcPr>
          <w:p w14:paraId="448A12E4" w14:textId="77777777" w:rsidR="001913C6" w:rsidRDefault="001913C6" w:rsidP="002767CA">
            <w:pPr>
              <w:rPr>
                <w:rFonts w:asciiTheme="majorHAnsi" w:hAnsiTheme="majorHAnsi" w:cstheme="majorHAnsi"/>
                <w:lang w:val="en-GB"/>
              </w:rPr>
            </w:pPr>
            <w:r>
              <w:rPr>
                <w:rFonts w:asciiTheme="majorHAnsi" w:hAnsiTheme="majorHAnsi" w:cstheme="majorHAnsi"/>
                <w:lang w:val="en-GB"/>
              </w:rPr>
              <w:t>0</w:t>
            </w:r>
          </w:p>
        </w:tc>
        <w:tc>
          <w:tcPr>
            <w:tcW w:w="1813" w:type="dxa"/>
          </w:tcPr>
          <w:p w14:paraId="00039351" w14:textId="77777777" w:rsidR="001913C6" w:rsidRDefault="001913C6" w:rsidP="002767CA">
            <w:pPr>
              <w:rPr>
                <w:rFonts w:asciiTheme="majorHAnsi" w:hAnsiTheme="majorHAnsi" w:cstheme="majorHAnsi"/>
                <w:lang w:val="en-GB"/>
              </w:rPr>
            </w:pPr>
            <w:r>
              <w:rPr>
                <w:rFonts w:asciiTheme="majorHAnsi" w:hAnsiTheme="majorHAnsi" w:cstheme="majorHAnsi"/>
                <w:lang w:val="en-GB"/>
              </w:rPr>
              <w:t>0.751</w:t>
            </w:r>
          </w:p>
        </w:tc>
      </w:tr>
      <w:tr w:rsidR="001913C6" w14:paraId="656B378C" w14:textId="77777777" w:rsidTr="002767CA">
        <w:tc>
          <w:tcPr>
            <w:tcW w:w="1812" w:type="dxa"/>
          </w:tcPr>
          <w:p w14:paraId="7696755B" w14:textId="77777777" w:rsidR="001913C6" w:rsidRDefault="001913C6" w:rsidP="002767CA">
            <w:pPr>
              <w:rPr>
                <w:rFonts w:asciiTheme="majorHAnsi" w:hAnsiTheme="majorHAnsi" w:cstheme="majorHAnsi"/>
                <w:lang w:val="en-GB"/>
              </w:rPr>
            </w:pPr>
            <w:r>
              <w:rPr>
                <w:rFonts w:asciiTheme="majorHAnsi" w:hAnsiTheme="majorHAnsi" w:cstheme="majorHAnsi"/>
                <w:lang w:val="en-GB"/>
              </w:rPr>
              <w:t>GLU</w:t>
            </w:r>
          </w:p>
        </w:tc>
        <w:tc>
          <w:tcPr>
            <w:tcW w:w="1812" w:type="dxa"/>
          </w:tcPr>
          <w:p w14:paraId="05211757" w14:textId="77777777" w:rsidR="001913C6" w:rsidRDefault="001913C6" w:rsidP="002767CA">
            <w:pPr>
              <w:rPr>
                <w:rFonts w:asciiTheme="majorHAnsi" w:hAnsiTheme="majorHAnsi" w:cstheme="majorHAnsi"/>
                <w:lang w:val="en-GB"/>
              </w:rPr>
            </w:pPr>
            <w:r>
              <w:rPr>
                <w:rFonts w:asciiTheme="majorHAnsi" w:hAnsiTheme="majorHAnsi" w:cstheme="majorHAnsi"/>
                <w:lang w:val="en-GB"/>
              </w:rPr>
              <w:t>0</w:t>
            </w:r>
          </w:p>
        </w:tc>
        <w:tc>
          <w:tcPr>
            <w:tcW w:w="1812" w:type="dxa"/>
          </w:tcPr>
          <w:p w14:paraId="6189166E" w14:textId="77777777" w:rsidR="001913C6" w:rsidRDefault="001913C6" w:rsidP="002767CA">
            <w:pPr>
              <w:rPr>
                <w:rFonts w:asciiTheme="majorHAnsi" w:hAnsiTheme="majorHAnsi" w:cstheme="majorHAnsi"/>
                <w:lang w:val="en-GB"/>
              </w:rPr>
            </w:pPr>
            <w:r>
              <w:rPr>
                <w:rFonts w:asciiTheme="majorHAnsi" w:hAnsiTheme="majorHAnsi" w:cstheme="majorHAnsi"/>
                <w:lang w:val="en-GB"/>
              </w:rPr>
              <w:t>0.999</w:t>
            </w:r>
          </w:p>
        </w:tc>
        <w:tc>
          <w:tcPr>
            <w:tcW w:w="1813" w:type="dxa"/>
          </w:tcPr>
          <w:p w14:paraId="632E7225" w14:textId="77777777" w:rsidR="001913C6" w:rsidRDefault="001913C6" w:rsidP="002767CA">
            <w:pPr>
              <w:rPr>
                <w:rFonts w:asciiTheme="majorHAnsi" w:hAnsiTheme="majorHAnsi" w:cstheme="majorHAnsi"/>
                <w:lang w:val="en-GB"/>
              </w:rPr>
            </w:pPr>
            <w:r>
              <w:rPr>
                <w:rFonts w:asciiTheme="majorHAnsi" w:hAnsiTheme="majorHAnsi" w:cstheme="majorHAnsi"/>
                <w:lang w:val="en-GB"/>
              </w:rPr>
              <w:t>0</w:t>
            </w:r>
          </w:p>
        </w:tc>
        <w:tc>
          <w:tcPr>
            <w:tcW w:w="1813" w:type="dxa"/>
          </w:tcPr>
          <w:p w14:paraId="07DDDCC5" w14:textId="77777777" w:rsidR="001913C6" w:rsidRDefault="001913C6" w:rsidP="002767CA">
            <w:pPr>
              <w:rPr>
                <w:rFonts w:asciiTheme="majorHAnsi" w:hAnsiTheme="majorHAnsi" w:cstheme="majorHAnsi"/>
                <w:lang w:val="en-GB"/>
              </w:rPr>
            </w:pPr>
            <w:r>
              <w:rPr>
                <w:rFonts w:asciiTheme="majorHAnsi" w:hAnsiTheme="majorHAnsi" w:cstheme="majorHAnsi"/>
                <w:lang w:val="en-GB"/>
              </w:rPr>
              <w:t>0.999</w:t>
            </w:r>
          </w:p>
        </w:tc>
      </w:tr>
    </w:tbl>
    <w:p w14:paraId="5D3EE8B9" w14:textId="77777777" w:rsidR="001913C6" w:rsidRDefault="001913C6" w:rsidP="001913C6">
      <w:pPr>
        <w:jc w:val="both"/>
        <w:rPr>
          <w:lang w:val="en-GB"/>
        </w:rPr>
      </w:pPr>
      <w:r>
        <w:rPr>
          <w:lang w:val="en-GB"/>
        </w:rPr>
        <w:t>ACC = Anterior cingulate cortex; CN</w:t>
      </w:r>
      <w:proofErr w:type="gramStart"/>
      <w:r>
        <w:rPr>
          <w:lang w:val="en-GB"/>
        </w:rPr>
        <w:t>=  Caudate</w:t>
      </w:r>
      <w:proofErr w:type="gramEnd"/>
      <w:r>
        <w:rPr>
          <w:lang w:val="en-GB"/>
        </w:rPr>
        <w:t xml:space="preserve"> nucleus</w:t>
      </w:r>
    </w:p>
    <w:p w14:paraId="5172EC81" w14:textId="77777777" w:rsidR="001913C6" w:rsidRPr="00537196" w:rsidRDefault="001913C6" w:rsidP="001913C6">
      <w:pPr>
        <w:jc w:val="both"/>
        <w:rPr>
          <w:lang w:val="en-GB"/>
        </w:rPr>
      </w:pPr>
      <w:r>
        <w:rPr>
          <w:lang w:val="en-GB"/>
        </w:rPr>
        <w:t xml:space="preserve">Bold text indicates cell types with statistically significant associations with ADHD case-control status. </w:t>
      </w:r>
    </w:p>
    <w:p w14:paraId="40E7EEE6" w14:textId="77777777" w:rsidR="001913C6" w:rsidRDefault="001913C6" w:rsidP="001913C6">
      <w:pPr>
        <w:rPr>
          <w:lang w:val="en-GB"/>
        </w:rPr>
      </w:pPr>
    </w:p>
    <w:p w14:paraId="1CC4C5D3" w14:textId="5CFEBF61" w:rsidR="001913C6" w:rsidRDefault="001913C6" w:rsidP="001913C6">
      <w:pPr>
        <w:rPr>
          <w:b/>
          <w:bCs/>
          <w:lang w:val="en-GB"/>
        </w:rPr>
      </w:pPr>
      <w:r>
        <w:rPr>
          <w:b/>
          <w:bCs/>
          <w:lang w:val="en-GB"/>
        </w:rPr>
        <w:t xml:space="preserve">Supplementary Table </w:t>
      </w:r>
      <w:r w:rsidR="00CD6D7D">
        <w:rPr>
          <w:b/>
          <w:bCs/>
          <w:lang w:val="en-GB"/>
        </w:rPr>
        <w:t>4</w:t>
      </w:r>
      <w:r>
        <w:rPr>
          <w:b/>
          <w:bCs/>
          <w:lang w:val="en-GB"/>
        </w:rPr>
        <w:t xml:space="preserve"> Overview of differentially methylated regions of cell type-specific epigenome-wide association study for ADHD in the anterior cingulate cortex and caudate nucleus</w:t>
      </w:r>
    </w:p>
    <w:p w14:paraId="43E5E214" w14:textId="1D4E5858" w:rsidR="001913C6" w:rsidRDefault="001913C6" w:rsidP="001913C6">
      <w:pPr>
        <w:rPr>
          <w:i/>
          <w:iCs/>
          <w:lang w:val="en-GB"/>
        </w:rPr>
      </w:pPr>
      <w:r>
        <w:rPr>
          <w:i/>
          <w:iCs/>
          <w:lang w:val="en-GB"/>
        </w:rPr>
        <w:t xml:space="preserve">See Excel “Supplementary Table </w:t>
      </w:r>
      <w:r w:rsidR="00CD6D7D">
        <w:rPr>
          <w:i/>
          <w:iCs/>
          <w:lang w:val="en-GB"/>
        </w:rPr>
        <w:t>4</w:t>
      </w:r>
      <w:r>
        <w:rPr>
          <w:i/>
          <w:iCs/>
          <w:lang w:val="en-GB"/>
        </w:rPr>
        <w:t>”</w:t>
      </w:r>
    </w:p>
    <w:p w14:paraId="651EFC78" w14:textId="77777777" w:rsidR="001913C6" w:rsidRDefault="001913C6" w:rsidP="001913C6">
      <w:pPr>
        <w:rPr>
          <w:i/>
          <w:iCs/>
          <w:lang w:val="en-GB"/>
        </w:rPr>
      </w:pPr>
    </w:p>
    <w:p w14:paraId="70C87450" w14:textId="4FA0B455" w:rsidR="001913C6" w:rsidRDefault="001913C6" w:rsidP="001913C6">
      <w:pPr>
        <w:rPr>
          <w:b/>
          <w:bCs/>
          <w:lang w:val="en-GB"/>
        </w:rPr>
      </w:pPr>
      <w:r>
        <w:rPr>
          <w:b/>
          <w:bCs/>
          <w:lang w:val="en-GB"/>
        </w:rPr>
        <w:t xml:space="preserve">Supplementary Table </w:t>
      </w:r>
      <w:r w:rsidR="00CD6D7D">
        <w:rPr>
          <w:b/>
          <w:bCs/>
          <w:lang w:val="en-GB"/>
        </w:rPr>
        <w:t>5</w:t>
      </w:r>
      <w:r>
        <w:rPr>
          <w:b/>
          <w:bCs/>
          <w:lang w:val="en-GB"/>
        </w:rPr>
        <w:t xml:space="preserve"> Gene Ontology term enrichment of bulk and cell type-specific differentially methylated regions in ADHD in both the anterior cingulate cortex and caudate nucleus</w:t>
      </w:r>
    </w:p>
    <w:p w14:paraId="55231068" w14:textId="358159C0" w:rsidR="001913C6" w:rsidRDefault="001913C6" w:rsidP="001913C6">
      <w:pPr>
        <w:rPr>
          <w:i/>
          <w:iCs/>
          <w:lang w:val="en-GB"/>
        </w:rPr>
      </w:pPr>
      <w:r>
        <w:rPr>
          <w:i/>
          <w:iCs/>
          <w:lang w:val="en-GB"/>
        </w:rPr>
        <w:t xml:space="preserve">See Excel “Supplementary Table </w:t>
      </w:r>
      <w:r w:rsidR="00CD6D7D">
        <w:rPr>
          <w:i/>
          <w:iCs/>
          <w:lang w:val="en-GB"/>
        </w:rPr>
        <w:t>5</w:t>
      </w:r>
      <w:r>
        <w:rPr>
          <w:i/>
          <w:iCs/>
          <w:lang w:val="en-GB"/>
        </w:rPr>
        <w:t>”</w:t>
      </w:r>
    </w:p>
    <w:p w14:paraId="3D393CA0" w14:textId="77777777" w:rsidR="001913C6" w:rsidRDefault="001913C6" w:rsidP="001913C6">
      <w:pPr>
        <w:rPr>
          <w:i/>
          <w:iCs/>
          <w:lang w:val="en-GB"/>
        </w:rPr>
      </w:pPr>
    </w:p>
    <w:p w14:paraId="57D78D9B" w14:textId="32C0A8B0" w:rsidR="001913C6" w:rsidRDefault="001913C6" w:rsidP="001913C6">
      <w:pPr>
        <w:rPr>
          <w:b/>
          <w:bCs/>
          <w:lang w:val="en-GB"/>
        </w:rPr>
      </w:pPr>
      <w:r>
        <w:rPr>
          <w:b/>
          <w:bCs/>
          <w:lang w:val="en-GB"/>
        </w:rPr>
        <w:t xml:space="preserve">Supplementary Table </w:t>
      </w:r>
      <w:r w:rsidR="00CD6D7D">
        <w:rPr>
          <w:b/>
          <w:bCs/>
          <w:lang w:val="en-GB"/>
        </w:rPr>
        <w:t>6</w:t>
      </w:r>
      <w:r>
        <w:rPr>
          <w:b/>
          <w:bCs/>
          <w:lang w:val="en-GB"/>
        </w:rPr>
        <w:t xml:space="preserve"> Enrichment of genetic risk variants for psychiatric disorders in cell type-specific differentially methylated regions in ADHD in both the anterior cingulate cortex and caudate nucleus</w:t>
      </w:r>
    </w:p>
    <w:p w14:paraId="03605817" w14:textId="0D400C21" w:rsidR="001913C6" w:rsidRDefault="001913C6" w:rsidP="001913C6">
      <w:pPr>
        <w:rPr>
          <w:i/>
          <w:iCs/>
          <w:lang w:val="en-GB"/>
        </w:rPr>
      </w:pPr>
      <w:r>
        <w:rPr>
          <w:i/>
          <w:iCs/>
          <w:lang w:val="en-GB"/>
        </w:rPr>
        <w:t xml:space="preserve">See Excel “Supplementary Table </w:t>
      </w:r>
      <w:r w:rsidR="00CD6D7D">
        <w:rPr>
          <w:i/>
          <w:iCs/>
          <w:lang w:val="en-GB"/>
        </w:rPr>
        <w:t>6</w:t>
      </w:r>
      <w:r>
        <w:rPr>
          <w:i/>
          <w:iCs/>
          <w:lang w:val="en-GB"/>
        </w:rPr>
        <w:t>”</w:t>
      </w:r>
    </w:p>
    <w:p w14:paraId="22202999" w14:textId="77777777" w:rsidR="001913C6" w:rsidRPr="003A24ED" w:rsidRDefault="001913C6" w:rsidP="001913C6">
      <w:pPr>
        <w:rPr>
          <w:i/>
          <w:iCs/>
          <w:lang w:val="en-GB"/>
        </w:rPr>
      </w:pPr>
    </w:p>
    <w:p w14:paraId="7FDE42AD" w14:textId="77777777" w:rsidR="00CD6D7D" w:rsidRDefault="00CD6D7D" w:rsidP="001913C6">
      <w:pPr>
        <w:rPr>
          <w:b/>
          <w:bCs/>
          <w:lang w:val="en-GB"/>
        </w:rPr>
      </w:pPr>
      <w:r>
        <w:rPr>
          <w:b/>
          <w:bCs/>
          <w:lang w:val="en-GB"/>
        </w:rPr>
        <w:t>Supplementary Table 7-14 Summary statistics of epigenome-wide association study for bulk data, and seven different cell types</w:t>
      </w:r>
    </w:p>
    <w:p w14:paraId="4A9D50E6" w14:textId="77777777" w:rsidR="00CD6D7D" w:rsidRDefault="00CD6D7D" w:rsidP="001913C6">
      <w:pPr>
        <w:rPr>
          <w:i/>
          <w:iCs/>
          <w:lang w:val="en-GB"/>
        </w:rPr>
      </w:pPr>
      <w:r>
        <w:rPr>
          <w:i/>
          <w:iCs/>
          <w:lang w:val="en-GB"/>
        </w:rPr>
        <w:t>See text files “Supplementary Table 7-14_ACC”</w:t>
      </w:r>
    </w:p>
    <w:p w14:paraId="69CF5DE8" w14:textId="77777777" w:rsidR="00CD6D7D" w:rsidRDefault="00CD6D7D" w:rsidP="001913C6">
      <w:pPr>
        <w:rPr>
          <w:i/>
          <w:iCs/>
          <w:lang w:val="en-GB"/>
        </w:rPr>
      </w:pPr>
    </w:p>
    <w:p w14:paraId="363F557E" w14:textId="77777777" w:rsidR="00CD6D7D" w:rsidRDefault="00CD6D7D" w:rsidP="001913C6">
      <w:pPr>
        <w:rPr>
          <w:b/>
          <w:bCs/>
          <w:lang w:val="en-GB"/>
        </w:rPr>
      </w:pPr>
      <w:r>
        <w:rPr>
          <w:b/>
          <w:bCs/>
          <w:lang w:val="en-GB"/>
        </w:rPr>
        <w:t>Supplementary Table 15-22 Summary statistics of epigenome-wide association study for bulk data, and seven different cell types</w:t>
      </w:r>
    </w:p>
    <w:p w14:paraId="65AE2FFF" w14:textId="1BF967F1" w:rsidR="00CD6D7D" w:rsidRDefault="00CD6D7D" w:rsidP="00CD6D7D">
      <w:pPr>
        <w:rPr>
          <w:i/>
          <w:iCs/>
          <w:lang w:val="en-GB"/>
        </w:rPr>
      </w:pPr>
      <w:r>
        <w:rPr>
          <w:i/>
          <w:iCs/>
          <w:lang w:val="en-GB"/>
        </w:rPr>
        <w:t xml:space="preserve">See text files “Supplementary Table </w:t>
      </w:r>
      <w:r>
        <w:rPr>
          <w:i/>
          <w:iCs/>
          <w:lang w:val="en-GB"/>
        </w:rPr>
        <w:t>15</w:t>
      </w:r>
      <w:r>
        <w:rPr>
          <w:i/>
          <w:iCs/>
          <w:lang w:val="en-GB"/>
        </w:rPr>
        <w:t>-</w:t>
      </w:r>
      <w:r>
        <w:rPr>
          <w:i/>
          <w:iCs/>
          <w:lang w:val="en-GB"/>
        </w:rPr>
        <w:t>22</w:t>
      </w:r>
      <w:r>
        <w:rPr>
          <w:i/>
          <w:iCs/>
          <w:lang w:val="en-GB"/>
        </w:rPr>
        <w:t>_</w:t>
      </w:r>
      <w:r>
        <w:rPr>
          <w:i/>
          <w:iCs/>
          <w:lang w:val="en-GB"/>
        </w:rPr>
        <w:t>CN</w:t>
      </w:r>
      <w:r>
        <w:rPr>
          <w:i/>
          <w:iCs/>
          <w:lang w:val="en-GB"/>
        </w:rPr>
        <w:t>”</w:t>
      </w:r>
    </w:p>
    <w:p w14:paraId="46E891BF" w14:textId="6C2ACFC5" w:rsidR="001913C6" w:rsidRDefault="001913C6" w:rsidP="001913C6">
      <w:pPr>
        <w:rPr>
          <w:lang w:val="en-GB"/>
        </w:rPr>
      </w:pPr>
      <w:r>
        <w:rPr>
          <w:lang w:val="en-GB"/>
        </w:rPr>
        <w:br w:type="page"/>
      </w:r>
    </w:p>
    <w:p w14:paraId="632C2AF2" w14:textId="77777777" w:rsidR="001913C6" w:rsidRPr="006A15EB" w:rsidRDefault="001913C6" w:rsidP="001913C6">
      <w:pPr>
        <w:jc w:val="both"/>
        <w:rPr>
          <w:b/>
          <w:bCs/>
          <w:lang w:val="en-GB"/>
        </w:rPr>
      </w:pPr>
      <w:r>
        <w:rPr>
          <w:b/>
          <w:bCs/>
          <w:lang w:val="en-GB"/>
        </w:rPr>
        <w:lastRenderedPageBreak/>
        <w:t>References</w:t>
      </w:r>
    </w:p>
    <w:p w14:paraId="30786899" w14:textId="77777777" w:rsidR="001913C6" w:rsidRDefault="001913C6" w:rsidP="001913C6">
      <w:pPr>
        <w:jc w:val="both"/>
        <w:rPr>
          <w:lang w:val="en-GB"/>
        </w:rPr>
      </w:pPr>
    </w:p>
    <w:p w14:paraId="16517187" w14:textId="77777777" w:rsidR="001913C6" w:rsidRPr="006D16C3" w:rsidRDefault="001913C6" w:rsidP="001913C6">
      <w:pPr>
        <w:pStyle w:val="EndNoteBibliography"/>
        <w:ind w:left="720" w:hanging="720"/>
      </w:pPr>
      <w:r>
        <w:rPr>
          <w:lang w:val="en-GB"/>
        </w:rPr>
        <w:fldChar w:fldCharType="begin"/>
      </w:r>
      <w:r>
        <w:rPr>
          <w:lang w:val="en-GB"/>
        </w:rPr>
        <w:instrText xml:space="preserve"> ADDIN EN.REFLIST </w:instrText>
      </w:r>
      <w:r>
        <w:rPr>
          <w:lang w:val="en-GB"/>
        </w:rPr>
        <w:fldChar w:fldCharType="separate"/>
      </w:r>
      <w:r w:rsidRPr="006D16C3">
        <w:t>1.</w:t>
      </w:r>
      <w:r w:rsidRPr="006D16C3">
        <w:tab/>
        <w:t>First MB, Spitzer RL, Gibbon M, Williams JB. Structured clinical interview for DSM-IV clinical version (SCID-I/CV). Washington DC: American Psychiatric Press1997.</w:t>
      </w:r>
    </w:p>
    <w:p w14:paraId="4D7D0782" w14:textId="77777777" w:rsidR="001913C6" w:rsidRPr="006D16C3" w:rsidRDefault="001913C6" w:rsidP="001913C6">
      <w:pPr>
        <w:pStyle w:val="EndNoteBibliography"/>
        <w:spacing w:after="0"/>
      </w:pPr>
    </w:p>
    <w:p w14:paraId="5095DA4C" w14:textId="77777777" w:rsidR="001913C6" w:rsidRPr="006D16C3" w:rsidRDefault="001913C6" w:rsidP="001913C6">
      <w:pPr>
        <w:pStyle w:val="EndNoteBibliography"/>
        <w:ind w:left="720" w:hanging="720"/>
      </w:pPr>
      <w:r w:rsidRPr="006D16C3">
        <w:t>2.</w:t>
      </w:r>
      <w:r w:rsidRPr="006D16C3">
        <w:tab/>
        <w:t xml:space="preserve">Salzman S, Endicott J, Clayton P, Winokur G. Diagnostic evaluation after death (DEAD). </w:t>
      </w:r>
      <w:r w:rsidRPr="006D16C3">
        <w:rPr>
          <w:i/>
        </w:rPr>
        <w:t>National Institute of Mental Health, Rockville</w:t>
      </w:r>
      <w:r w:rsidRPr="006D16C3">
        <w:t xml:space="preserve"> 1983.</w:t>
      </w:r>
    </w:p>
    <w:p w14:paraId="1FE467CF" w14:textId="77777777" w:rsidR="001913C6" w:rsidRPr="006D16C3" w:rsidRDefault="001913C6" w:rsidP="001913C6">
      <w:pPr>
        <w:pStyle w:val="EndNoteBibliography"/>
        <w:spacing w:after="0"/>
      </w:pPr>
    </w:p>
    <w:p w14:paraId="186F2DA5" w14:textId="77777777" w:rsidR="001913C6" w:rsidRPr="006D16C3" w:rsidRDefault="001913C6" w:rsidP="001913C6">
      <w:pPr>
        <w:pStyle w:val="EndNoteBibliography"/>
        <w:ind w:left="720" w:hanging="720"/>
      </w:pPr>
      <w:r w:rsidRPr="006D16C3">
        <w:t>3.</w:t>
      </w:r>
      <w:r w:rsidRPr="006D16C3">
        <w:tab/>
        <w:t xml:space="preserve">Donati RJ, Dwivedi Y, Roberts RC, Conley RR, Pandey GN, Rasenick MM. Postmortem brain tissue of depressed suicides reveals increased Gs alpha localization in lipid raft domains where it is less likely to activate adenylyl cyclase. </w:t>
      </w:r>
      <w:r w:rsidRPr="006D16C3">
        <w:rPr>
          <w:i/>
        </w:rPr>
        <w:t>The Journal of neuroscience : the official journal of the Society for Neuroscience</w:t>
      </w:r>
      <w:r w:rsidRPr="006D16C3">
        <w:t xml:space="preserve"> 2008; </w:t>
      </w:r>
      <w:r w:rsidRPr="006D16C3">
        <w:rPr>
          <w:b/>
        </w:rPr>
        <w:t>28</w:t>
      </w:r>
      <w:r w:rsidRPr="006D16C3">
        <w:t>(12)</w:t>
      </w:r>
      <w:r w:rsidRPr="006D16C3">
        <w:rPr>
          <w:b/>
        </w:rPr>
        <w:t xml:space="preserve">: </w:t>
      </w:r>
      <w:r w:rsidRPr="006D16C3">
        <w:t>3042-3050.</w:t>
      </w:r>
    </w:p>
    <w:p w14:paraId="7C36C451" w14:textId="77777777" w:rsidR="001913C6" w:rsidRPr="006D16C3" w:rsidRDefault="001913C6" w:rsidP="001913C6">
      <w:pPr>
        <w:pStyle w:val="EndNoteBibliography"/>
        <w:spacing w:after="0"/>
      </w:pPr>
    </w:p>
    <w:p w14:paraId="5C164C2A" w14:textId="77777777" w:rsidR="001913C6" w:rsidRPr="006D16C3" w:rsidRDefault="001913C6" w:rsidP="001913C6">
      <w:pPr>
        <w:pStyle w:val="EndNoteBibliography"/>
        <w:ind w:left="720" w:hanging="720"/>
      </w:pPr>
      <w:r w:rsidRPr="006D16C3">
        <w:t>4.</w:t>
      </w:r>
      <w:r w:rsidRPr="006D16C3">
        <w:tab/>
        <w:t xml:space="preserve">A Unique Approach to Lifespan Diagnosis: The Psychological Autopsy,. </w:t>
      </w:r>
      <w:hyperlink r:id="rId6" w:history="1">
        <w:r w:rsidRPr="006D16C3">
          <w:rPr>
            <w:rStyle w:val="Hyperlink"/>
          </w:rPr>
          <w:t>https://psychiatry.pitt.edu/unique-approach-lifespan-diagnosis-psychological-autopsy</w:t>
        </w:r>
      </w:hyperlink>
      <w:r w:rsidRPr="006D16C3">
        <w:t>, 2020, Accessed Date Accessed 2020 Accessed.</w:t>
      </w:r>
    </w:p>
    <w:p w14:paraId="5E74C118" w14:textId="77777777" w:rsidR="001913C6" w:rsidRPr="006D16C3" w:rsidRDefault="001913C6" w:rsidP="001913C6">
      <w:pPr>
        <w:pStyle w:val="EndNoteBibliography"/>
        <w:spacing w:after="0"/>
      </w:pPr>
    </w:p>
    <w:p w14:paraId="4020ADC1" w14:textId="77777777" w:rsidR="001913C6" w:rsidRPr="006D16C3" w:rsidRDefault="001913C6" w:rsidP="001913C6">
      <w:pPr>
        <w:pStyle w:val="EndNoteBibliography"/>
        <w:ind w:left="720" w:hanging="720"/>
      </w:pPr>
      <w:r w:rsidRPr="006D16C3">
        <w:t>5.</w:t>
      </w:r>
      <w:r w:rsidRPr="006D16C3">
        <w:tab/>
        <w:t>Aryee MJ, Jaffe AE, Corrada-Bravo H, Ladd-Acosta C, Feinberg AP, Hansen KD</w:t>
      </w:r>
      <w:r w:rsidRPr="006D16C3">
        <w:rPr>
          <w:i/>
        </w:rPr>
        <w:t xml:space="preserve"> et al.</w:t>
      </w:r>
      <w:r w:rsidRPr="006D16C3">
        <w:t xml:space="preserve"> Minfi: a flexible and comprehensive Bioconductor package for the analysis of Infinium DNA methylation microarrays. </w:t>
      </w:r>
      <w:r w:rsidRPr="006D16C3">
        <w:rPr>
          <w:i/>
        </w:rPr>
        <w:t>Bioinformatics</w:t>
      </w:r>
      <w:r w:rsidRPr="006D16C3">
        <w:t xml:space="preserve"> 2014; </w:t>
      </w:r>
      <w:r w:rsidRPr="006D16C3">
        <w:rPr>
          <w:b/>
        </w:rPr>
        <w:t>30</w:t>
      </w:r>
      <w:r w:rsidRPr="006D16C3">
        <w:t>(10)</w:t>
      </w:r>
      <w:r w:rsidRPr="006D16C3">
        <w:rPr>
          <w:b/>
        </w:rPr>
        <w:t xml:space="preserve">: </w:t>
      </w:r>
      <w:r w:rsidRPr="006D16C3">
        <w:t>1363-1369.</w:t>
      </w:r>
    </w:p>
    <w:p w14:paraId="40B69E81" w14:textId="77777777" w:rsidR="001913C6" w:rsidRPr="006D16C3" w:rsidRDefault="001913C6" w:rsidP="001913C6">
      <w:pPr>
        <w:pStyle w:val="EndNoteBibliography"/>
        <w:spacing w:after="0"/>
      </w:pPr>
    </w:p>
    <w:p w14:paraId="38EB8917" w14:textId="77777777" w:rsidR="001913C6" w:rsidRPr="006D16C3" w:rsidRDefault="001913C6" w:rsidP="001913C6">
      <w:pPr>
        <w:pStyle w:val="EndNoteBibliography"/>
        <w:ind w:left="720" w:hanging="720"/>
      </w:pPr>
      <w:r w:rsidRPr="006D16C3">
        <w:t>6.</w:t>
      </w:r>
      <w:r w:rsidRPr="006D16C3">
        <w:tab/>
        <w:t>Lehne B, Drong AW, Loh M, Zhang W, Scott WR, Tan ST</w:t>
      </w:r>
      <w:r w:rsidRPr="006D16C3">
        <w:rPr>
          <w:i/>
        </w:rPr>
        <w:t xml:space="preserve"> et al.</w:t>
      </w:r>
      <w:r w:rsidRPr="006D16C3">
        <w:t xml:space="preserve"> A coherent approach for analysis of the Illumina HumanMethylation450 BeadChip improves data quality and performance in epigenome-wide association studies. </w:t>
      </w:r>
      <w:r w:rsidRPr="006D16C3">
        <w:rPr>
          <w:i/>
        </w:rPr>
        <w:t>Genome Biol</w:t>
      </w:r>
      <w:r w:rsidRPr="006D16C3">
        <w:t xml:space="preserve"> 2015; </w:t>
      </w:r>
      <w:r w:rsidRPr="006D16C3">
        <w:rPr>
          <w:b/>
        </w:rPr>
        <w:t>16</w:t>
      </w:r>
      <w:r w:rsidRPr="006D16C3">
        <w:t>(1)</w:t>
      </w:r>
      <w:r w:rsidRPr="006D16C3">
        <w:rPr>
          <w:b/>
        </w:rPr>
        <w:t xml:space="preserve">: </w:t>
      </w:r>
      <w:r w:rsidRPr="006D16C3">
        <w:t>37.</w:t>
      </w:r>
    </w:p>
    <w:p w14:paraId="3EF7031C" w14:textId="77777777" w:rsidR="001913C6" w:rsidRPr="006D16C3" w:rsidRDefault="001913C6" w:rsidP="001913C6">
      <w:pPr>
        <w:pStyle w:val="EndNoteBibliography"/>
        <w:spacing w:after="0"/>
      </w:pPr>
    </w:p>
    <w:p w14:paraId="253F1527" w14:textId="77777777" w:rsidR="001913C6" w:rsidRPr="006D16C3" w:rsidRDefault="001913C6" w:rsidP="001913C6">
      <w:pPr>
        <w:pStyle w:val="EndNoteBibliography"/>
        <w:ind w:left="720" w:hanging="720"/>
      </w:pPr>
      <w:r w:rsidRPr="006D16C3">
        <w:t>7.</w:t>
      </w:r>
      <w:r w:rsidRPr="006D16C3">
        <w:tab/>
        <w:t>Elliott HR, Tillin T, McArdle WL, Ho K, Duggirala A, Frayling TM</w:t>
      </w:r>
      <w:r w:rsidRPr="006D16C3">
        <w:rPr>
          <w:i/>
        </w:rPr>
        <w:t xml:space="preserve"> et al.</w:t>
      </w:r>
      <w:r w:rsidRPr="006D16C3">
        <w:t xml:space="preserve"> Differences in smoking associated DNA methylation patterns in South Asians and Europeans. </w:t>
      </w:r>
      <w:r w:rsidRPr="006D16C3">
        <w:rPr>
          <w:i/>
        </w:rPr>
        <w:t>Clin Epigenetics</w:t>
      </w:r>
      <w:r w:rsidRPr="006D16C3">
        <w:t xml:space="preserve"> 2014; </w:t>
      </w:r>
      <w:r w:rsidRPr="006D16C3">
        <w:rPr>
          <w:b/>
        </w:rPr>
        <w:t>6</w:t>
      </w:r>
      <w:r w:rsidRPr="006D16C3">
        <w:t>(1)</w:t>
      </w:r>
      <w:r w:rsidRPr="006D16C3">
        <w:rPr>
          <w:b/>
        </w:rPr>
        <w:t xml:space="preserve">: </w:t>
      </w:r>
      <w:r w:rsidRPr="006D16C3">
        <w:t>4.</w:t>
      </w:r>
    </w:p>
    <w:p w14:paraId="001B33B1" w14:textId="77777777" w:rsidR="001913C6" w:rsidRPr="006D16C3" w:rsidRDefault="001913C6" w:rsidP="001913C6">
      <w:pPr>
        <w:pStyle w:val="EndNoteBibliography"/>
      </w:pPr>
    </w:p>
    <w:p w14:paraId="5C78354A" w14:textId="2E9ABB75" w:rsidR="006E6258" w:rsidRDefault="001913C6" w:rsidP="001913C6">
      <w:r>
        <w:rPr>
          <w:lang w:val="en-GB"/>
        </w:rPr>
        <w:fldChar w:fldCharType="end"/>
      </w:r>
    </w:p>
    <w:sectPr w:rsidR="006E625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91B"/>
    <w:rsid w:val="001913C6"/>
    <w:rsid w:val="003C76A4"/>
    <w:rsid w:val="006E52D7"/>
    <w:rsid w:val="006E6258"/>
    <w:rsid w:val="00842F27"/>
    <w:rsid w:val="00A1691B"/>
    <w:rsid w:val="00CD6D7D"/>
    <w:rsid w:val="00DD4A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68F2"/>
  <w15:chartTrackingRefBased/>
  <w15:docId w15:val="{6EC70A28-805A-4F9C-933D-D314E893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3C6"/>
    <w:pPr>
      <w:spacing w:line="259" w:lineRule="auto"/>
    </w:pPr>
    <w:rPr>
      <w:sz w:val="22"/>
      <w:szCs w:val="22"/>
    </w:rPr>
  </w:style>
  <w:style w:type="paragraph" w:styleId="Heading1">
    <w:name w:val="heading 1"/>
    <w:basedOn w:val="Normal"/>
    <w:next w:val="Normal"/>
    <w:link w:val="Heading1Char"/>
    <w:uiPriority w:val="9"/>
    <w:qFormat/>
    <w:rsid w:val="00A1691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691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691B"/>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691B"/>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A1691B"/>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A1691B"/>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A1691B"/>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A1691B"/>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A1691B"/>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9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69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69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69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69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69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69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69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691B"/>
    <w:rPr>
      <w:rFonts w:eastAsiaTheme="majorEastAsia" w:cstheme="majorBidi"/>
      <w:color w:val="272727" w:themeColor="text1" w:themeTint="D8"/>
    </w:rPr>
  </w:style>
  <w:style w:type="paragraph" w:styleId="Title">
    <w:name w:val="Title"/>
    <w:basedOn w:val="Normal"/>
    <w:next w:val="Normal"/>
    <w:link w:val="TitleChar"/>
    <w:uiPriority w:val="10"/>
    <w:qFormat/>
    <w:rsid w:val="00A169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69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691B"/>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69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691B"/>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A1691B"/>
    <w:rPr>
      <w:i/>
      <w:iCs/>
      <w:color w:val="404040" w:themeColor="text1" w:themeTint="BF"/>
    </w:rPr>
  </w:style>
  <w:style w:type="paragraph" w:styleId="ListParagraph">
    <w:name w:val="List Paragraph"/>
    <w:basedOn w:val="Normal"/>
    <w:uiPriority w:val="34"/>
    <w:qFormat/>
    <w:rsid w:val="00A1691B"/>
    <w:pPr>
      <w:spacing w:line="278" w:lineRule="auto"/>
      <w:ind w:left="720"/>
      <w:contextualSpacing/>
    </w:pPr>
    <w:rPr>
      <w:sz w:val="24"/>
      <w:szCs w:val="24"/>
    </w:rPr>
  </w:style>
  <w:style w:type="character" w:styleId="IntenseEmphasis">
    <w:name w:val="Intense Emphasis"/>
    <w:basedOn w:val="DefaultParagraphFont"/>
    <w:uiPriority w:val="21"/>
    <w:qFormat/>
    <w:rsid w:val="00A1691B"/>
    <w:rPr>
      <w:i/>
      <w:iCs/>
      <w:color w:val="0F4761" w:themeColor="accent1" w:themeShade="BF"/>
    </w:rPr>
  </w:style>
  <w:style w:type="paragraph" w:styleId="IntenseQuote">
    <w:name w:val="Intense Quote"/>
    <w:basedOn w:val="Normal"/>
    <w:next w:val="Normal"/>
    <w:link w:val="IntenseQuoteChar"/>
    <w:uiPriority w:val="30"/>
    <w:qFormat/>
    <w:rsid w:val="00A1691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A1691B"/>
    <w:rPr>
      <w:i/>
      <w:iCs/>
      <w:color w:val="0F4761" w:themeColor="accent1" w:themeShade="BF"/>
    </w:rPr>
  </w:style>
  <w:style w:type="character" w:styleId="IntenseReference">
    <w:name w:val="Intense Reference"/>
    <w:basedOn w:val="DefaultParagraphFont"/>
    <w:uiPriority w:val="32"/>
    <w:qFormat/>
    <w:rsid w:val="00A1691B"/>
    <w:rPr>
      <w:b/>
      <w:bCs/>
      <w:smallCaps/>
      <w:color w:val="0F4761" w:themeColor="accent1" w:themeShade="BF"/>
      <w:spacing w:val="5"/>
    </w:rPr>
  </w:style>
  <w:style w:type="character" w:styleId="Hyperlink">
    <w:name w:val="Hyperlink"/>
    <w:basedOn w:val="DefaultParagraphFont"/>
    <w:uiPriority w:val="99"/>
    <w:unhideWhenUsed/>
    <w:rsid w:val="001913C6"/>
    <w:rPr>
      <w:color w:val="467886" w:themeColor="hyperlink"/>
      <w:u w:val="single"/>
    </w:rPr>
  </w:style>
  <w:style w:type="table" w:styleId="TableGrid">
    <w:name w:val="Table Grid"/>
    <w:basedOn w:val="TableNormal"/>
    <w:uiPriority w:val="39"/>
    <w:rsid w:val="001913C6"/>
    <w:pPr>
      <w:spacing w:after="0" w:line="240" w:lineRule="auto"/>
    </w:pPr>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1913C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913C6"/>
    <w:rPr>
      <w:rFonts w:ascii="Calibri" w:hAnsi="Calibri" w:cs="Calibri"/>
      <w:noProof/>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sychiatry.pitt.edu/unique-approach-lifespan-diagnosis-psychological-autopsy"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2240</Words>
  <Characters>12769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Meijer</dc:creator>
  <cp:keywords/>
  <dc:description/>
  <cp:lastModifiedBy>Mandy Meijer</cp:lastModifiedBy>
  <cp:revision>3</cp:revision>
  <dcterms:created xsi:type="dcterms:W3CDTF">2025-07-08T21:39:00Z</dcterms:created>
  <dcterms:modified xsi:type="dcterms:W3CDTF">2025-08-19T18:55:00Z</dcterms:modified>
</cp:coreProperties>
</file>