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1390" w14:textId="77777777" w:rsidR="00C80E33" w:rsidRDefault="00721062">
      <w:pPr>
        <w:rPr>
          <w:b/>
          <w:lang w:val="en-US"/>
        </w:rPr>
      </w:pPr>
      <w:r>
        <w:rPr>
          <w:b/>
          <w:lang w:val="en-US"/>
        </w:rPr>
        <w:t>Supplementary Figures (Wang et al.)</w:t>
      </w:r>
    </w:p>
    <w:p w14:paraId="0FD6414C" w14:textId="77777777" w:rsidR="00C80E33" w:rsidRDefault="00C80E33">
      <w:pPr>
        <w:rPr>
          <w:lang w:val="en-US"/>
        </w:rPr>
      </w:pPr>
    </w:p>
    <w:p w14:paraId="2993CD1D" w14:textId="77777777" w:rsidR="00C80E33" w:rsidRDefault="00721062">
      <w:pPr>
        <w:rPr>
          <w:b/>
          <w:lang w:val="en-US"/>
        </w:rPr>
      </w:pPr>
      <w:r>
        <w:rPr>
          <w:noProof/>
          <w:lang w:eastAsia="de-DE"/>
        </w:rPr>
        <w:drawing>
          <wp:inline distT="0" distB="0" distL="0" distR="0" wp14:anchorId="3F73F929" wp14:editId="5F2A78D4">
            <wp:extent cx="5760720" cy="479044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09679" w14:textId="77777777" w:rsidR="00C80E33" w:rsidRDefault="00721062">
      <w:pPr>
        <w:rPr>
          <w:rFonts w:eastAsiaTheme="minorEastAsia"/>
          <w:sz w:val="24"/>
          <w:szCs w:val="24"/>
          <w:lang w:val="en-US" w:eastAsia="zh-CN"/>
        </w:rPr>
      </w:pPr>
      <w:r>
        <w:rPr>
          <w:b/>
          <w:sz w:val="24"/>
          <w:szCs w:val="24"/>
          <w:lang w:val="en-US" w:eastAsia="zh-CN"/>
        </w:rPr>
        <w:t>Figure S1.</w:t>
      </w:r>
      <w:r>
        <w:rPr>
          <w:sz w:val="24"/>
          <w:szCs w:val="24"/>
          <w:lang w:val="en-US" w:eastAsia="zh-CN"/>
        </w:rPr>
        <w:t xml:space="preserve"> Amino acid sequence alignment of recombinant L1.</w:t>
      </w:r>
    </w:p>
    <w:p w14:paraId="310957A1" w14:textId="77777777" w:rsidR="00C80E33" w:rsidRDefault="00721062">
      <w:pPr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The amino acid sequence of the truncated L1 protein, that was used in this study, lacking twenty-nine N-terminal amino acids was aligned to the full-length reference sequence (GenBank accession number KC166220.1) via the Clustal Omega online tool (</w:t>
      </w:r>
      <w:hyperlink r:id="rId7" w:history="1">
        <w:r>
          <w:rPr>
            <w:rStyle w:val="Hyperlink"/>
            <w:sz w:val="24"/>
            <w:szCs w:val="24"/>
            <w:lang w:val="en-US" w:eastAsia="zh-CN"/>
          </w:rPr>
          <w:t>www.ebi.ac.uk</w:t>
        </w:r>
      </w:hyperlink>
      <w:r>
        <w:rPr>
          <w:sz w:val="24"/>
          <w:szCs w:val="24"/>
          <w:lang w:val="en-US" w:eastAsia="zh-CN"/>
        </w:rPr>
        <w:t>).</w:t>
      </w:r>
    </w:p>
    <w:p w14:paraId="4E7393C1" w14:textId="77777777" w:rsidR="00C80E33" w:rsidRDefault="00C80E33">
      <w:pPr>
        <w:rPr>
          <w:sz w:val="24"/>
          <w:szCs w:val="24"/>
          <w:lang w:val="en-US" w:eastAsia="zh-CN"/>
        </w:rPr>
      </w:pPr>
    </w:p>
    <w:p w14:paraId="42F82BE7" w14:textId="556E5813" w:rsidR="00C80E33" w:rsidRDefault="0080346E">
      <w:pPr>
        <w:rPr>
          <w:sz w:val="24"/>
          <w:szCs w:val="24"/>
          <w:lang w:val="en-US" w:eastAsia="zh-CN"/>
        </w:rPr>
      </w:pPr>
      <w:r>
        <w:rPr>
          <w:noProof/>
        </w:rPr>
        <w:lastRenderedPageBreak/>
        <w:drawing>
          <wp:inline distT="0" distB="0" distL="0" distR="0" wp14:anchorId="18127CCD" wp14:editId="3544156C">
            <wp:extent cx="5143500" cy="6586424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803" cy="65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201F" w14:textId="77777777" w:rsidR="00C80E33" w:rsidRDefault="00721062">
      <w:pPr>
        <w:rPr>
          <w:rFonts w:eastAsiaTheme="minorEastAsia"/>
          <w:sz w:val="24"/>
          <w:szCs w:val="24"/>
          <w:lang w:val="en-US" w:eastAsia="zh-CN"/>
        </w:rPr>
      </w:pPr>
      <w:r>
        <w:rPr>
          <w:b/>
          <w:sz w:val="24"/>
          <w:szCs w:val="24"/>
          <w:lang w:val="en-US" w:eastAsia="zh-CN"/>
        </w:rPr>
        <w:t>Figure S2.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rFonts w:eastAsiaTheme="minorEastAsia" w:hint="eastAsia"/>
          <w:sz w:val="24"/>
          <w:szCs w:val="24"/>
          <w:lang w:val="en-US" w:eastAsia="zh-CN"/>
        </w:rPr>
        <w:t>Analysis of peptide binding to L1-DBCO.</w:t>
      </w:r>
    </w:p>
    <w:p w14:paraId="6A1231FB" w14:textId="2507B793" w:rsidR="00C80E33" w:rsidRDefault="00721062">
      <w:pPr>
        <w:rPr>
          <w:sz w:val="24"/>
          <w:szCs w:val="24"/>
          <w:lang w:val="en-US" w:eastAsia="zh-CN"/>
        </w:rPr>
      </w:pPr>
      <w:r>
        <w:rPr>
          <w:rFonts w:eastAsiaTheme="minorEastAsia" w:hint="eastAsia"/>
          <w:sz w:val="24"/>
          <w:szCs w:val="24"/>
          <w:lang w:val="en-US" w:eastAsia="zh-CN"/>
        </w:rPr>
        <w:t xml:space="preserve">Western blot (A) and fluorescence gel (B) analysis of L1 proteins before and after DBCO activation. </w:t>
      </w:r>
      <w:r>
        <w:rPr>
          <w:rFonts w:eastAsiaTheme="minorEastAsia"/>
          <w:sz w:val="24"/>
          <w:szCs w:val="24"/>
          <w:lang w:val="en-US" w:eastAsia="zh-CN"/>
        </w:rPr>
        <w:t>After Western Blot, the membrane was stained with anti-HPV-16 L1 antibody CAMVIR-1 and HRP-coupled secondary antibody.</w:t>
      </w:r>
      <w:r>
        <w:rPr>
          <w:rFonts w:eastAsiaTheme="minorEastAsia" w:hint="eastAsia"/>
          <w:sz w:val="24"/>
          <w:szCs w:val="24"/>
          <w:lang w:val="en-US" w:eastAsia="zh-CN"/>
        </w:rPr>
        <w:t xml:space="preserve"> Lanes 1</w:t>
      </w:r>
      <w:r w:rsidR="00394003">
        <w:rPr>
          <w:rFonts w:eastAsiaTheme="minorEastAsia" w:hint="eastAsia"/>
          <w:sz w:val="24"/>
          <w:szCs w:val="24"/>
          <w:lang w:val="en-US" w:eastAsia="zh-CN"/>
        </w:rPr>
        <w:t>-</w:t>
      </w:r>
      <w:r>
        <w:rPr>
          <w:rFonts w:eastAsiaTheme="minorEastAsia" w:hint="eastAsia"/>
          <w:sz w:val="24"/>
          <w:szCs w:val="24"/>
          <w:lang w:val="en-US" w:eastAsia="zh-CN"/>
        </w:rPr>
        <w:t>6 correspond to one production batch, and lanes 7-12 to another. Within the same batch, samples were loaded onto SDS-PAGE (</w:t>
      </w:r>
      <w:r>
        <w:rPr>
          <w:rFonts w:eastAsiaTheme="minorEastAsia"/>
          <w:sz w:val="24"/>
          <w:szCs w:val="24"/>
          <w:lang w:val="en-US" w:eastAsia="zh-CN"/>
        </w:rPr>
        <w:t>10 % bisacrylamide gels</w:t>
      </w:r>
      <w:r>
        <w:rPr>
          <w:rFonts w:eastAsiaTheme="minorEastAsia" w:hint="eastAsia"/>
          <w:sz w:val="24"/>
          <w:szCs w:val="24"/>
          <w:lang w:val="en-US" w:eastAsia="zh-CN"/>
        </w:rPr>
        <w:t>) at different amounts: 0.5 µg</w:t>
      </w:r>
      <w:r>
        <w:rPr>
          <w:rFonts w:eastAsiaTheme="minorEastAsia"/>
          <w:sz w:val="24"/>
          <w:szCs w:val="24"/>
          <w:lang w:val="en-US" w:eastAsia="zh-CN"/>
        </w:rPr>
        <w:t xml:space="preserve"> (lanes 1, 2, 7, 8)</w:t>
      </w:r>
      <w:r>
        <w:rPr>
          <w:rFonts w:eastAsiaTheme="minorEastAsia" w:hint="eastAsia"/>
          <w:sz w:val="24"/>
          <w:szCs w:val="24"/>
          <w:lang w:val="en-US" w:eastAsia="zh-CN"/>
        </w:rPr>
        <w:t>, 1.25 µg</w:t>
      </w:r>
      <w:r>
        <w:rPr>
          <w:rFonts w:eastAsiaTheme="minorEastAsia"/>
          <w:sz w:val="24"/>
          <w:szCs w:val="24"/>
          <w:lang w:val="en-US" w:eastAsia="zh-CN"/>
        </w:rPr>
        <w:t xml:space="preserve"> (lanes 3, 4, 9, 10)</w:t>
      </w:r>
      <w:r>
        <w:rPr>
          <w:rFonts w:eastAsiaTheme="minorEastAsia" w:hint="eastAsia"/>
          <w:sz w:val="24"/>
          <w:szCs w:val="24"/>
          <w:lang w:val="en-US" w:eastAsia="zh-CN"/>
        </w:rPr>
        <w:t>, and 2.5 µg</w:t>
      </w:r>
      <w:r>
        <w:rPr>
          <w:rFonts w:eastAsiaTheme="minorEastAsia"/>
          <w:sz w:val="24"/>
          <w:szCs w:val="24"/>
          <w:lang w:val="en-US" w:eastAsia="zh-CN"/>
        </w:rPr>
        <w:t xml:space="preserve"> (lanes 5, 6, 11, 12)</w:t>
      </w:r>
      <w:r>
        <w:rPr>
          <w:rFonts w:eastAsiaTheme="minorEastAsia" w:hint="eastAsia"/>
          <w:sz w:val="24"/>
          <w:szCs w:val="24"/>
          <w:lang w:val="en-US" w:eastAsia="zh-CN"/>
        </w:rPr>
        <w:t>. Lanes 1, 3, 5, 7, 9, and 11: untreated L1 proteins; lanes 2, 4, 6, 8, 10, and 12: DBCO-activated L1 proteins. Following incubation with an N</w:t>
      </w:r>
      <w:r>
        <w:rPr>
          <w:rFonts w:eastAsiaTheme="minorEastAsia" w:hint="eastAsia"/>
          <w:sz w:val="24"/>
          <w:szCs w:val="24"/>
          <w:vertAlign w:val="subscript"/>
          <w:lang w:val="en-US" w:eastAsia="zh-CN"/>
        </w:rPr>
        <w:t>3</w:t>
      </w:r>
      <w:r>
        <w:rPr>
          <w:rFonts w:eastAsiaTheme="minorEastAsia" w:hint="eastAsia"/>
          <w:sz w:val="24"/>
          <w:szCs w:val="24"/>
          <w:lang w:val="en-US" w:eastAsia="zh-CN"/>
        </w:rPr>
        <w:t xml:space="preserve">- and FITC-labeled peptide, DBCO-activated L1 proteins exhibited detectable gel shifts compared </w:t>
      </w:r>
      <w:r w:rsidR="00394003">
        <w:rPr>
          <w:rFonts w:eastAsiaTheme="minorEastAsia"/>
          <w:sz w:val="24"/>
          <w:szCs w:val="24"/>
          <w:lang w:val="en-US" w:eastAsia="zh-CN"/>
        </w:rPr>
        <w:t>to</w:t>
      </w:r>
      <w:r>
        <w:rPr>
          <w:rFonts w:eastAsiaTheme="minorEastAsia" w:hint="eastAsia"/>
          <w:sz w:val="24"/>
          <w:szCs w:val="24"/>
          <w:lang w:val="en-US" w:eastAsia="zh-CN"/>
        </w:rPr>
        <w:t xml:space="preserve"> untreated controls. Lanes 9 and 10 were cropped and presented in Figure 3B.</w:t>
      </w:r>
    </w:p>
    <w:sectPr w:rsidR="00C80E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5995" w14:textId="77777777" w:rsidR="00C80E33" w:rsidRDefault="00721062">
      <w:pPr>
        <w:spacing w:line="240" w:lineRule="auto"/>
      </w:pPr>
      <w:r>
        <w:separator/>
      </w:r>
    </w:p>
  </w:endnote>
  <w:endnote w:type="continuationSeparator" w:id="0">
    <w:p w14:paraId="32ED75F8" w14:textId="77777777" w:rsidR="00C80E33" w:rsidRDefault="00721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A3C2C" w14:textId="77777777" w:rsidR="00C80E33" w:rsidRDefault="00721062">
      <w:pPr>
        <w:spacing w:after="0"/>
      </w:pPr>
      <w:r>
        <w:separator/>
      </w:r>
    </w:p>
  </w:footnote>
  <w:footnote w:type="continuationSeparator" w:id="0">
    <w:p w14:paraId="70A5AC22" w14:textId="77777777" w:rsidR="00C80E33" w:rsidRDefault="007210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C1"/>
    <w:rsid w:val="0005416C"/>
    <w:rsid w:val="00097976"/>
    <w:rsid w:val="001F4AC1"/>
    <w:rsid w:val="00394003"/>
    <w:rsid w:val="004846FF"/>
    <w:rsid w:val="005F4E3B"/>
    <w:rsid w:val="00721062"/>
    <w:rsid w:val="007928DA"/>
    <w:rsid w:val="0080346E"/>
    <w:rsid w:val="00894708"/>
    <w:rsid w:val="009E19C7"/>
    <w:rsid w:val="00C60D46"/>
    <w:rsid w:val="00C80E33"/>
    <w:rsid w:val="00F114F2"/>
    <w:rsid w:val="4B7A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410B"/>
  <w15:docId w15:val="{9474BC03-9832-4E58-8235-29EAD023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pPr>
      <w:spacing w:beforeLines="100" w:before="240" w:after="160" w:line="259" w:lineRule="auto"/>
      <w:jc w:val="both"/>
    </w:pPr>
    <w:rPr>
      <w:rFonts w:asciiTheme="minorHAnsi" w:eastAsiaTheme="minorHAnsi" w:hAnsiTheme="minorHAnsi" w:cstheme="minorBidi"/>
      <w:sz w:val="28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ebi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1084</Characters>
  <Application>Microsoft Office Word</Application>
  <DocSecurity>0</DocSecurity>
  <Lines>9</Lines>
  <Paragraphs>2</Paragraphs>
  <ScaleCrop>false</ScaleCrop>
  <Company>Universitätsklinikum Erlangen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Damm, Dominik</dc:creator>
  <cp:lastModifiedBy>Damm, Dominik</cp:lastModifiedBy>
  <cp:revision>12</cp:revision>
  <dcterms:created xsi:type="dcterms:W3CDTF">2025-03-10T16:30:00Z</dcterms:created>
  <dcterms:modified xsi:type="dcterms:W3CDTF">2025-08-12T13:23:00Z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eyJoZGlkIjoiODViY2JkMjU3NGYzZTEwMzZmMGFkZWViYmNkYWU3NDIiLCJ1c2VySWQiOiIyNDk4ODQyODAifQ==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2DB1008706874135B203A505E611071B_12</vt:lpwstr>
  </property>
</Properties>
</file>