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136A" w:rsidRPr="006173D6" w:rsidRDefault="0001136A" w:rsidP="0001136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6173D6">
        <w:rPr>
          <w:rFonts w:ascii="Times New Roman" w:hAnsi="Times New Roman" w:cs="Times New Roman"/>
          <w:b/>
        </w:rPr>
        <w:t>Supporting Figures</w:t>
      </w:r>
    </w:p>
    <w:p w:rsidR="0001136A" w:rsidRPr="006173D6" w:rsidRDefault="0001136A" w:rsidP="0001136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6173D6">
        <w:rPr>
          <w:rFonts w:ascii="Times New Roman" w:hAnsi="Times New Roman" w:cs="Times New Roman"/>
          <w:b/>
        </w:rPr>
        <w:t xml:space="preserve">Figure S1. </w:t>
      </w:r>
    </w:p>
    <w:p w:rsidR="0001136A" w:rsidRPr="006173D6" w:rsidRDefault="0001136A" w:rsidP="0001136A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6173D6">
        <w:rPr>
          <w:rFonts w:ascii="Times New Roman" w:hAnsi="Times New Roman" w:cs="Times New Roman"/>
          <w:b/>
          <w:noProof/>
        </w:rPr>
        <w:drawing>
          <wp:inline distT="0" distB="0" distL="0" distR="0" wp14:anchorId="2EC61205" wp14:editId="7FAE11AB">
            <wp:extent cx="3922576" cy="532787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4" cy="5339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582" w:rsidRDefault="0001136A" w:rsidP="000113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173D6"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="00A4156B" w:rsidRPr="006173D6">
        <w:rPr>
          <w:rFonts w:ascii="Times New Roman" w:hAnsi="Times New Roman" w:cs="Times New Roman"/>
          <w:b/>
        </w:rPr>
        <w:t>Characterization of UC-</w:t>
      </w:r>
      <w:r w:rsidR="00A4156B" w:rsidRPr="006173D6">
        <w:rPr>
          <w:rFonts w:ascii="Times New Roman" w:eastAsia="Malgun Gothic" w:hAnsi="Times New Roman" w:cs="Times New Roman"/>
          <w:b/>
        </w:rPr>
        <w:t>MSCs</w:t>
      </w:r>
      <w:r w:rsidR="00A4156B" w:rsidRPr="006173D6">
        <w:rPr>
          <w:rFonts w:ascii="Times New Roman" w:hAnsi="Times New Roman" w:cs="Times New Roman"/>
          <w:b/>
        </w:rPr>
        <w:t xml:space="preserve"> and AD-</w:t>
      </w:r>
      <w:r w:rsidR="00A4156B" w:rsidRPr="006173D6">
        <w:rPr>
          <w:rFonts w:ascii="Times New Roman" w:eastAsia="Malgun Gothic" w:hAnsi="Times New Roman" w:cs="Times New Roman"/>
          <w:b/>
        </w:rPr>
        <w:t>MSCs</w:t>
      </w:r>
      <w:r w:rsidR="00A4156B">
        <w:rPr>
          <w:rFonts w:ascii="Times New Roman" w:eastAsia="Malgun Gothic" w:hAnsi="Times New Roman" w:cs="Times New Roman"/>
          <w:b/>
          <w:lang w:val="vi-VN"/>
        </w:rPr>
        <w:t xml:space="preserve"> at Passage 6</w:t>
      </w:r>
      <w:r w:rsidRPr="006173D6">
        <w:rPr>
          <w:rFonts w:ascii="Times New Roman" w:hAnsi="Times New Roman" w:cs="Times New Roman"/>
          <w:b/>
          <w:sz w:val="24"/>
          <w:szCs w:val="24"/>
        </w:rPr>
        <w:t>.</w:t>
      </w:r>
      <w:r w:rsidRPr="006173D6">
        <w:rPr>
          <w:rFonts w:ascii="Times New Roman" w:hAnsi="Times New Roman" w:cs="Times New Roman"/>
          <w:sz w:val="24"/>
          <w:szCs w:val="24"/>
        </w:rPr>
        <w:t xml:space="preserve"> (A) Morphology of the isolated cells. UC- and AD-MSCs adhered to </w:t>
      </w:r>
      <w:r>
        <w:rPr>
          <w:rFonts w:ascii="Times New Roman" w:hAnsi="Times New Roman" w:cs="Times New Roman"/>
          <w:sz w:val="24"/>
          <w:szCs w:val="24"/>
        </w:rPr>
        <w:t>the vessel</w:t>
      </w:r>
      <w:r w:rsidRPr="006173D6">
        <w:rPr>
          <w:rFonts w:ascii="Times New Roman" w:hAnsi="Times New Roman" w:cs="Times New Roman"/>
          <w:sz w:val="24"/>
          <w:szCs w:val="24"/>
        </w:rPr>
        <w:t xml:space="preserve"> surfaces and exhibited a spindle-shaped or elongated fibroblast-like shape. (B) The 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>PTDs</w:t>
      </w:r>
      <w:r w:rsidRPr="006173D6">
        <w:rPr>
          <w:rFonts w:ascii="Times New Roman" w:hAnsi="Times New Roman" w:cs="Times New Roman"/>
          <w:sz w:val="24"/>
          <w:szCs w:val="24"/>
        </w:rPr>
        <w:t xml:space="preserve"> of AD-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 w:rsidRPr="006173D6">
        <w:rPr>
          <w:rFonts w:ascii="Times New Roman" w:hAnsi="Times New Roman" w:cs="Times New Roman"/>
          <w:sz w:val="24"/>
          <w:szCs w:val="24"/>
        </w:rPr>
        <w:t xml:space="preserve">and UC-MSCs 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>were</w:t>
      </w:r>
      <w:r w:rsidRPr="006173D6">
        <w:rPr>
          <w:rFonts w:ascii="Times New Roman" w:hAnsi="Times New Roman" w:cs="Times New Roman"/>
          <w:sz w:val="24"/>
          <w:szCs w:val="24"/>
        </w:rPr>
        <w:t xml:space="preserve"> 40.3 ± 4.6 hours and 35.0 ± 4.4 hours, respectively (n=5). (C) Cell viability was assessed by DAPI staining and measured 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>via</w:t>
      </w:r>
      <w:r w:rsidRPr="006173D6">
        <w:rPr>
          <w:rFonts w:ascii="Times New Roman" w:hAnsi="Times New Roman" w:cs="Times New Roman"/>
          <w:sz w:val="24"/>
          <w:szCs w:val="24"/>
        </w:rPr>
        <w:t xml:space="preserve"> flow cytometry (n=5). (D) Cells were collected for flow cytometry analysis (n=5). More than 95% of 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 xml:space="preserve">the </w:t>
      </w:r>
      <w:r w:rsidRPr="006173D6">
        <w:rPr>
          <w:rFonts w:ascii="Times New Roman" w:hAnsi="Times New Roman" w:cs="Times New Roman"/>
          <w:sz w:val="24"/>
          <w:szCs w:val="24"/>
        </w:rPr>
        <w:t>AD-MSCs and UC-MSCs were positive for CD90, CD105, and CD73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>,</w:t>
      </w:r>
      <w:r w:rsidRPr="006173D6">
        <w:rPr>
          <w:rFonts w:ascii="Times New Roman" w:hAnsi="Times New Roman" w:cs="Times New Roman"/>
          <w:sz w:val="24"/>
          <w:szCs w:val="24"/>
        </w:rPr>
        <w:t xml:space="preserve"> and both </w:t>
      </w:r>
      <w:r>
        <w:rPr>
          <w:rFonts w:ascii="Times New Roman" w:hAnsi="Times New Roman" w:cs="Times New Roman"/>
          <w:sz w:val="24"/>
          <w:szCs w:val="24"/>
        </w:rPr>
        <w:t xml:space="preserve">types of cells </w:t>
      </w:r>
      <w:r w:rsidRPr="006173D6">
        <w:rPr>
          <w:rFonts w:ascii="Times New Roman" w:hAnsi="Times New Roman" w:cs="Times New Roman"/>
          <w:sz w:val="24"/>
          <w:szCs w:val="24"/>
        </w:rPr>
        <w:t xml:space="preserve">expressed very low 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>levels of the</w:t>
      </w:r>
      <w:r w:rsidRPr="006173D6">
        <w:rPr>
          <w:rFonts w:ascii="Times New Roman" w:hAnsi="Times New Roman" w:cs="Times New Roman"/>
          <w:sz w:val="24"/>
          <w:szCs w:val="24"/>
        </w:rPr>
        <w:t xml:space="preserve"> negative </w:t>
      </w:r>
      <w:r w:rsidRPr="006173D6">
        <w:rPr>
          <w:rFonts w:ascii="Times New Roman" w:eastAsia="Malgun Gothic" w:hAnsi="Times New Roman" w:cs="Times New Roman"/>
          <w:sz w:val="24"/>
          <w:szCs w:val="24"/>
        </w:rPr>
        <w:t xml:space="preserve">MSC </w:t>
      </w:r>
      <w:r w:rsidRPr="006173D6">
        <w:rPr>
          <w:rFonts w:ascii="Times New Roman" w:hAnsi="Times New Roman" w:cs="Times New Roman"/>
          <w:sz w:val="24"/>
          <w:szCs w:val="24"/>
        </w:rPr>
        <w:t>markers CD45, CD34</w:t>
      </w:r>
      <w:r>
        <w:rPr>
          <w:rFonts w:ascii="Times New Roman" w:hAnsi="Times New Roman" w:cs="Times New Roman"/>
          <w:sz w:val="24"/>
          <w:szCs w:val="24"/>
        </w:rPr>
        <w:t>, CD11b, CD19, and HLA-DR (&lt;1%).</w:t>
      </w:r>
    </w:p>
    <w:p w:rsidR="00A4156B" w:rsidRPr="00A4156B" w:rsidRDefault="00A4156B" w:rsidP="00A4156B">
      <w:pPr>
        <w:spacing w:line="360" w:lineRule="auto"/>
        <w:jc w:val="both"/>
        <w:rPr>
          <w:rFonts w:ascii="Times New Roman" w:hAnsi="Times New Roman" w:cs="Times New Roman"/>
          <w:b/>
          <w:lang w:val="vi-VN"/>
        </w:rPr>
      </w:pPr>
      <w:r w:rsidRPr="006173D6">
        <w:rPr>
          <w:rFonts w:ascii="Times New Roman" w:hAnsi="Times New Roman" w:cs="Times New Roman"/>
          <w:b/>
        </w:rPr>
        <w:lastRenderedPageBreak/>
        <w:t>Figure S</w:t>
      </w:r>
      <w:r>
        <w:rPr>
          <w:rFonts w:ascii="Times New Roman" w:hAnsi="Times New Roman" w:cs="Times New Roman"/>
          <w:b/>
          <w:lang w:val="vi-VN"/>
        </w:rPr>
        <w:t>2</w:t>
      </w:r>
      <w:r w:rsidRPr="006173D6">
        <w:rPr>
          <w:rFonts w:ascii="Times New Roman" w:hAnsi="Times New Roman" w:cs="Times New Roman"/>
          <w:b/>
        </w:rPr>
        <w:t xml:space="preserve">. </w:t>
      </w:r>
    </w:p>
    <w:p w:rsidR="00A4156B" w:rsidRDefault="00A4156B" w:rsidP="000113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56B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0872EEB" wp14:editId="55B9E5C0">
            <wp:extent cx="6728012" cy="2216075"/>
            <wp:effectExtent l="0" t="0" r="0" b="0"/>
            <wp:docPr id="1140353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537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2810" cy="222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56B" w:rsidRDefault="00A4156B" w:rsidP="00A4156B">
      <w:pPr>
        <w:rPr>
          <w:rFonts w:ascii="Times New Roman" w:hAnsi="Times New Roman" w:cs="Times New Roman"/>
          <w:sz w:val="24"/>
          <w:szCs w:val="24"/>
        </w:rPr>
      </w:pPr>
    </w:p>
    <w:p w:rsidR="00A4156B" w:rsidRPr="00A4156B" w:rsidRDefault="00A4156B" w:rsidP="00A4156B">
      <w:pPr>
        <w:spacing w:line="360" w:lineRule="auto"/>
        <w:jc w:val="both"/>
        <w:rPr>
          <w:rFonts w:ascii="Times New Roman" w:hAnsi="Times New Roman" w:cs="Times New Roman"/>
          <w:b/>
          <w:lang w:val="vi-VN"/>
        </w:rPr>
      </w:pPr>
      <w:r w:rsidRPr="006173D6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  <w:lang w:val="vi-VN"/>
        </w:rPr>
        <w:t>2</w:t>
      </w:r>
      <w:r w:rsidRPr="006173D6">
        <w:rPr>
          <w:rFonts w:ascii="Times New Roman" w:hAnsi="Times New Roman" w:cs="Times New Roman"/>
          <w:b/>
        </w:rPr>
        <w:t xml:space="preserve">. </w:t>
      </w:r>
      <w:r w:rsidRPr="00A4156B">
        <w:rPr>
          <w:rFonts w:ascii="Times New Roman" w:hAnsi="Times New Roman" w:cs="Times New Roman"/>
          <w:b/>
        </w:rPr>
        <w:t xml:space="preserve">The preservation of </w:t>
      </w:r>
      <w:r>
        <w:rPr>
          <w:rFonts w:ascii="Times New Roman" w:hAnsi="Times New Roman" w:cs="Times New Roman"/>
          <w:b/>
        </w:rPr>
        <w:t>particle</w:t>
      </w:r>
      <w:r>
        <w:rPr>
          <w:rFonts w:ascii="Times New Roman" w:hAnsi="Times New Roman" w:cs="Times New Roman"/>
          <w:b/>
          <w:lang w:val="vi-VN"/>
        </w:rPr>
        <w:t xml:space="preserve"> concentration and diameter, protein </w:t>
      </w:r>
      <w:r w:rsidR="00525471">
        <w:rPr>
          <w:rFonts w:ascii="Times New Roman" w:hAnsi="Times New Roman" w:cs="Times New Roman"/>
          <w:b/>
          <w:lang w:val="vi-VN"/>
        </w:rPr>
        <w:t xml:space="preserve">concentration </w:t>
      </w:r>
      <w:r>
        <w:rPr>
          <w:rFonts w:ascii="Times New Roman" w:hAnsi="Times New Roman" w:cs="Times New Roman"/>
          <w:b/>
          <w:lang w:val="vi-VN"/>
        </w:rPr>
        <w:t>and CD9 and CD63 expression in UC-MSC-EVs and AD-MSC-EVs</w:t>
      </w:r>
      <w:r>
        <w:rPr>
          <w:rFonts w:ascii="Times New Roman" w:hAnsi="Times New Roman" w:cs="Times New Roman"/>
          <w:b/>
          <w:lang w:val="vi-VN"/>
        </w:rPr>
        <w:t xml:space="preserve">. (A) </w:t>
      </w:r>
      <w:r w:rsidRPr="00A4156B">
        <w:rPr>
          <w:rFonts w:ascii="Times New Roman" w:hAnsi="Times New Roman" w:cs="Times New Roman"/>
          <w:bCs/>
          <w:lang w:val="vi-VN"/>
        </w:rPr>
        <w:t>AD-MSC-EVs after 6 months</w:t>
      </w:r>
      <w:r w:rsidR="00525471">
        <w:rPr>
          <w:rFonts w:ascii="Times New Roman" w:hAnsi="Times New Roman" w:cs="Times New Roman"/>
          <w:bCs/>
          <w:lang w:val="vi-VN"/>
        </w:rPr>
        <w:t xml:space="preserve"> of</w:t>
      </w:r>
      <w:r w:rsidRPr="00A4156B">
        <w:rPr>
          <w:rFonts w:ascii="Times New Roman" w:hAnsi="Times New Roman" w:cs="Times New Roman"/>
          <w:bCs/>
          <w:lang w:val="vi-VN"/>
        </w:rPr>
        <w:t xml:space="preserve"> storage at -80</w:t>
      </w:r>
      <w:r w:rsidRPr="00A4156B">
        <w:rPr>
          <w:rFonts w:ascii="Times New Roman" w:hAnsi="Times New Roman" w:cs="Times New Roman"/>
          <w:bCs/>
          <w:vertAlign w:val="superscript"/>
          <w:lang w:val="vi-VN"/>
        </w:rPr>
        <w:t>o</w:t>
      </w:r>
      <w:r w:rsidRPr="00A4156B">
        <w:rPr>
          <w:rFonts w:ascii="Times New Roman" w:hAnsi="Times New Roman" w:cs="Times New Roman"/>
          <w:bCs/>
          <w:lang w:val="vi-VN"/>
        </w:rPr>
        <w:t>C</w:t>
      </w:r>
      <w:r>
        <w:rPr>
          <w:rFonts w:ascii="Times New Roman" w:hAnsi="Times New Roman" w:cs="Times New Roman"/>
          <w:b/>
          <w:lang w:val="vi-VN"/>
        </w:rPr>
        <w:t xml:space="preserve">. (B) </w:t>
      </w:r>
      <w:r w:rsidRPr="00A4156B">
        <w:rPr>
          <w:rFonts w:ascii="Times New Roman" w:hAnsi="Times New Roman" w:cs="Times New Roman"/>
          <w:bCs/>
          <w:lang w:val="vi-VN"/>
        </w:rPr>
        <w:t>UC</w:t>
      </w:r>
      <w:r w:rsidRPr="00A4156B">
        <w:rPr>
          <w:rFonts w:ascii="Times New Roman" w:hAnsi="Times New Roman" w:cs="Times New Roman"/>
          <w:bCs/>
          <w:lang w:val="vi-VN"/>
        </w:rPr>
        <w:t xml:space="preserve">-MSC-EVs after </w:t>
      </w:r>
      <w:r w:rsidR="0068439F">
        <w:rPr>
          <w:rFonts w:ascii="Times New Roman" w:hAnsi="Times New Roman" w:cs="Times New Roman"/>
          <w:bCs/>
          <w:lang w:val="vi-VN"/>
        </w:rPr>
        <w:t>10</w:t>
      </w:r>
      <w:r w:rsidRPr="00A4156B">
        <w:rPr>
          <w:rFonts w:ascii="Times New Roman" w:hAnsi="Times New Roman" w:cs="Times New Roman"/>
          <w:bCs/>
          <w:lang w:val="vi-VN"/>
        </w:rPr>
        <w:t xml:space="preserve"> months </w:t>
      </w:r>
      <w:r w:rsidR="00525471">
        <w:rPr>
          <w:rFonts w:ascii="Times New Roman" w:hAnsi="Times New Roman" w:cs="Times New Roman"/>
          <w:bCs/>
          <w:lang w:val="vi-VN"/>
        </w:rPr>
        <w:t xml:space="preserve">of </w:t>
      </w:r>
      <w:r w:rsidRPr="00A4156B">
        <w:rPr>
          <w:rFonts w:ascii="Times New Roman" w:hAnsi="Times New Roman" w:cs="Times New Roman"/>
          <w:bCs/>
          <w:lang w:val="vi-VN"/>
        </w:rPr>
        <w:t>storage at -80</w:t>
      </w:r>
      <w:r w:rsidRPr="00287242">
        <w:rPr>
          <w:rFonts w:ascii="Times New Roman" w:hAnsi="Times New Roman" w:cs="Times New Roman"/>
          <w:bCs/>
          <w:vertAlign w:val="superscript"/>
          <w:lang w:val="vi-VN"/>
        </w:rPr>
        <w:t>o</w:t>
      </w:r>
      <w:r w:rsidRPr="00A4156B">
        <w:rPr>
          <w:rFonts w:ascii="Times New Roman" w:hAnsi="Times New Roman" w:cs="Times New Roman"/>
          <w:bCs/>
          <w:lang w:val="vi-VN"/>
        </w:rPr>
        <w:t>C.</w:t>
      </w:r>
      <w:r>
        <w:rPr>
          <w:rFonts w:ascii="Times New Roman" w:hAnsi="Times New Roman" w:cs="Times New Roman"/>
          <w:bCs/>
          <w:lang w:val="vi-VN"/>
        </w:rPr>
        <w:t xml:space="preserve"> Particle concentration and diameter of the EVs were dertermined by </w:t>
      </w:r>
      <w:r w:rsidR="00A60A60" w:rsidRPr="00A60A60">
        <w:rPr>
          <w:rFonts w:ascii="Times New Roman" w:hAnsi="Times New Roman" w:cs="Times New Roman"/>
          <w:bCs/>
          <w:lang w:val="vi-VN"/>
        </w:rPr>
        <w:t xml:space="preserve">nanoparticle tracking analysis </w:t>
      </w:r>
      <w:r>
        <w:rPr>
          <w:rFonts w:ascii="Times New Roman" w:hAnsi="Times New Roman" w:cs="Times New Roman"/>
          <w:bCs/>
          <w:lang w:val="vi-VN"/>
        </w:rPr>
        <w:t xml:space="preserve">NTA. Protein concentration was measured by Bradford assay. Expression of CD9 and CD93 were </w:t>
      </w:r>
      <w:r w:rsidR="00A60A60">
        <w:rPr>
          <w:rFonts w:ascii="Times New Roman" w:hAnsi="Times New Roman" w:cs="Times New Roman"/>
          <w:bCs/>
          <w:lang w:val="vi-VN"/>
        </w:rPr>
        <w:t>analysed</w:t>
      </w:r>
      <w:r w:rsidR="0068439F">
        <w:rPr>
          <w:rFonts w:ascii="Times New Roman" w:hAnsi="Times New Roman" w:cs="Times New Roman"/>
          <w:bCs/>
          <w:lang w:val="vi-VN"/>
        </w:rPr>
        <w:t xml:space="preserve"> by flow cytometry.</w:t>
      </w:r>
    </w:p>
    <w:p w:rsidR="00A4156B" w:rsidRPr="00A4156B" w:rsidRDefault="00A4156B" w:rsidP="00A4156B">
      <w:pPr>
        <w:rPr>
          <w:rFonts w:ascii="Times New Roman" w:hAnsi="Times New Roman" w:cs="Times New Roman"/>
          <w:sz w:val="24"/>
          <w:szCs w:val="24"/>
          <w:lang w:val="vi-VN"/>
        </w:rPr>
      </w:pPr>
    </w:p>
    <w:sectPr w:rsidR="00A4156B" w:rsidRPr="00A41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36A"/>
    <w:rsid w:val="0001136A"/>
    <w:rsid w:val="001A3582"/>
    <w:rsid w:val="00287242"/>
    <w:rsid w:val="00525471"/>
    <w:rsid w:val="005F0219"/>
    <w:rsid w:val="0068439F"/>
    <w:rsid w:val="00A4156B"/>
    <w:rsid w:val="00A60A60"/>
    <w:rsid w:val="00DD54AE"/>
    <w:rsid w:val="00E6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DB1F3D"/>
  <w15:chartTrackingRefBased/>
  <w15:docId w15:val="{5F5BFDE2-F219-476D-BDC7-29D2786B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A"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1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f47bbb-7d2d-43b3-aeb6-670b1f5db36f">
      <Terms xmlns="http://schemas.microsoft.com/office/infopath/2007/PartnerControls"/>
    </lcf76f155ced4ddcb4097134ff3c332f>
    <TaxCatchAll xmlns="c96bf87b-6311-4dc4-8237-885a58a3d1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02C15F475514FB39735F619DE2A38" ma:contentTypeVersion="15" ma:contentTypeDescription="Create a new document." ma:contentTypeScope="" ma:versionID="05c45136216b6f03508148d8d87d5a25">
  <xsd:schema xmlns:xsd="http://www.w3.org/2001/XMLSchema" xmlns:xs="http://www.w3.org/2001/XMLSchema" xmlns:p="http://schemas.microsoft.com/office/2006/metadata/properties" xmlns:ns2="09f47bbb-7d2d-43b3-aeb6-670b1f5db36f" xmlns:ns3="c96bf87b-6311-4dc4-8237-885a58a3d163" targetNamespace="http://schemas.microsoft.com/office/2006/metadata/properties" ma:root="true" ma:fieldsID="384441afa1c654519806d13f34351c3d" ns2:_="" ns3:_="">
    <xsd:import namespace="09f47bbb-7d2d-43b3-aeb6-670b1f5db36f"/>
    <xsd:import namespace="c96bf87b-6311-4dc4-8237-885a58a3d1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47bbb-7d2d-43b3-aeb6-670b1f5db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c6995-f766-4945-9983-687bd46322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bf87b-6311-4dc4-8237-885a58a3d16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991d1b-9c8a-48fc-a9ff-706bf97362e6}" ma:internalName="TaxCatchAll" ma:showField="CatchAllData" ma:web="c96bf87b-6311-4dc4-8237-885a58a3d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6F7BC-DC58-4C76-A308-EA5FE5F7F2CD}">
  <ds:schemaRefs>
    <ds:schemaRef ds:uri="http://schemas.microsoft.com/office/2006/metadata/properties"/>
    <ds:schemaRef ds:uri="http://schemas.microsoft.com/office/infopath/2007/PartnerControls"/>
    <ds:schemaRef ds:uri="09f47bbb-7d2d-43b3-aeb6-670b1f5db36f"/>
    <ds:schemaRef ds:uri="c96bf87b-6311-4dc4-8237-885a58a3d163"/>
  </ds:schemaRefs>
</ds:datastoreItem>
</file>

<file path=customXml/itemProps2.xml><?xml version="1.0" encoding="utf-8"?>
<ds:datastoreItem xmlns:ds="http://schemas.openxmlformats.org/officeDocument/2006/customXml" ds:itemID="{5A0D17DE-5E89-4BBB-960A-A17B05B73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7CDBD-79A4-4513-A226-8343941D3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47bbb-7d2d-43b3-aeb6-670b1f5db36f"/>
    <ds:schemaRef ds:uri="c96bf87b-6311-4dc4-8237-885a58a3d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Quyên (VMEC-KVH-VNC TBG)</dc:creator>
  <cp:keywords/>
  <dc:description/>
  <cp:lastModifiedBy>Nguyễn Thị Quyên (VUNI-VNCTBG-PNCPTCNTB)</cp:lastModifiedBy>
  <cp:revision>6</cp:revision>
  <dcterms:created xsi:type="dcterms:W3CDTF">2025-07-26T17:27:00Z</dcterms:created>
  <dcterms:modified xsi:type="dcterms:W3CDTF">2025-07-27T06:42:00Z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0x010100AB402C15F475514FB39735F619DE2A38</vt:lpwstr>
  </property>
</Properties>
</file>