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3A3C" w:rsidRPr="00DD7259" w:rsidRDefault="00343A3C" w:rsidP="00343A3C">
      <w:pPr>
        <w:jc w:val="both"/>
        <w:rPr>
          <w:rFonts w:ascii="Arial" w:hAnsi="Arial" w:cs="Arial"/>
        </w:rPr>
      </w:pPr>
    </w:p>
    <w:p w:rsidR="00343A3C" w:rsidRPr="00DD7259" w:rsidRDefault="00343A3C" w:rsidP="00343A3C">
      <w:pPr>
        <w:jc w:val="both"/>
        <w:rPr>
          <w:rFonts w:ascii="Arial" w:hAnsi="Arial" w:cs="Arial"/>
          <w:b/>
          <w:bCs/>
        </w:rPr>
      </w:pPr>
      <w:r w:rsidRPr="00DD7259">
        <w:rPr>
          <w:rFonts w:ascii="Arial" w:hAnsi="Arial" w:cs="Arial"/>
          <w:b/>
          <w:bCs/>
        </w:rPr>
        <w:t>Supplemental figures:</w:t>
      </w:r>
    </w:p>
    <w:p w:rsidR="00343A3C" w:rsidRPr="00DD7259" w:rsidRDefault="00343A3C" w:rsidP="00343A3C">
      <w:pPr>
        <w:jc w:val="both"/>
        <w:rPr>
          <w:rFonts w:ascii="Arial" w:hAnsi="Arial" w:cs="Arial"/>
        </w:rPr>
      </w:pPr>
      <w:r w:rsidRPr="00DD7259">
        <w:rPr>
          <w:rFonts w:ascii="Arial" w:hAnsi="Arial" w:cs="Arial"/>
          <w:b/>
          <w:bCs/>
        </w:rPr>
        <w:t>S</w:t>
      </w:r>
      <w:r>
        <w:rPr>
          <w:rFonts w:ascii="Arial" w:hAnsi="Arial" w:cs="Arial"/>
          <w:b/>
          <w:bCs/>
        </w:rPr>
        <w:t>1</w:t>
      </w:r>
      <w:r w:rsidRPr="00DD7259">
        <w:rPr>
          <w:rFonts w:ascii="Arial" w:hAnsi="Arial" w:cs="Arial"/>
          <w:b/>
          <w:bCs/>
        </w:rPr>
        <w:t>. Alkaline Phosphatase (AP) staining on BAPN-treated embryos</w:t>
      </w:r>
      <w:r w:rsidRPr="00DD7259">
        <w:rPr>
          <w:rFonts w:ascii="Arial" w:hAnsi="Arial" w:cs="Arial"/>
        </w:rPr>
        <w:t>. Control embryos exhibit a marked increase in AP staining throughout early development, whereas treated embryos show substantially reduced AP staining. This difference could indicate a loss of tissue identity, as gut cells typically display strong AP staining.</w:t>
      </w:r>
    </w:p>
    <w:p w:rsidR="00343A3C" w:rsidRPr="00DD7259" w:rsidRDefault="00343A3C" w:rsidP="00343A3C">
      <w:pPr>
        <w:jc w:val="both"/>
        <w:rPr>
          <w:rFonts w:ascii="Arial" w:hAnsi="Arial" w:cs="Arial"/>
        </w:rPr>
      </w:pPr>
      <w:r w:rsidRPr="00DD7259">
        <w:rPr>
          <w:rFonts w:ascii="Arial" w:hAnsi="Arial" w:cs="Arial"/>
          <w:b/>
          <w:bCs/>
        </w:rPr>
        <w:t>S</w:t>
      </w:r>
      <w:r>
        <w:rPr>
          <w:rFonts w:ascii="Arial" w:hAnsi="Arial" w:cs="Arial"/>
          <w:b/>
          <w:bCs/>
        </w:rPr>
        <w:t>2</w:t>
      </w:r>
      <w:r w:rsidRPr="00DD7259">
        <w:rPr>
          <w:rFonts w:ascii="Arial" w:hAnsi="Arial" w:cs="Arial"/>
          <w:b/>
          <w:bCs/>
        </w:rPr>
        <w:t>.</w:t>
      </w:r>
      <w:r w:rsidRPr="00DD7259">
        <w:rPr>
          <w:rFonts w:ascii="Arial" w:hAnsi="Arial" w:cs="Arial"/>
        </w:rPr>
        <w:t xml:space="preserve"> </w:t>
      </w:r>
      <w:r w:rsidRPr="00DD7259">
        <w:rPr>
          <w:rFonts w:ascii="Arial" w:hAnsi="Arial" w:cs="Arial"/>
          <w:b/>
          <w:bCs/>
        </w:rPr>
        <w:t>Collagen inhibitor, Col003, disrupts</w:t>
      </w:r>
      <w:r>
        <w:rPr>
          <w:rFonts w:ascii="Arial" w:hAnsi="Arial" w:cs="Arial"/>
          <w:b/>
          <w:bCs/>
        </w:rPr>
        <w:t xml:space="preserve"> the</w:t>
      </w:r>
      <w:r w:rsidRPr="00DD7259">
        <w:rPr>
          <w:rFonts w:ascii="Arial" w:hAnsi="Arial" w:cs="Arial"/>
          <w:b/>
          <w:bCs/>
        </w:rPr>
        <w:t xml:space="preserve"> normal expression of germline genes during blastula formation</w:t>
      </w:r>
      <w:r w:rsidRPr="00DD7259">
        <w:rPr>
          <w:rFonts w:ascii="Arial" w:hAnsi="Arial" w:cs="Arial"/>
        </w:rPr>
        <w:t>. Nanos3, Wnt3</w:t>
      </w:r>
      <w:r>
        <w:rPr>
          <w:rFonts w:ascii="Arial" w:hAnsi="Arial" w:cs="Arial"/>
        </w:rPr>
        <w:t>,</w:t>
      </w:r>
      <w:r w:rsidRPr="00DD7259">
        <w:rPr>
          <w:rFonts w:ascii="Arial" w:hAnsi="Arial" w:cs="Arial"/>
        </w:rPr>
        <w:t xml:space="preserve"> and BMP2/4 are significantly downregulated, while Piwi, Vasa, and Nodal transcripts </w:t>
      </w:r>
      <w:r>
        <w:rPr>
          <w:rFonts w:ascii="Arial" w:hAnsi="Arial" w:cs="Arial"/>
        </w:rPr>
        <w:t>exhibit increased expression, with Vasa showing</w:t>
      </w:r>
      <w:r w:rsidRPr="00DD7259">
        <w:rPr>
          <w:rFonts w:ascii="Arial" w:hAnsi="Arial" w:cs="Arial"/>
        </w:rPr>
        <w:t xml:space="preserve"> the most dramatic change. Col003 final concentration was 5uM. P-value &lt; 0.05 is * while P-value &lt;0.005 is **.</w:t>
      </w:r>
    </w:p>
    <w:p w:rsidR="00343A3C" w:rsidRPr="00DD7259" w:rsidRDefault="00343A3C" w:rsidP="00343A3C">
      <w:pPr>
        <w:jc w:val="both"/>
        <w:rPr>
          <w:rFonts w:ascii="Arial" w:hAnsi="Arial" w:cs="Arial"/>
        </w:rPr>
      </w:pPr>
      <w:r w:rsidRPr="00DD7259">
        <w:rPr>
          <w:rFonts w:ascii="Arial" w:hAnsi="Arial" w:cs="Arial"/>
          <w:b/>
          <w:bCs/>
        </w:rPr>
        <w:t>S</w:t>
      </w:r>
      <w:r>
        <w:rPr>
          <w:rFonts w:ascii="Arial" w:hAnsi="Arial" w:cs="Arial"/>
          <w:b/>
          <w:bCs/>
        </w:rPr>
        <w:t>3</w:t>
      </w:r>
      <w:r w:rsidRPr="00DD7259">
        <w:rPr>
          <w:rFonts w:ascii="Arial" w:hAnsi="Arial" w:cs="Arial"/>
          <w:b/>
          <w:bCs/>
        </w:rPr>
        <w:t>. Collagen secretion is important for normal gene expression.</w:t>
      </w:r>
      <w:r w:rsidRPr="00DD7259">
        <w:rPr>
          <w:rFonts w:ascii="Arial" w:hAnsi="Arial" w:cs="Arial"/>
        </w:rPr>
        <w:t xml:space="preserve"> RT-qPCR on genes previously selected to validate BAPN RNA-seq data shows that many of the genes follow the same pattern in Col003 treatments. During the</w:t>
      </w:r>
      <w:r>
        <w:rPr>
          <w:rFonts w:ascii="Arial" w:hAnsi="Arial" w:cs="Arial"/>
        </w:rPr>
        <w:t xml:space="preserve"> </w:t>
      </w:r>
      <w:r w:rsidRPr="00DD7259">
        <w:rPr>
          <w:rFonts w:ascii="Arial" w:hAnsi="Arial" w:cs="Arial"/>
        </w:rPr>
        <w:t>1hpf to hatch blastula</w:t>
      </w:r>
      <w:r>
        <w:rPr>
          <w:rFonts w:ascii="Arial" w:hAnsi="Arial" w:cs="Arial"/>
        </w:rPr>
        <w:t xml:space="preserve"> time window,</w:t>
      </w:r>
      <w:r w:rsidRPr="00DD7259">
        <w:rPr>
          <w:rFonts w:ascii="Arial" w:hAnsi="Arial" w:cs="Arial"/>
        </w:rPr>
        <w:t xml:space="preserve"> all the tested genes are upregulated</w:t>
      </w:r>
      <w:r>
        <w:rPr>
          <w:rFonts w:ascii="Arial" w:hAnsi="Arial" w:cs="Arial"/>
        </w:rPr>
        <w:t>,</w:t>
      </w:r>
      <w:r w:rsidRPr="00DD7259">
        <w:rPr>
          <w:rFonts w:ascii="Arial" w:hAnsi="Arial" w:cs="Arial"/>
        </w:rPr>
        <w:t xml:space="preserve"> except</w:t>
      </w:r>
      <w:r>
        <w:rPr>
          <w:rFonts w:ascii="Arial" w:hAnsi="Arial" w:cs="Arial"/>
        </w:rPr>
        <w:t xml:space="preserve"> for</w:t>
      </w:r>
      <w:r w:rsidRPr="00DD7259">
        <w:rPr>
          <w:rFonts w:ascii="Arial" w:hAnsi="Arial" w:cs="Arial"/>
        </w:rPr>
        <w:t xml:space="preserve"> ATF3</w:t>
      </w:r>
      <w:r>
        <w:rPr>
          <w:rFonts w:ascii="Arial" w:hAnsi="Arial" w:cs="Arial"/>
        </w:rPr>
        <w:t>,</w:t>
      </w:r>
      <w:r w:rsidRPr="00DD7259">
        <w:rPr>
          <w:rFonts w:ascii="Arial" w:hAnsi="Arial" w:cs="Arial"/>
        </w:rPr>
        <w:t xml:space="preserve"> which is downregulated. During the hatch blastula to mid-gastrula (D1-D2) time</w:t>
      </w:r>
      <w:r>
        <w:rPr>
          <w:rFonts w:ascii="Arial" w:hAnsi="Arial" w:cs="Arial"/>
        </w:rPr>
        <w:t xml:space="preserve"> </w:t>
      </w:r>
      <w:r w:rsidRPr="00DD7259">
        <w:rPr>
          <w:rFonts w:ascii="Arial" w:hAnsi="Arial" w:cs="Arial"/>
        </w:rPr>
        <w:t>point, ATF3, eIF5A1, LvN1.2</w:t>
      </w:r>
      <w:r>
        <w:rPr>
          <w:rFonts w:ascii="Arial" w:hAnsi="Arial" w:cs="Arial"/>
        </w:rPr>
        <w:t>,</w:t>
      </w:r>
      <w:r w:rsidRPr="00DD7259">
        <w:rPr>
          <w:rFonts w:ascii="Arial" w:hAnsi="Arial" w:cs="Arial"/>
        </w:rPr>
        <w:t xml:space="preserve"> and BATMAN are significantly regulated</w:t>
      </w:r>
      <w:r>
        <w:rPr>
          <w:rFonts w:ascii="Arial" w:hAnsi="Arial" w:cs="Arial"/>
        </w:rPr>
        <w:t>,</w:t>
      </w:r>
      <w:r w:rsidRPr="00DD7259">
        <w:rPr>
          <w:rFonts w:ascii="Arial" w:hAnsi="Arial" w:cs="Arial"/>
        </w:rPr>
        <w:t xml:space="preserve"> while Fibrillin is downregulated</w:t>
      </w:r>
      <w:r>
        <w:rPr>
          <w:rFonts w:ascii="Arial" w:hAnsi="Arial" w:cs="Arial"/>
        </w:rPr>
        <w:t>,</w:t>
      </w:r>
      <w:r w:rsidRPr="00DD7259">
        <w:rPr>
          <w:rFonts w:ascii="Arial" w:hAnsi="Arial" w:cs="Arial"/>
        </w:rPr>
        <w:t xml:space="preserve"> resembling BAPN RT-qPCR results. From mid-gastrula to late gastrula (D2-D3), ATF3, LvN1.2</w:t>
      </w:r>
      <w:r>
        <w:rPr>
          <w:rFonts w:ascii="Arial" w:hAnsi="Arial" w:cs="Arial"/>
        </w:rPr>
        <w:t>,</w:t>
      </w:r>
      <w:r w:rsidRPr="00DD7259">
        <w:rPr>
          <w:rFonts w:ascii="Arial" w:hAnsi="Arial" w:cs="Arial"/>
        </w:rPr>
        <w:t xml:space="preserve"> and BATMAN are significantly upregulated</w:t>
      </w:r>
      <w:r>
        <w:rPr>
          <w:rFonts w:ascii="Arial" w:hAnsi="Arial" w:cs="Arial"/>
        </w:rPr>
        <w:t>,</w:t>
      </w:r>
      <w:r w:rsidRPr="00DD7259">
        <w:rPr>
          <w:rFonts w:ascii="Arial" w:hAnsi="Arial" w:cs="Arial"/>
        </w:rPr>
        <w:t xml:space="preserve"> while Fibrillin is downregulated. Meanwhile, eIF5A1 remains unchanged.  Col003 final concentration was 5uM. P-value &lt; 0.05 is * while P-value &lt;0.005 is **.</w:t>
      </w:r>
    </w:p>
    <w:p w:rsidR="00343A3C" w:rsidRPr="00DD7259" w:rsidRDefault="00343A3C" w:rsidP="00343A3C">
      <w:pPr>
        <w:jc w:val="both"/>
        <w:rPr>
          <w:rFonts w:ascii="Arial" w:hAnsi="Arial" w:cs="Arial"/>
        </w:rPr>
      </w:pPr>
      <w:r w:rsidRPr="00DD7259">
        <w:rPr>
          <w:rFonts w:ascii="Arial" w:hAnsi="Arial" w:cs="Arial"/>
          <w:b/>
          <w:bCs/>
        </w:rPr>
        <w:t>S4. LOX2A knockdown disrupts normal anterior gut development of the sea star embryos without affecting germline gene expression.  A)</w:t>
      </w:r>
      <w:r w:rsidRPr="00DD7259">
        <w:rPr>
          <w:rFonts w:ascii="Arial" w:hAnsi="Arial" w:cs="Arial"/>
        </w:rPr>
        <w:t xml:space="preserve"> Morpholino anti-sense oligo (MASO) against LOX2A mRNA was injected into the immature oocytes to test continuous knockdown of LOX2A protein expression in the sea star embryo development after fertilization. Many of the injected embryos had smaller guts with anterior gut deformities by the mid-gastrula stage than the control embryos. </w:t>
      </w:r>
      <w:r w:rsidRPr="00DD7259">
        <w:rPr>
          <w:rFonts w:ascii="Arial" w:hAnsi="Arial" w:cs="Arial"/>
          <w:b/>
          <w:bCs/>
        </w:rPr>
        <w:t>B)</w:t>
      </w:r>
      <w:r w:rsidRPr="00DD7259">
        <w:rPr>
          <w:rFonts w:ascii="Arial" w:hAnsi="Arial" w:cs="Arial"/>
        </w:rPr>
        <w:t xml:space="preserve"> RT-qPCR on mid-gastrula MASO</w:t>
      </w:r>
      <w:r>
        <w:rPr>
          <w:rFonts w:ascii="Arial" w:hAnsi="Arial" w:cs="Arial"/>
        </w:rPr>
        <w:t>-</w:t>
      </w:r>
      <w:r w:rsidRPr="00DD7259">
        <w:rPr>
          <w:rFonts w:ascii="Arial" w:hAnsi="Arial" w:cs="Arial"/>
        </w:rPr>
        <w:t>injected embryos show</w:t>
      </w:r>
      <w:r>
        <w:rPr>
          <w:rFonts w:ascii="Arial" w:hAnsi="Arial" w:cs="Arial"/>
        </w:rPr>
        <w:t>s</w:t>
      </w:r>
      <w:r w:rsidRPr="00DD7259">
        <w:rPr>
          <w:rFonts w:ascii="Arial" w:hAnsi="Arial" w:cs="Arial"/>
        </w:rPr>
        <w:t xml:space="preserve"> no significant changes in important germline genes such as Nanos3, Vasa, Piwi, and Nodal. Wnt8 transcripts from the WNT signaling pathway observed a significant increase</w:t>
      </w:r>
      <w:r>
        <w:rPr>
          <w:rFonts w:ascii="Arial" w:hAnsi="Arial" w:cs="Arial"/>
        </w:rPr>
        <w:t>,</w:t>
      </w:r>
      <w:r w:rsidRPr="00DD7259">
        <w:rPr>
          <w:rFonts w:ascii="Arial" w:hAnsi="Arial" w:cs="Arial"/>
        </w:rPr>
        <w:t xml:space="preserve"> but no Wnt3. </w:t>
      </w:r>
      <w:r w:rsidRPr="00DD7259">
        <w:rPr>
          <w:rFonts w:ascii="Arial" w:hAnsi="Arial" w:cs="Arial"/>
          <w:b/>
          <w:bCs/>
        </w:rPr>
        <w:t>C)</w:t>
      </w:r>
      <w:r w:rsidRPr="00DD7259">
        <w:rPr>
          <w:rFonts w:ascii="Arial" w:hAnsi="Arial" w:cs="Arial"/>
        </w:rPr>
        <w:t xml:space="preserve"> </w:t>
      </w:r>
      <w:r w:rsidRPr="00B95B3E">
        <w:rPr>
          <w:rFonts w:ascii="Arial" w:hAnsi="Arial" w:cs="Arial"/>
          <w:i/>
        </w:rPr>
        <w:t xml:space="preserve">P. </w:t>
      </w:r>
      <w:proofErr w:type="spellStart"/>
      <w:r w:rsidRPr="00B95B3E">
        <w:rPr>
          <w:rFonts w:ascii="Arial" w:hAnsi="Arial" w:cs="Arial"/>
          <w:i/>
        </w:rPr>
        <w:t>miniata</w:t>
      </w:r>
      <w:proofErr w:type="spellEnd"/>
      <w:r w:rsidRPr="00DD7259">
        <w:rPr>
          <w:rFonts w:ascii="Arial" w:hAnsi="Arial" w:cs="Arial"/>
        </w:rPr>
        <w:t xml:space="preserve"> LOX2A RNA in situ hybridization reveals spatial expression of LOX2A in the PE and at the tip of the coelomic pouches at </w:t>
      </w:r>
      <w:r>
        <w:rPr>
          <w:rFonts w:ascii="Arial" w:hAnsi="Arial" w:cs="Arial"/>
        </w:rPr>
        <w:t xml:space="preserve">the </w:t>
      </w:r>
      <w:r w:rsidRPr="00DD7259">
        <w:rPr>
          <w:rFonts w:ascii="Arial" w:hAnsi="Arial" w:cs="Arial"/>
        </w:rPr>
        <w:t xml:space="preserve">larval stage. P-value &lt;0.005 is **. LOX2A MASO sequence: 5’- CATTTTCTTGATGACTCGCAAG -3’. </w:t>
      </w:r>
      <w:r w:rsidRPr="00DD7259">
        <w:rPr>
          <w:rFonts w:ascii="Arial" w:hAnsi="Arial" w:cs="Arial"/>
          <w:color w:val="1F1F1F"/>
        </w:rPr>
        <w:t>MASO was injected into sea star immature oocytes at 1 mM with 10,000 MW fluorescent dextran without glycerol</w:t>
      </w:r>
      <w:r w:rsidRPr="00DD7259">
        <w:rPr>
          <w:rFonts w:ascii="Arial" w:hAnsi="Arial" w:cs="Arial"/>
        </w:rPr>
        <w:t>.</w:t>
      </w:r>
    </w:p>
    <w:p w:rsidR="00343A3C" w:rsidRPr="00DD7259" w:rsidRDefault="00343A3C" w:rsidP="00343A3C">
      <w:pPr>
        <w:jc w:val="both"/>
        <w:rPr>
          <w:rFonts w:ascii="Arial" w:hAnsi="Arial" w:cs="Arial"/>
        </w:rPr>
      </w:pPr>
      <w:r w:rsidRPr="00DD7259">
        <w:rPr>
          <w:rFonts w:ascii="Arial" w:hAnsi="Arial" w:cs="Arial"/>
          <w:b/>
          <w:bCs/>
        </w:rPr>
        <w:t xml:space="preserve">S5. LOX2A MASO does not change gut gene expression at </w:t>
      </w:r>
      <w:r>
        <w:rPr>
          <w:rFonts w:ascii="Arial" w:hAnsi="Arial" w:cs="Arial"/>
          <w:b/>
          <w:bCs/>
        </w:rPr>
        <w:t xml:space="preserve">the </w:t>
      </w:r>
      <w:r w:rsidRPr="00DD7259">
        <w:rPr>
          <w:rFonts w:ascii="Arial" w:hAnsi="Arial" w:cs="Arial"/>
          <w:b/>
          <w:bCs/>
        </w:rPr>
        <w:t>mid-gastrula stage.</w:t>
      </w:r>
      <w:r w:rsidRPr="00DD7259">
        <w:rPr>
          <w:rFonts w:ascii="Arial" w:hAnsi="Arial" w:cs="Arial"/>
        </w:rPr>
        <w:t xml:space="preserve"> </w:t>
      </w:r>
      <w:r w:rsidRPr="00DD7259">
        <w:rPr>
          <w:rFonts w:ascii="Arial" w:hAnsi="Arial" w:cs="Arial"/>
          <w:b/>
          <w:bCs/>
        </w:rPr>
        <w:t xml:space="preserve">A) </w:t>
      </w:r>
      <w:r w:rsidRPr="00DD7259">
        <w:rPr>
          <w:rFonts w:ascii="Arial" w:hAnsi="Arial" w:cs="Arial"/>
        </w:rPr>
        <w:t>RT-qPCR on LOX2A MASO embryos at mid-gastrula stage showed significant upregulation of Fibrillin and eIF5A1</w:t>
      </w:r>
      <w:r>
        <w:rPr>
          <w:rFonts w:ascii="Arial" w:hAnsi="Arial" w:cs="Arial"/>
        </w:rPr>
        <w:t>,</w:t>
      </w:r>
      <w:r w:rsidRPr="00DD7259">
        <w:rPr>
          <w:rFonts w:ascii="Arial" w:hAnsi="Arial" w:cs="Arial"/>
        </w:rPr>
        <w:t xml:space="preserve"> while other genes, ATF3, LvN1.2</w:t>
      </w:r>
      <w:r>
        <w:rPr>
          <w:rFonts w:ascii="Arial" w:hAnsi="Arial" w:cs="Arial"/>
        </w:rPr>
        <w:t>,</w:t>
      </w:r>
      <w:r w:rsidRPr="00DD7259">
        <w:rPr>
          <w:rFonts w:ascii="Arial" w:hAnsi="Arial" w:cs="Arial"/>
        </w:rPr>
        <w:t xml:space="preserve"> and BATMAN remain unchanged. </w:t>
      </w:r>
      <w:r w:rsidRPr="00DD7259">
        <w:rPr>
          <w:rFonts w:ascii="Arial" w:hAnsi="Arial" w:cs="Arial"/>
          <w:b/>
          <w:bCs/>
        </w:rPr>
        <w:t>B</w:t>
      </w:r>
      <w:r w:rsidRPr="00DD7259">
        <w:rPr>
          <w:rFonts w:ascii="Arial" w:hAnsi="Arial" w:cs="Arial"/>
        </w:rPr>
        <w:t xml:space="preserve">) Gut gene markers, Erg and </w:t>
      </w:r>
      <w:proofErr w:type="spellStart"/>
      <w:r w:rsidRPr="00DD7259">
        <w:rPr>
          <w:rFonts w:ascii="Arial" w:hAnsi="Arial" w:cs="Arial"/>
        </w:rPr>
        <w:t>FoxA</w:t>
      </w:r>
      <w:proofErr w:type="spellEnd"/>
      <w:r w:rsidRPr="00DD7259">
        <w:rPr>
          <w:rFonts w:ascii="Arial" w:hAnsi="Arial" w:cs="Arial"/>
        </w:rPr>
        <w:t>, and MYP remain unchanged. P-value &lt; 0.05 is * while P-value &lt;0.005 is **.</w:t>
      </w:r>
    </w:p>
    <w:p w:rsidR="00343A3C" w:rsidRPr="00DD7259" w:rsidRDefault="00343A3C" w:rsidP="00343A3C">
      <w:pPr>
        <w:jc w:val="both"/>
        <w:rPr>
          <w:rFonts w:ascii="Arial" w:hAnsi="Arial" w:cs="Arial"/>
        </w:rPr>
      </w:pPr>
      <w:r w:rsidRPr="00DD7259">
        <w:rPr>
          <w:rFonts w:ascii="Arial" w:hAnsi="Arial" w:cs="Arial"/>
          <w:b/>
          <w:bCs/>
        </w:rPr>
        <w:t>S6.</w:t>
      </w:r>
      <w:r w:rsidRPr="00DD7259">
        <w:rPr>
          <w:rFonts w:ascii="Arial" w:hAnsi="Arial" w:cs="Arial"/>
        </w:rPr>
        <w:t xml:space="preserve"> </w:t>
      </w:r>
      <w:r w:rsidRPr="00DD7259">
        <w:rPr>
          <w:rFonts w:ascii="Arial" w:hAnsi="Arial" w:cs="Arial"/>
          <w:b/>
          <w:bCs/>
        </w:rPr>
        <w:t xml:space="preserve">Heparan sulfate proteoglycan (HSPG) is specific to the PE and gut of sea star embryo and is sensitive to BAPN and Col003A treatments. A) </w:t>
      </w:r>
      <w:r w:rsidRPr="00DD7259">
        <w:rPr>
          <w:rFonts w:ascii="Arial" w:hAnsi="Arial" w:cs="Arial"/>
        </w:rPr>
        <w:t>HSPG expression is significantly downregulated at both window treatment</w:t>
      </w:r>
      <w:r>
        <w:rPr>
          <w:rFonts w:ascii="Arial" w:hAnsi="Arial" w:cs="Arial"/>
        </w:rPr>
        <w:t>s</w:t>
      </w:r>
      <w:r w:rsidRPr="00DD7259">
        <w:rPr>
          <w:rFonts w:ascii="Arial" w:hAnsi="Arial" w:cs="Arial"/>
        </w:rPr>
        <w:t xml:space="preserve"> tested in BAPN</w:t>
      </w:r>
      <w:r>
        <w:rPr>
          <w:rFonts w:ascii="Arial" w:hAnsi="Arial" w:cs="Arial"/>
        </w:rPr>
        <w:t>-</w:t>
      </w:r>
      <w:r w:rsidRPr="00DD7259">
        <w:rPr>
          <w:rFonts w:ascii="Arial" w:hAnsi="Arial" w:cs="Arial"/>
        </w:rPr>
        <w:t xml:space="preserve">treated embryos. </w:t>
      </w:r>
      <w:r w:rsidRPr="00DD7259">
        <w:rPr>
          <w:rFonts w:ascii="Arial" w:hAnsi="Arial" w:cs="Arial"/>
          <w:b/>
          <w:bCs/>
        </w:rPr>
        <w:t>B)</w:t>
      </w:r>
      <w:r w:rsidRPr="00DD7259">
        <w:rPr>
          <w:rFonts w:ascii="Arial" w:hAnsi="Arial" w:cs="Arial"/>
        </w:rPr>
        <w:t xml:space="preserve"> HSPG is downregulated in Col003 during the HB-MG treatment window. But it remains unchanged in the MG-LG treatment window. </w:t>
      </w:r>
      <w:r w:rsidRPr="00DD7259">
        <w:rPr>
          <w:rFonts w:ascii="Arial" w:hAnsi="Arial" w:cs="Arial"/>
          <w:b/>
          <w:bCs/>
        </w:rPr>
        <w:t>C)</w:t>
      </w:r>
      <w:r w:rsidRPr="00DD7259">
        <w:rPr>
          <w:rFonts w:ascii="Arial" w:hAnsi="Arial" w:cs="Arial"/>
        </w:rPr>
        <w:t xml:space="preserve"> HSPG mRNA in situ hybridization reveals an increasing localized spatial expression in the gut from mid-gastrula to larva stages, with a localized mRNA expression in the PE observed at the larva stage.  P-value &lt;0.005 is **.</w:t>
      </w:r>
    </w:p>
    <w:p w:rsidR="00343A3C" w:rsidRPr="00DD7259" w:rsidRDefault="00343A3C" w:rsidP="00343A3C">
      <w:pPr>
        <w:jc w:val="both"/>
        <w:rPr>
          <w:rFonts w:ascii="Arial" w:hAnsi="Arial" w:cs="Arial"/>
        </w:rPr>
      </w:pPr>
      <w:r w:rsidRPr="00DD7259">
        <w:rPr>
          <w:rFonts w:ascii="Arial" w:hAnsi="Arial" w:cs="Arial"/>
          <w:b/>
          <w:bCs/>
        </w:rPr>
        <w:lastRenderedPageBreak/>
        <w:t xml:space="preserve">Table S1.  </w:t>
      </w:r>
      <w:r w:rsidRPr="00DD7259">
        <w:rPr>
          <w:rFonts w:ascii="Arial" w:hAnsi="Arial" w:cs="Arial"/>
        </w:rPr>
        <w:t>Sample list of top regulated</w:t>
      </w:r>
      <w:r w:rsidRPr="00DD7259">
        <w:rPr>
          <w:rFonts w:ascii="Arial" w:hAnsi="Arial" w:cs="Arial"/>
          <w:b/>
          <w:bCs/>
        </w:rPr>
        <w:t xml:space="preserve"> </w:t>
      </w:r>
      <w:r w:rsidRPr="00DD7259">
        <w:rPr>
          <w:rFonts w:ascii="Arial" w:hAnsi="Arial" w:cs="Arial"/>
        </w:rPr>
        <w:t>genes and downregulated genes.</w:t>
      </w:r>
    </w:p>
    <w:p w:rsidR="00343A3C" w:rsidRPr="00DD7259" w:rsidRDefault="00343A3C" w:rsidP="00343A3C">
      <w:pPr>
        <w:jc w:val="both"/>
        <w:rPr>
          <w:rFonts w:ascii="Arial" w:hAnsi="Arial" w:cs="Arial"/>
        </w:rPr>
      </w:pPr>
      <w:r w:rsidRPr="00DD7259">
        <w:rPr>
          <w:rFonts w:ascii="Arial" w:hAnsi="Arial" w:cs="Arial"/>
          <w:b/>
          <w:bCs/>
        </w:rPr>
        <w:t>Table S2</w:t>
      </w:r>
      <w:r w:rsidRPr="00DD7259">
        <w:rPr>
          <w:rFonts w:ascii="Arial" w:hAnsi="Arial" w:cs="Arial"/>
        </w:rPr>
        <w:t xml:space="preserve">. List of genes identified </w:t>
      </w:r>
      <w:r>
        <w:rPr>
          <w:rFonts w:ascii="Arial" w:hAnsi="Arial" w:cs="Arial"/>
        </w:rPr>
        <w:t xml:space="preserve">or used </w:t>
      </w:r>
      <w:r w:rsidRPr="00DD7259">
        <w:rPr>
          <w:rFonts w:ascii="Arial" w:hAnsi="Arial" w:cs="Arial"/>
        </w:rPr>
        <w:t>in this study</w:t>
      </w:r>
      <w:r>
        <w:rPr>
          <w:rFonts w:ascii="Arial" w:hAnsi="Arial" w:cs="Arial"/>
        </w:rPr>
        <w:t>, along</w:t>
      </w:r>
      <w:r w:rsidRPr="00DD7259">
        <w:rPr>
          <w:rFonts w:ascii="Arial" w:hAnsi="Arial" w:cs="Arial"/>
        </w:rPr>
        <w:t xml:space="preserve"> with</w:t>
      </w:r>
      <w:r>
        <w:rPr>
          <w:rFonts w:ascii="Arial" w:hAnsi="Arial" w:cs="Arial"/>
        </w:rPr>
        <w:t xml:space="preserve"> their</w:t>
      </w:r>
      <w:r w:rsidRPr="00DD7259">
        <w:rPr>
          <w:rFonts w:ascii="Arial" w:hAnsi="Arial" w:cs="Arial"/>
        </w:rPr>
        <w:t xml:space="preserve"> respective RT-qPCR primer</w:t>
      </w:r>
      <w:r>
        <w:rPr>
          <w:rFonts w:ascii="Arial" w:hAnsi="Arial" w:cs="Arial"/>
        </w:rPr>
        <w:t>s</w:t>
      </w:r>
      <w:r w:rsidRPr="00DD7259">
        <w:rPr>
          <w:rFonts w:ascii="Arial" w:hAnsi="Arial" w:cs="Arial"/>
        </w:rPr>
        <w:t xml:space="preserve"> and</w:t>
      </w:r>
      <w:r>
        <w:rPr>
          <w:rFonts w:ascii="Arial" w:hAnsi="Arial" w:cs="Arial"/>
        </w:rPr>
        <w:t xml:space="preserve"> </w:t>
      </w:r>
      <w:r w:rsidRPr="00DD7259">
        <w:rPr>
          <w:rFonts w:ascii="Arial" w:hAnsi="Arial" w:cs="Arial"/>
        </w:rPr>
        <w:t>RNA in situ probe sequence</w:t>
      </w:r>
      <w:r>
        <w:rPr>
          <w:rFonts w:ascii="Arial" w:hAnsi="Arial" w:cs="Arial"/>
        </w:rPr>
        <w:t>s</w:t>
      </w:r>
      <w:r w:rsidRPr="00DD7259">
        <w:rPr>
          <w:rFonts w:ascii="Arial" w:hAnsi="Arial" w:cs="Arial"/>
        </w:rPr>
        <w:t>. Sequences are in 5’-3’ direction.</w:t>
      </w:r>
      <w:r>
        <w:rPr>
          <w:rFonts w:ascii="Arial" w:hAnsi="Arial" w:cs="Arial"/>
        </w:rPr>
        <w:t xml:space="preserve"> Nucleotides in pink represent the SP6 promoter sequence used for amplification. The Vasa probe was amplified in </w:t>
      </w:r>
      <w:r>
        <w:rPr>
          <w:rFonts w:ascii="Arial" w:hAnsi="Arial" w:cs="Arial"/>
          <w:color w:val="1F1F1F"/>
          <w:shd w:val="clear" w:color="auto" w:fill="FFFFFF"/>
        </w:rPr>
        <w:t xml:space="preserve">the </w:t>
      </w:r>
      <w:proofErr w:type="spellStart"/>
      <w:r>
        <w:rPr>
          <w:rFonts w:ascii="Arial" w:hAnsi="Arial" w:cs="Arial"/>
          <w:color w:val="1F1F1F"/>
          <w:shd w:val="clear" w:color="auto" w:fill="FFFFFF"/>
        </w:rPr>
        <w:t>pGEMT</w:t>
      </w:r>
      <w:proofErr w:type="spellEnd"/>
      <w:r>
        <w:rPr>
          <w:rFonts w:ascii="Arial" w:hAnsi="Arial" w:cs="Arial"/>
          <w:color w:val="1F1F1F"/>
          <w:shd w:val="clear" w:color="auto" w:fill="FFFFFF"/>
        </w:rPr>
        <w:t xml:space="preserve"> easy plasmid.</w:t>
      </w:r>
      <w:r>
        <w:rPr>
          <w:rFonts w:ascii="Arial" w:hAnsi="Arial" w:cs="Arial"/>
        </w:rPr>
        <w:t xml:space="preserve"> </w:t>
      </w:r>
    </w:p>
    <w:p w:rsidR="00343A3C" w:rsidRPr="00DD7259" w:rsidRDefault="00343A3C" w:rsidP="00343A3C">
      <w:pPr>
        <w:jc w:val="both"/>
        <w:rPr>
          <w:rFonts w:ascii="Arial" w:hAnsi="Arial" w:cs="Arial"/>
        </w:rPr>
      </w:pPr>
      <w:r w:rsidRPr="00DD7259">
        <w:rPr>
          <w:rFonts w:ascii="Arial" w:hAnsi="Arial" w:cs="Arial"/>
          <w:b/>
          <w:bCs/>
        </w:rPr>
        <w:t>Table S3.</w:t>
      </w:r>
      <w:r w:rsidRPr="00DD7259">
        <w:rPr>
          <w:rFonts w:ascii="Arial" w:hAnsi="Arial" w:cs="Arial"/>
        </w:rPr>
        <w:t xml:space="preserve">  List of other genes utilized in this study and their RT-qPCR primer sequence. Sequences are in a 5’-3’ direction.</w:t>
      </w:r>
    </w:p>
    <w:p w:rsidR="00213E0A" w:rsidRDefault="00213E0A">
      <w:bookmarkStart w:id="0" w:name="_GoBack"/>
      <w:bookmarkEnd w:id="0"/>
    </w:p>
    <w:sectPr w:rsidR="00213E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A3C"/>
    <w:rsid w:val="00213E0A"/>
    <w:rsid w:val="00343A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5CEFA1-13DE-44B9-9C57-0E39D9E09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ajorBidi"/>
        <w:sz w:val="24"/>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43A3C"/>
    <w:rPr>
      <w:rFonts w:asciiTheme="minorHAnsi" w:hAnsiTheme="minorHAnsi" w:cstheme="minorBidi"/>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596</Words>
  <Characters>3400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Brown University</Company>
  <LinksUpToDate>false</LinksUpToDate>
  <CharactersWithSpaces>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Wessel, Gary</dc:creator>
  <cp:keywords/>
  <dc:description/>
  <cp:lastModifiedBy>Wessel, Gary</cp:lastModifiedBy>
  <cp:revision>1</cp:revision>
  <dcterms:created xsi:type="dcterms:W3CDTF">2025-08-07T12:42:00Z</dcterms:created>
  <dcterms:modified xsi:type="dcterms:W3CDTF">2025-08-07T12:42:00Z</dcterms:modified>
</cp:coreProperties>
</file>