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4088" w14:textId="77777777" w:rsidR="00A9443A" w:rsidRDefault="006227CE">
      <w:pPr>
        <w:jc w:val="center"/>
        <w:rPr>
          <w:rFonts w:asciiTheme="minorHAnsi" w:hAnsiTheme="minorHAnsi" w:cstheme="minorHAnsi"/>
          <w:b/>
          <w:bCs/>
          <w:sz w:val="36"/>
          <w:szCs w:val="36"/>
          <w:lang w:val="en-US"/>
        </w:rPr>
      </w:pPr>
      <w:r>
        <w:rPr>
          <w:rFonts w:asciiTheme="minorHAnsi" w:hAnsiTheme="minorHAnsi" w:cstheme="minorHAnsi"/>
          <w:b/>
          <w:bCs/>
          <w:sz w:val="36"/>
          <w:szCs w:val="36"/>
          <w:lang w:val="en-US"/>
        </w:rPr>
        <w:t>Supporting Information</w:t>
      </w:r>
    </w:p>
    <w:p w14:paraId="20CF5ACE" w14:textId="1B5A73CA" w:rsidR="00A9443A" w:rsidRDefault="006227CE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en-GB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en-GB"/>
        </w:rPr>
        <w:t xml:space="preserve">In search for </w:t>
      </w:r>
      <w:proofErr w:type="spellStart"/>
      <w:r>
        <w:rPr>
          <w:rFonts w:asciiTheme="minorHAnsi" w:hAnsiTheme="minorHAnsi" w:cstheme="minorHAnsi"/>
          <w:b/>
          <w:bCs/>
          <w:sz w:val="32"/>
          <w:szCs w:val="32"/>
          <w:lang w:val="en-GB"/>
        </w:rPr>
        <w:t>non</w:t>
      </w:r>
      <w:r w:rsidR="00060C3E">
        <w:rPr>
          <w:rFonts w:asciiTheme="minorHAnsi" w:hAnsiTheme="minorHAnsi" w:cstheme="minorHAnsi"/>
          <w:b/>
          <w:bCs/>
          <w:sz w:val="32"/>
          <w:szCs w:val="32"/>
          <w:lang w:val="en-GB"/>
        </w:rPr>
        <w:t xml:space="preserve"> </w:t>
      </w:r>
      <w:r>
        <w:rPr>
          <w:rFonts w:asciiTheme="minorHAnsi" w:hAnsiTheme="minorHAnsi" w:cstheme="minorHAnsi"/>
          <w:b/>
          <w:bCs/>
          <w:sz w:val="32"/>
          <w:szCs w:val="32"/>
          <w:lang w:val="en-GB"/>
        </w:rPr>
        <w:t>precious</w:t>
      </w:r>
      <w:proofErr w:type="spellEnd"/>
      <w:r>
        <w:rPr>
          <w:rFonts w:asciiTheme="minorHAnsi" w:hAnsiTheme="minorHAnsi" w:cstheme="minorHAnsi"/>
          <w:b/>
          <w:bCs/>
          <w:sz w:val="32"/>
          <w:szCs w:val="32"/>
          <w:lang w:val="en-GB"/>
        </w:rPr>
        <w:t xml:space="preserve"> metal oxide electrodes with</w:t>
      </w:r>
      <w:r>
        <w:rPr>
          <w:rFonts w:asciiTheme="minorHAnsi" w:hAnsiTheme="minorHAnsi" w:cstheme="minorHAnsi"/>
          <w:b/>
          <w:bCs/>
          <w:sz w:val="32"/>
          <w:szCs w:val="32"/>
          <w:lang w:val="en-GB"/>
        </w:rPr>
        <w:t xml:space="preserve"> t</w:t>
      </w:r>
      <w:r>
        <w:rPr>
          <w:rFonts w:asciiTheme="minorHAnsi" w:hAnsiTheme="minorHAnsi" w:cstheme="minorHAnsi"/>
          <w:b/>
          <w:bCs/>
          <w:sz w:val="32"/>
          <w:szCs w:val="32"/>
          <w:lang w:val="en-GB"/>
        </w:rPr>
        <w:t>he case of BaMoO</w:t>
      </w:r>
      <w:r>
        <w:rPr>
          <w:rFonts w:asciiTheme="minorHAnsi" w:hAnsiTheme="minorHAnsi" w:cstheme="minorHAnsi"/>
          <w:b/>
          <w:bCs/>
          <w:sz w:val="32"/>
          <w:szCs w:val="32"/>
          <w:vertAlign w:val="subscript"/>
          <w:lang w:val="en-GB"/>
        </w:rPr>
        <w:t>3</w:t>
      </w:r>
      <w:r>
        <w:rPr>
          <w:rFonts w:asciiTheme="minorHAnsi" w:hAnsiTheme="minorHAnsi" w:cstheme="minorHAnsi"/>
          <w:b/>
          <w:bCs/>
          <w:sz w:val="32"/>
          <w:szCs w:val="32"/>
          <w:lang w:val="en-GB"/>
        </w:rPr>
        <w:t xml:space="preserve"> thin films for the h</w:t>
      </w:r>
      <w:r>
        <w:rPr>
          <w:rFonts w:asciiTheme="minorHAnsi" w:hAnsiTheme="minorHAnsi" w:cstheme="minorHAnsi"/>
          <w:b/>
          <w:bCs/>
          <w:sz w:val="32"/>
          <w:szCs w:val="32"/>
          <w:lang w:val="en-GB"/>
        </w:rPr>
        <w:t>ydrogen e</w:t>
      </w:r>
      <w:r>
        <w:rPr>
          <w:rFonts w:asciiTheme="minorHAnsi" w:hAnsiTheme="minorHAnsi" w:cstheme="minorHAnsi"/>
          <w:b/>
          <w:bCs/>
          <w:sz w:val="32"/>
          <w:szCs w:val="32"/>
          <w:lang w:val="en-GB"/>
        </w:rPr>
        <w:t>volution r</w:t>
      </w:r>
      <w:r>
        <w:rPr>
          <w:rFonts w:asciiTheme="minorHAnsi" w:hAnsiTheme="minorHAnsi" w:cstheme="minorHAnsi"/>
          <w:b/>
          <w:bCs/>
          <w:sz w:val="32"/>
          <w:szCs w:val="32"/>
          <w:lang w:val="en-GB"/>
        </w:rPr>
        <w:t>eaction</w:t>
      </w:r>
    </w:p>
    <w:p w14:paraId="4DDB498E" w14:textId="77777777" w:rsidR="00A9443A" w:rsidRDefault="00A9443A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</w:p>
    <w:p w14:paraId="70A1B9AE" w14:textId="77777777" w:rsidR="00A9443A" w:rsidRDefault="006227CE">
      <w:pPr>
        <w:jc w:val="center"/>
        <w:rPr>
          <w:rFonts w:asciiTheme="minorHAnsi" w:hAnsiTheme="minorHAnsi" w:cstheme="minorHAnsi"/>
          <w:szCs w:val="24"/>
          <w:lang w:val="de-DE"/>
        </w:rPr>
      </w:pPr>
      <w:r>
        <w:rPr>
          <w:rFonts w:asciiTheme="minorHAnsi" w:hAnsiTheme="minorHAnsi" w:cstheme="minorHAnsi"/>
          <w:szCs w:val="24"/>
          <w:lang w:val="de-DE"/>
        </w:rPr>
        <w:t>Phu Tran Phong Le</w:t>
      </w:r>
      <w:r>
        <w:rPr>
          <w:rFonts w:asciiTheme="minorHAnsi" w:hAnsiTheme="minorHAnsi" w:cstheme="minorHAnsi"/>
          <w:szCs w:val="24"/>
          <w:vertAlign w:val="superscript"/>
          <w:lang w:val="de-DE"/>
        </w:rPr>
        <w:t>1,2*</w:t>
      </w:r>
      <w:r>
        <w:rPr>
          <w:rFonts w:asciiTheme="minorHAnsi" w:hAnsiTheme="minorHAnsi" w:cstheme="minorHAnsi"/>
          <w:szCs w:val="24"/>
          <w:lang w:val="de-DE"/>
        </w:rPr>
        <w:t>,</w:t>
      </w:r>
      <w:r>
        <w:rPr>
          <w:szCs w:val="24"/>
          <w:lang w:val="de-DE"/>
        </w:rPr>
        <w:t xml:space="preserve"> </w:t>
      </w:r>
      <w:r>
        <w:rPr>
          <w:rFonts w:asciiTheme="minorHAnsi" w:hAnsiTheme="minorHAnsi" w:cstheme="minorHAnsi"/>
          <w:szCs w:val="24"/>
          <w:lang w:val="de-DE"/>
        </w:rPr>
        <w:t>Vadim Ratovskii</w:t>
      </w:r>
      <w:r>
        <w:rPr>
          <w:rFonts w:asciiTheme="minorHAnsi" w:hAnsiTheme="minorHAnsi" w:cstheme="minorHAnsi"/>
          <w:szCs w:val="24"/>
          <w:vertAlign w:val="superscript"/>
          <w:lang w:val="de-DE"/>
        </w:rPr>
        <w:t>1</w:t>
      </w:r>
      <w:r>
        <w:rPr>
          <w:szCs w:val="24"/>
          <w:lang w:val="de-DE"/>
        </w:rPr>
        <w:t xml:space="preserve">, </w:t>
      </w:r>
      <w:r>
        <w:rPr>
          <w:rFonts w:asciiTheme="minorHAnsi" w:hAnsiTheme="minorHAnsi" w:cstheme="minorHAnsi"/>
          <w:szCs w:val="24"/>
          <w:lang w:val="de-DE"/>
        </w:rPr>
        <w:t xml:space="preserve"> Anja Bieberle-Hütter</w:t>
      </w:r>
      <w:r>
        <w:rPr>
          <w:rFonts w:asciiTheme="minorHAnsi" w:hAnsiTheme="minorHAnsi" w:cstheme="minorHAnsi"/>
          <w:szCs w:val="24"/>
          <w:vertAlign w:val="superscript"/>
          <w:lang w:val="de-DE"/>
        </w:rPr>
        <w:t>2</w:t>
      </w:r>
      <w:r>
        <w:rPr>
          <w:rFonts w:asciiTheme="minorHAnsi" w:hAnsiTheme="minorHAnsi" w:cstheme="minorHAnsi"/>
          <w:szCs w:val="24"/>
          <w:lang w:val="de-DE"/>
        </w:rPr>
        <w:t>, Gertjan Koster</w:t>
      </w:r>
      <w:r>
        <w:rPr>
          <w:rFonts w:asciiTheme="minorHAnsi" w:hAnsiTheme="minorHAnsi" w:cstheme="minorHAnsi"/>
          <w:szCs w:val="24"/>
          <w:vertAlign w:val="superscript"/>
          <w:lang w:val="de-DE"/>
        </w:rPr>
        <w:t>1</w:t>
      </w:r>
      <w:r>
        <w:rPr>
          <w:rFonts w:asciiTheme="minorHAnsi" w:hAnsiTheme="minorHAnsi" w:cstheme="minorHAnsi"/>
          <w:szCs w:val="24"/>
          <w:lang w:val="de-DE"/>
        </w:rPr>
        <w:t>, Christoph Baeumer</w:t>
      </w:r>
      <w:r>
        <w:rPr>
          <w:rFonts w:asciiTheme="minorHAnsi" w:hAnsiTheme="minorHAnsi" w:cstheme="minorHAnsi"/>
          <w:szCs w:val="24"/>
          <w:vertAlign w:val="superscript"/>
          <w:lang w:val="de-DE"/>
        </w:rPr>
        <w:t>1,3*</w:t>
      </w:r>
      <w:r>
        <w:rPr>
          <w:rFonts w:asciiTheme="minorHAnsi" w:hAnsiTheme="minorHAnsi" w:cstheme="minorHAnsi"/>
          <w:szCs w:val="24"/>
          <w:lang w:val="de-DE"/>
        </w:rPr>
        <w:t>.</w:t>
      </w:r>
    </w:p>
    <w:p w14:paraId="075D3409" w14:textId="77777777" w:rsidR="00A9443A" w:rsidRDefault="006227CE">
      <w:pPr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vertAlign w:val="superscript"/>
          <w:lang w:val="en-GB"/>
        </w:rPr>
        <w:t>1</w:t>
      </w:r>
      <w:r>
        <w:rPr>
          <w:rFonts w:asciiTheme="minorHAnsi" w:hAnsiTheme="minorHAnsi" w:cstheme="minorHAnsi"/>
          <w:sz w:val="22"/>
          <w:lang w:val="en-GB"/>
        </w:rPr>
        <w:t xml:space="preserve"> MESA+ Institute for Nanotechnology, University of Twente, PO Box 217, 7522 NH Enschede, The Netherlands</w:t>
      </w:r>
    </w:p>
    <w:p w14:paraId="1DA1FF6F" w14:textId="77777777" w:rsidR="00A9443A" w:rsidRDefault="006227CE">
      <w:pPr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vertAlign w:val="superscript"/>
          <w:lang w:val="en-GB"/>
        </w:rPr>
        <w:t>2</w:t>
      </w:r>
      <w:r>
        <w:rPr>
          <w:rFonts w:asciiTheme="minorHAnsi" w:hAnsiTheme="minorHAnsi" w:cstheme="minorHAnsi"/>
          <w:sz w:val="22"/>
          <w:lang w:val="en-GB"/>
        </w:rPr>
        <w:t xml:space="preserve"> Dutch Institute for Fundamental Energy Research (DIFFER), P.O. Box 6336, 5600 HH Eindhoven The Netherlands</w:t>
      </w:r>
    </w:p>
    <w:p w14:paraId="6AD107B5" w14:textId="77777777" w:rsidR="00A9443A" w:rsidRDefault="006227CE">
      <w:pPr>
        <w:rPr>
          <w:lang w:val="de-DE"/>
        </w:rPr>
      </w:pPr>
      <w:r>
        <w:rPr>
          <w:rFonts w:asciiTheme="minorHAnsi" w:hAnsiTheme="minorHAnsi" w:cstheme="minorHAnsi"/>
          <w:sz w:val="22"/>
          <w:vertAlign w:val="superscript"/>
          <w:lang w:val="de-DE"/>
        </w:rPr>
        <w:t>3</w:t>
      </w:r>
      <w:r>
        <w:rPr>
          <w:szCs w:val="24"/>
          <w:lang w:val="de-DE"/>
        </w:rPr>
        <w:t xml:space="preserve"> </w:t>
      </w:r>
      <w:r>
        <w:rPr>
          <w:rFonts w:asciiTheme="minorHAnsi" w:hAnsiTheme="minorHAnsi" w:cstheme="minorHAnsi"/>
          <w:sz w:val="22"/>
          <w:lang w:val="de-DE"/>
        </w:rPr>
        <w:t>Peter Gruenberg Institute 7, Forschungszentrum Juelich GmbH, 52425 Juelich, Germany and JARA-FIT, RWTH Aachen University, 52056 Aachen, Germany</w:t>
      </w:r>
    </w:p>
    <w:p w14:paraId="7021A868" w14:textId="77777777" w:rsidR="00A9443A" w:rsidRDefault="00A9443A">
      <w:pPr>
        <w:rPr>
          <w:rFonts w:asciiTheme="minorHAnsi" w:hAnsiTheme="minorHAnsi" w:cstheme="minorHAnsi"/>
          <w:sz w:val="22"/>
          <w:lang w:val="de-DE"/>
        </w:rPr>
      </w:pPr>
    </w:p>
    <w:p w14:paraId="56468F26" w14:textId="77777777" w:rsidR="00A9443A" w:rsidRDefault="006227CE">
      <w:pPr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*Corresponding author emails:</w:t>
      </w:r>
      <w:r>
        <w:rPr>
          <w:rFonts w:asciiTheme="minorHAnsi" w:hAnsiTheme="minorHAnsi" w:cstheme="minorHAnsi"/>
          <w:sz w:val="22"/>
          <w:lang w:val="en-GB"/>
        </w:rPr>
        <w:tab/>
      </w:r>
      <w:hyperlink r:id="rId6">
        <w:r w:rsidR="00A9443A">
          <w:rPr>
            <w:rStyle w:val="Hyperlink"/>
            <w:rFonts w:asciiTheme="minorHAnsi" w:hAnsiTheme="minorHAnsi" w:cstheme="minorHAnsi"/>
            <w:sz w:val="22"/>
            <w:lang w:val="en-GB"/>
          </w:rPr>
          <w:t>t.p.p.le@utwente.nl</w:t>
        </w:r>
      </w:hyperlink>
    </w:p>
    <w:p w14:paraId="6BEE77E6" w14:textId="77777777" w:rsidR="00A9443A" w:rsidRDefault="006227CE">
      <w:pPr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ab/>
      </w:r>
      <w:r>
        <w:rPr>
          <w:rFonts w:asciiTheme="minorHAnsi" w:hAnsiTheme="minorHAnsi" w:cstheme="minorHAnsi"/>
          <w:sz w:val="22"/>
          <w:lang w:val="en-GB"/>
        </w:rPr>
        <w:tab/>
      </w:r>
      <w:r>
        <w:rPr>
          <w:rFonts w:asciiTheme="minorHAnsi" w:hAnsiTheme="minorHAnsi" w:cstheme="minorHAnsi"/>
          <w:sz w:val="22"/>
          <w:lang w:val="en-GB"/>
        </w:rPr>
        <w:tab/>
      </w:r>
      <w:r>
        <w:rPr>
          <w:rFonts w:asciiTheme="minorHAnsi" w:hAnsiTheme="minorHAnsi" w:cstheme="minorHAnsi"/>
          <w:sz w:val="22"/>
          <w:lang w:val="en-GB"/>
        </w:rPr>
        <w:tab/>
      </w:r>
      <w:hyperlink r:id="rId7">
        <w:r w:rsidR="00A9443A">
          <w:rPr>
            <w:rStyle w:val="Hyperlink"/>
            <w:rFonts w:asciiTheme="minorHAnsi" w:hAnsiTheme="minorHAnsi" w:cstheme="minorHAnsi"/>
            <w:sz w:val="22"/>
            <w:lang w:val="en-GB"/>
          </w:rPr>
          <w:t>c.baeumer@utwente.nl</w:t>
        </w:r>
      </w:hyperlink>
    </w:p>
    <w:p w14:paraId="367A9D41" w14:textId="77777777" w:rsidR="00A9443A" w:rsidRDefault="006227CE">
      <w:pPr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Keywords: catalysts, electrolysis, perovskite oxides, hydrogen evolution reaction, degradation, thin films</w:t>
      </w:r>
    </w:p>
    <w:p w14:paraId="18EF9345" w14:textId="77777777" w:rsidR="00A9443A" w:rsidRDefault="00A9443A">
      <w:pPr>
        <w:rPr>
          <w:b/>
          <w:bCs/>
          <w:lang w:val="en-GB"/>
        </w:rPr>
      </w:pPr>
    </w:p>
    <w:p w14:paraId="39F16A93" w14:textId="77777777" w:rsidR="00A9443A" w:rsidRDefault="006227CE">
      <w:pPr>
        <w:pStyle w:val="ListParagraph"/>
        <w:numPr>
          <w:ilvl w:val="0"/>
          <w:numId w:val="2"/>
        </w:numPr>
        <w:ind w:left="284" w:hanging="284"/>
        <w:jc w:val="both"/>
        <w:rPr>
          <w:b/>
          <w:bCs/>
          <w:lang w:val="en-GB"/>
        </w:rPr>
      </w:pPr>
      <w:r>
        <w:rPr>
          <w:b/>
          <w:bCs/>
          <w:lang w:val="en-GB"/>
        </w:rPr>
        <w:t>Sample configuration and electrical connections for rotating disk electrode (RDE) measurements</w:t>
      </w:r>
    </w:p>
    <w:p w14:paraId="7D925F31" w14:textId="77777777" w:rsidR="00A9443A" w:rsidRDefault="006227CE">
      <w:pPr>
        <w:rPr>
          <w:lang w:val="en-US"/>
        </w:rPr>
      </w:pPr>
      <w:r>
        <w:rPr>
          <w:rFonts w:asciiTheme="minorHAnsi" w:hAnsiTheme="minorHAnsi" w:cstheme="minorHAnsi"/>
          <w:sz w:val="22"/>
          <w:szCs w:val="20"/>
          <w:lang w:val="en-GB"/>
        </w:rPr>
        <w:t xml:space="preserve">Figure S1 shows the sample configuration and electrical connections </w:t>
      </w:r>
      <w:r>
        <w:rPr>
          <w:rFonts w:ascii="Calibri" w:hAnsi="Calibri" w:cs="Calibri"/>
          <w:kern w:val="0"/>
          <w:sz w:val="22"/>
          <w:vertAlign w:val="superscript"/>
          <w:lang w:val="en-GB"/>
        </w:rPr>
        <w:t>1</w:t>
      </w:r>
      <w:r>
        <w:rPr>
          <w:rFonts w:asciiTheme="minorHAnsi" w:hAnsiTheme="minorHAnsi" w:cstheme="minorHAnsi"/>
          <w:sz w:val="22"/>
          <w:szCs w:val="20"/>
          <w:lang w:val="en-GB"/>
        </w:rPr>
        <w:t xml:space="preserve"> for HER measurements in rotating disk electrode (RDE) measurements.</w:t>
      </w:r>
    </w:p>
    <w:p w14:paraId="735ADA2D" w14:textId="77777777" w:rsidR="00A9443A" w:rsidRDefault="006227CE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BA7F7ED" wp14:editId="35DF1B56">
            <wp:extent cx="1760220" cy="283845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0E874" w14:textId="77777777" w:rsidR="00A9443A" w:rsidRDefault="006227CE">
      <w:pPr>
        <w:jc w:val="both"/>
        <w:rPr>
          <w:rFonts w:asciiTheme="minorHAnsi" w:hAnsiTheme="minorHAnsi"/>
          <w:sz w:val="20"/>
          <w:szCs w:val="20"/>
          <w:lang w:val="en-GB"/>
        </w:rPr>
      </w:pPr>
      <w:r>
        <w:rPr>
          <w:rFonts w:asciiTheme="minorHAnsi" w:hAnsiTheme="minorHAnsi"/>
          <w:sz w:val="20"/>
          <w:szCs w:val="20"/>
          <w:lang w:val="en-GB"/>
        </w:rPr>
        <w:lastRenderedPageBreak/>
        <w:t>Figure S1. The schematic of sample configuration and electrical connections for HER in RDE [1].</w:t>
      </w:r>
    </w:p>
    <w:p w14:paraId="2992B0F0" w14:textId="134C9463" w:rsidR="00A9443A" w:rsidRDefault="006227CE">
      <w:pPr>
        <w:pStyle w:val="ListParagraph"/>
        <w:numPr>
          <w:ilvl w:val="0"/>
          <w:numId w:val="2"/>
        </w:numPr>
        <w:ind w:left="284" w:hanging="284"/>
        <w:jc w:val="both"/>
        <w:rPr>
          <w:b/>
          <w:bCs/>
          <w:lang w:val="en-GB"/>
        </w:rPr>
      </w:pPr>
      <w:r>
        <w:rPr>
          <w:b/>
          <w:bCs/>
          <w:lang w:val="en-GB"/>
        </w:rPr>
        <w:t>Thickness analysis, reciprocal space mapping of BaMoO</w:t>
      </w:r>
      <w:r>
        <w:rPr>
          <w:b/>
          <w:bCs/>
          <w:vertAlign w:val="subscript"/>
          <w:lang w:val="en-GB"/>
        </w:rPr>
        <w:t>3</w:t>
      </w:r>
      <w:r>
        <w:rPr>
          <w:b/>
          <w:bCs/>
          <w:lang w:val="en-GB"/>
        </w:rPr>
        <w:t xml:space="preserve"> thin film and a control experiment of BaMoO</w:t>
      </w:r>
      <w:r>
        <w:rPr>
          <w:b/>
          <w:bCs/>
          <w:vertAlign w:val="subscript"/>
          <w:lang w:val="en-GB"/>
        </w:rPr>
        <w:t>3</w:t>
      </w:r>
      <w:r>
        <w:rPr>
          <w:b/>
          <w:bCs/>
          <w:lang w:val="en-GB"/>
        </w:rPr>
        <w:t xml:space="preserve"> during HER</w:t>
      </w:r>
    </w:p>
    <w:p w14:paraId="7B9AB855" w14:textId="77777777" w:rsidR="00A9443A" w:rsidRDefault="006227CE">
      <w:pPr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The thickness of the as-deposited BaMoO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 xml:space="preserve"> film was determined using a cross-section SEM image. The image was taken under the Pt contact at a location where the BaMoO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 xml:space="preserve"> film was not exposed to the electrolyte during HER (Figure S2a). The film thickness at this location is well representative for the as-deposited BaMoO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 xml:space="preserve"> thin film.</w:t>
      </w:r>
    </w:p>
    <w:p w14:paraId="799E8A37" w14:textId="77777777" w:rsidR="00A9443A" w:rsidRDefault="006227CE">
      <w:pPr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The reciprocal space mapping around (103) reflections of NdGaO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>(001)</w:t>
      </w:r>
      <w:r>
        <w:rPr>
          <w:rFonts w:asciiTheme="minorHAnsi" w:hAnsiTheme="minorHAnsi" w:cstheme="minorHAnsi"/>
          <w:i/>
          <w:iCs/>
          <w:sz w:val="22"/>
          <w:vertAlign w:val="subscript"/>
          <w:lang w:val="en-GB"/>
        </w:rPr>
        <w:t>pc</w:t>
      </w:r>
      <w:r>
        <w:rPr>
          <w:rFonts w:asciiTheme="minorHAnsi" w:hAnsiTheme="minorHAnsi" w:cstheme="minorHAnsi"/>
          <w:sz w:val="22"/>
          <w:lang w:val="en-GB"/>
        </w:rPr>
        <w:t xml:space="preserve"> substrate and 700 nm BaMoO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>(001) film is shown in Figure S2b. It indicates the film is not strained on the substrate and is fully relaxed to the BaMoO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 xml:space="preserve"> bulk value of 4.04 Å for both out-of-plane and in-plane lattice constants.</w:t>
      </w:r>
    </w:p>
    <w:p w14:paraId="52294B34" w14:textId="77777777" w:rsidR="00A9443A" w:rsidRDefault="006227CE">
      <w:pPr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Another 700 nm BaMoO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 xml:space="preserve"> film on NdGaO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>(001)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pc</w:t>
      </w:r>
      <w:r>
        <w:rPr>
          <w:rFonts w:asciiTheme="minorHAnsi" w:hAnsiTheme="minorHAnsi" w:cstheme="minorHAnsi"/>
          <w:sz w:val="22"/>
          <w:lang w:val="en-GB"/>
        </w:rPr>
        <w:t xml:space="preserve"> substrate was cycled under HER conditions, and it was pulled out at 0 V vs RHE during anodic scan. A clear colour change of the electrolyte-exposed dark-red film is also observed. XRD patterns of this BaMoO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 xml:space="preserve"> sample before and after such experiment show similar features as the BaMoO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 xml:space="preserve"> sample described in the main text.</w:t>
      </w:r>
    </w:p>
    <w:p w14:paraId="1536E109" w14:textId="3AB39FE9" w:rsidR="00A9443A" w:rsidRDefault="009474BA">
      <w:pPr>
        <w:pStyle w:val="ListParagraph"/>
        <w:jc w:val="both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07B4ADA0" wp14:editId="695A0FEA">
            <wp:extent cx="5723255" cy="3759200"/>
            <wp:effectExtent l="0" t="0" r="0" b="0"/>
            <wp:docPr id="740021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5" cy="37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3D342" w14:textId="2AE86D73" w:rsidR="00A9443A" w:rsidRDefault="006227CE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>Figure S2. (a) The thickness of the BaMoO</w:t>
      </w:r>
      <w:r>
        <w:rPr>
          <w:rFonts w:asciiTheme="minorHAnsi" w:hAnsiTheme="minorHAnsi" w:cstheme="minorHAnsi"/>
          <w:sz w:val="20"/>
          <w:szCs w:val="20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0"/>
          <w:szCs w:val="20"/>
          <w:lang w:val="en-GB"/>
        </w:rPr>
        <w:t xml:space="preserve"> film was determined using a cross-section SEM image. (b) The reciprocal space mapping around (103) reflections of NdGaO</w:t>
      </w:r>
      <w:r>
        <w:rPr>
          <w:rFonts w:asciiTheme="minorHAnsi" w:hAnsiTheme="minorHAnsi" w:cstheme="minorHAnsi"/>
          <w:sz w:val="20"/>
          <w:szCs w:val="20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0"/>
          <w:szCs w:val="20"/>
          <w:lang w:val="en-GB"/>
        </w:rPr>
        <w:t>(001)</w:t>
      </w:r>
      <w:r>
        <w:rPr>
          <w:rFonts w:asciiTheme="minorHAnsi" w:hAnsiTheme="minorHAnsi" w:cstheme="minorHAnsi"/>
          <w:i/>
          <w:iCs/>
          <w:sz w:val="20"/>
          <w:szCs w:val="20"/>
          <w:vertAlign w:val="subscript"/>
          <w:lang w:val="en-GB"/>
        </w:rPr>
        <w:t>pc</w:t>
      </w:r>
      <w:r>
        <w:rPr>
          <w:rFonts w:asciiTheme="minorHAnsi" w:hAnsiTheme="minorHAnsi" w:cstheme="minorHAnsi"/>
          <w:sz w:val="20"/>
          <w:szCs w:val="20"/>
          <w:lang w:val="en-GB"/>
        </w:rPr>
        <w:t xml:space="preserve"> substrate and 700 nm BaMoO</w:t>
      </w:r>
      <w:r>
        <w:rPr>
          <w:rFonts w:asciiTheme="minorHAnsi" w:hAnsiTheme="minorHAnsi" w:cstheme="minorHAnsi"/>
          <w:sz w:val="20"/>
          <w:szCs w:val="20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0"/>
          <w:szCs w:val="20"/>
          <w:lang w:val="en-GB"/>
        </w:rPr>
        <w:t>(001). A control experiment of BaMoO</w:t>
      </w:r>
      <w:r w:rsidRPr="00220EFC">
        <w:rPr>
          <w:rFonts w:asciiTheme="minorHAnsi" w:hAnsiTheme="minorHAnsi" w:cstheme="minorHAnsi"/>
          <w:sz w:val="20"/>
          <w:szCs w:val="20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0"/>
          <w:szCs w:val="20"/>
          <w:lang w:val="en-GB"/>
        </w:rPr>
        <w:t xml:space="preserve"> where the sample was pulled</w:t>
      </w:r>
      <w:r w:rsidR="00220EFC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en-GB"/>
        </w:rPr>
        <w:t>out of</w:t>
      </w:r>
      <w:r w:rsidR="00275745">
        <w:rPr>
          <w:rFonts w:asciiTheme="minorHAnsi" w:hAnsiTheme="minorHAnsi" w:cstheme="minorHAnsi"/>
          <w:sz w:val="20"/>
          <w:szCs w:val="20"/>
          <w:lang w:val="en-GB"/>
        </w:rPr>
        <w:t xml:space="preserve"> the electrolyte</w:t>
      </w:r>
      <w:r>
        <w:rPr>
          <w:rFonts w:asciiTheme="minorHAnsi" w:hAnsiTheme="minorHAnsi" w:cstheme="minorHAnsi"/>
          <w:sz w:val="20"/>
          <w:szCs w:val="20"/>
          <w:lang w:val="en-GB"/>
        </w:rPr>
        <w:t xml:space="preserve"> at 0 V vs RHE</w:t>
      </w:r>
      <w:r w:rsidR="00275745">
        <w:rPr>
          <w:rFonts w:asciiTheme="minorHAnsi" w:hAnsiTheme="minorHAnsi" w:cstheme="minorHAnsi"/>
          <w:sz w:val="20"/>
          <w:szCs w:val="20"/>
          <w:lang w:val="en-GB"/>
        </w:rPr>
        <w:t xml:space="preserve"> during the anodic scan</w:t>
      </w:r>
      <w:r>
        <w:rPr>
          <w:rFonts w:asciiTheme="minorHAnsi" w:hAnsiTheme="minorHAnsi" w:cstheme="minorHAnsi"/>
          <w:sz w:val="20"/>
          <w:szCs w:val="20"/>
          <w:lang w:val="en-GB"/>
        </w:rPr>
        <w:t>: (c) CV curve, (d) optical images and (e) XRD patterns of the sample before and after the experiment.</w:t>
      </w:r>
    </w:p>
    <w:p w14:paraId="11AC85A3" w14:textId="77777777" w:rsidR="00A9443A" w:rsidRDefault="00A9443A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228F7F08" w14:textId="77777777" w:rsidR="00A9443A" w:rsidRDefault="006227CE">
      <w:pPr>
        <w:pStyle w:val="ListParagraph"/>
        <w:numPr>
          <w:ilvl w:val="0"/>
          <w:numId w:val="2"/>
        </w:numPr>
        <w:ind w:left="284" w:hanging="284"/>
        <w:jc w:val="both"/>
        <w:rPr>
          <w:b/>
          <w:bCs/>
          <w:szCs w:val="24"/>
          <w:lang w:val="en-GB"/>
        </w:rPr>
      </w:pPr>
      <w:r>
        <w:rPr>
          <w:b/>
          <w:bCs/>
          <w:szCs w:val="24"/>
          <w:lang w:val="en-GB"/>
        </w:rPr>
        <w:t>Degradation of BaMoO</w:t>
      </w:r>
      <w:r>
        <w:rPr>
          <w:b/>
          <w:bCs/>
          <w:szCs w:val="24"/>
          <w:vertAlign w:val="subscript"/>
          <w:lang w:val="en-GB"/>
        </w:rPr>
        <w:t>3</w:t>
      </w:r>
      <w:r>
        <w:rPr>
          <w:b/>
          <w:bCs/>
          <w:szCs w:val="24"/>
          <w:lang w:val="en-GB"/>
        </w:rPr>
        <w:t xml:space="preserve"> films on Ca</w:t>
      </w:r>
      <w:r>
        <w:rPr>
          <w:b/>
          <w:bCs/>
          <w:szCs w:val="24"/>
          <w:vertAlign w:val="subscript"/>
          <w:lang w:val="en-GB"/>
        </w:rPr>
        <w:t>2</w:t>
      </w:r>
      <w:r>
        <w:rPr>
          <w:b/>
          <w:bCs/>
          <w:szCs w:val="24"/>
          <w:lang w:val="en-GB"/>
        </w:rPr>
        <w:t>Nb</w:t>
      </w:r>
      <w:r>
        <w:rPr>
          <w:b/>
          <w:bCs/>
          <w:szCs w:val="24"/>
          <w:vertAlign w:val="subscript"/>
          <w:lang w:val="en-GB"/>
        </w:rPr>
        <w:t>3</w:t>
      </w:r>
      <w:r>
        <w:rPr>
          <w:b/>
          <w:bCs/>
          <w:szCs w:val="24"/>
          <w:lang w:val="en-GB"/>
        </w:rPr>
        <w:t>O</w:t>
      </w:r>
      <w:r>
        <w:rPr>
          <w:b/>
          <w:bCs/>
          <w:szCs w:val="24"/>
          <w:vertAlign w:val="subscript"/>
          <w:lang w:val="en-GB"/>
        </w:rPr>
        <w:t>10</w:t>
      </w:r>
      <w:r>
        <w:rPr>
          <w:b/>
          <w:bCs/>
          <w:szCs w:val="24"/>
          <w:lang w:val="en-GB"/>
        </w:rPr>
        <w:t xml:space="preserve"> nanosheets on Si</w:t>
      </w:r>
    </w:p>
    <w:p w14:paraId="76090DF3" w14:textId="77777777" w:rsidR="00A9443A" w:rsidRDefault="006227CE">
      <w:pPr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 xml:space="preserve">Oxide nanosheets, which are 2-dimensional micro-sized single crystals with a large library of crystal structures, can serve a similar role as single crystalline substrates for the growth of locally epitaxial </w:t>
      </w:r>
      <w:r>
        <w:rPr>
          <w:rFonts w:asciiTheme="minorHAnsi" w:hAnsiTheme="minorHAnsi" w:cstheme="minorHAnsi"/>
          <w:sz w:val="22"/>
          <w:lang w:val="en-GB"/>
        </w:rPr>
        <w:lastRenderedPageBreak/>
        <w:t>oxide thin films with single out–of–plane orientation.</w:t>
      </w:r>
      <w:r>
        <w:rPr>
          <w:rFonts w:ascii="Calibri" w:hAnsi="Calibri" w:cs="Calibri"/>
          <w:kern w:val="0"/>
          <w:sz w:val="22"/>
          <w:vertAlign w:val="superscript"/>
          <w:lang w:val="en-GB"/>
        </w:rPr>
        <w:t>2–5</w:t>
      </w:r>
      <w:r>
        <w:rPr>
          <w:rFonts w:asciiTheme="minorHAnsi" w:hAnsiTheme="minorHAnsi" w:cstheme="minorHAnsi"/>
          <w:sz w:val="22"/>
          <w:lang w:val="en-GB"/>
        </w:rPr>
        <w:t xml:space="preserve"> Oxide nanosheets are a cheap alternative to avoid the usage of expensive single crystalline substrates. They can be deposited on large surfaces, for example 8-inch Si wafers, as well as on amorphous transparent substrates, like glass, using Langmuir-Blodgett method.</w:t>
      </w:r>
      <w:r>
        <w:rPr>
          <w:rFonts w:ascii="Calibri" w:hAnsi="Calibri" w:cs="Calibri"/>
          <w:kern w:val="0"/>
          <w:sz w:val="22"/>
          <w:vertAlign w:val="superscript"/>
          <w:lang w:val="en-GB"/>
        </w:rPr>
        <w:t>6</w:t>
      </w:r>
      <w:r>
        <w:rPr>
          <w:rFonts w:asciiTheme="minorHAnsi" w:hAnsiTheme="minorHAnsi" w:cstheme="minorHAnsi"/>
          <w:sz w:val="22"/>
          <w:lang w:val="en-GB"/>
        </w:rPr>
        <w:t xml:space="preserve"> In this work, Ca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2</w:t>
      </w:r>
      <w:r>
        <w:rPr>
          <w:rFonts w:asciiTheme="minorHAnsi" w:hAnsiTheme="minorHAnsi" w:cstheme="minorHAnsi"/>
          <w:sz w:val="22"/>
          <w:lang w:val="en-GB"/>
        </w:rPr>
        <w:t>Nb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>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10</w:t>
      </w:r>
      <w:r>
        <w:rPr>
          <w:rFonts w:asciiTheme="minorHAnsi" w:hAnsiTheme="minorHAnsi" w:cstheme="minorHAnsi"/>
          <w:sz w:val="22"/>
          <w:lang w:val="en-GB"/>
        </w:rPr>
        <w:t xml:space="preserve"> nanosheets were used for the growth of single out-of-plane oriented BaMoO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>(001) films, which are considered to have more defects compared to BaMoO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>(001) films on single crystalline NdGaO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>(001)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pc</w:t>
      </w:r>
      <w:r>
        <w:rPr>
          <w:rFonts w:asciiTheme="minorHAnsi" w:hAnsiTheme="minorHAnsi" w:cstheme="minorHAnsi"/>
          <w:sz w:val="22"/>
          <w:lang w:val="en-GB"/>
        </w:rPr>
        <w:t xml:space="preserve"> substrates due to the gr</w:t>
      </w:r>
      <w:r>
        <w:rPr>
          <w:rFonts w:asciiTheme="minorHAnsi" w:hAnsiTheme="minorHAnsi" w:cstheme="minorHAnsi"/>
          <w:sz w:val="22"/>
          <w:lang w:val="en-GB"/>
        </w:rPr>
        <w:t>ain-boundary of oxide nanosheets. The detailed preparation and deposition of Ca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2</w:t>
      </w:r>
      <w:r>
        <w:rPr>
          <w:rFonts w:asciiTheme="minorHAnsi" w:hAnsiTheme="minorHAnsi" w:cstheme="minorHAnsi"/>
          <w:sz w:val="22"/>
          <w:lang w:val="en-GB"/>
        </w:rPr>
        <w:t>Nb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>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10</w:t>
      </w:r>
      <w:r>
        <w:rPr>
          <w:rFonts w:asciiTheme="minorHAnsi" w:hAnsiTheme="minorHAnsi" w:cstheme="minorHAnsi"/>
          <w:sz w:val="22"/>
          <w:lang w:val="en-GB"/>
        </w:rPr>
        <w:t xml:space="preserve"> nanosheets on Si were described elsewhere.</w:t>
      </w:r>
      <w:r>
        <w:rPr>
          <w:rFonts w:ascii="Calibri" w:hAnsi="Calibri" w:cs="Calibri"/>
          <w:kern w:val="0"/>
          <w:sz w:val="22"/>
          <w:vertAlign w:val="superscript"/>
          <w:lang w:val="en-GB"/>
        </w:rPr>
        <w:t>7</w:t>
      </w:r>
      <w:r>
        <w:rPr>
          <w:rFonts w:asciiTheme="minorHAnsi" w:hAnsiTheme="minorHAnsi" w:cstheme="minorHAnsi"/>
          <w:sz w:val="22"/>
          <w:lang w:val="en-GB"/>
        </w:rPr>
        <w:t xml:space="preserve"> The growth conditions of BaMoO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 xml:space="preserve"> on these nanosheets were the same as on single crystalline NdGaO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>(001)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pc</w:t>
      </w:r>
      <w:r>
        <w:rPr>
          <w:rFonts w:asciiTheme="minorHAnsi" w:hAnsiTheme="minorHAnsi" w:cstheme="minorHAnsi"/>
          <w:sz w:val="22"/>
          <w:lang w:val="en-GB"/>
        </w:rPr>
        <w:t xml:space="preserve"> substrates as described in the manuscript. Figure S3 shows the results from materials characterizations of BaMoO</w:t>
      </w:r>
      <w:r>
        <w:rPr>
          <w:rFonts w:asciiTheme="minorHAnsi" w:hAnsiTheme="minorHAnsi" w:cstheme="minorHAnsi"/>
          <w:sz w:val="22"/>
          <w:vertAlign w:val="subscript"/>
          <w:lang w:val="en-GB"/>
        </w:rPr>
        <w:t>3</w:t>
      </w:r>
      <w:r>
        <w:rPr>
          <w:rFonts w:asciiTheme="minorHAnsi" w:hAnsiTheme="minorHAnsi" w:cstheme="minorHAnsi"/>
          <w:sz w:val="22"/>
          <w:lang w:val="en-GB"/>
        </w:rPr>
        <w:t xml:space="preserve"> before and after HER.</w:t>
      </w:r>
    </w:p>
    <w:p w14:paraId="54691E62" w14:textId="77777777" w:rsidR="00A9443A" w:rsidRDefault="006227CE">
      <w:pPr>
        <w:jc w:val="both"/>
        <w:rPr>
          <w:rFonts w:asciiTheme="minorHAnsi" w:hAnsiTheme="minorHAnsi"/>
          <w:sz w:val="22"/>
          <w:lang w:val="en-GB"/>
        </w:rPr>
      </w:pPr>
      <w:r>
        <w:rPr>
          <w:noProof/>
        </w:rPr>
        <w:drawing>
          <wp:inline distT="0" distB="0" distL="0" distR="0" wp14:anchorId="665E3EC6" wp14:editId="489B2671">
            <wp:extent cx="5721350" cy="2794000"/>
            <wp:effectExtent l="0" t="0" r="0" b="0"/>
            <wp:docPr id="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F8039" w14:textId="77777777" w:rsidR="00A9443A" w:rsidRDefault="006227CE">
      <w:pPr>
        <w:jc w:val="both"/>
        <w:rPr>
          <w:rFonts w:asciiTheme="minorHAnsi" w:hAnsiTheme="minorHAnsi"/>
          <w:sz w:val="20"/>
          <w:szCs w:val="20"/>
          <w:lang w:val="en-GB"/>
        </w:rPr>
      </w:pPr>
      <w:r>
        <w:rPr>
          <w:rFonts w:asciiTheme="minorHAnsi" w:hAnsiTheme="minorHAnsi"/>
          <w:sz w:val="20"/>
          <w:szCs w:val="20"/>
          <w:lang w:val="en-GB"/>
        </w:rPr>
        <w:t>Figure S3. Degradation of 700 nm BaMoO</w:t>
      </w:r>
      <w:r>
        <w:rPr>
          <w:rFonts w:asciiTheme="minorHAnsi" w:hAnsiTheme="minorHAnsi"/>
          <w:sz w:val="20"/>
          <w:szCs w:val="20"/>
          <w:vertAlign w:val="subscript"/>
          <w:lang w:val="en-GB"/>
        </w:rPr>
        <w:t>3</w:t>
      </w:r>
      <w:r>
        <w:rPr>
          <w:rFonts w:asciiTheme="minorHAnsi" w:hAnsiTheme="minorHAnsi"/>
          <w:sz w:val="20"/>
          <w:szCs w:val="20"/>
          <w:lang w:val="en-GB"/>
        </w:rPr>
        <w:t xml:space="preserve"> thin film on Ca</w:t>
      </w:r>
      <w:r>
        <w:rPr>
          <w:rFonts w:asciiTheme="minorHAnsi" w:hAnsiTheme="minorHAnsi"/>
          <w:sz w:val="20"/>
          <w:szCs w:val="20"/>
          <w:vertAlign w:val="subscript"/>
          <w:lang w:val="en-GB"/>
        </w:rPr>
        <w:t>2</w:t>
      </w:r>
      <w:r>
        <w:rPr>
          <w:rFonts w:asciiTheme="minorHAnsi" w:hAnsiTheme="minorHAnsi"/>
          <w:sz w:val="20"/>
          <w:szCs w:val="20"/>
          <w:lang w:val="en-GB"/>
        </w:rPr>
        <w:t>Nb</w:t>
      </w:r>
      <w:r>
        <w:rPr>
          <w:rFonts w:asciiTheme="minorHAnsi" w:hAnsiTheme="minorHAnsi"/>
          <w:sz w:val="20"/>
          <w:szCs w:val="20"/>
          <w:vertAlign w:val="subscript"/>
          <w:lang w:val="en-GB"/>
        </w:rPr>
        <w:t>3</w:t>
      </w:r>
      <w:r>
        <w:rPr>
          <w:rFonts w:asciiTheme="minorHAnsi" w:hAnsiTheme="minorHAnsi"/>
          <w:sz w:val="20"/>
          <w:szCs w:val="20"/>
          <w:lang w:val="en-GB"/>
        </w:rPr>
        <w:t>O</w:t>
      </w:r>
      <w:r>
        <w:rPr>
          <w:rFonts w:asciiTheme="minorHAnsi" w:hAnsiTheme="minorHAnsi"/>
          <w:sz w:val="20"/>
          <w:szCs w:val="20"/>
          <w:vertAlign w:val="subscript"/>
          <w:lang w:val="en-GB"/>
        </w:rPr>
        <w:t>10</w:t>
      </w:r>
      <w:r>
        <w:rPr>
          <w:rFonts w:asciiTheme="minorHAnsi" w:hAnsiTheme="minorHAnsi"/>
          <w:sz w:val="20"/>
          <w:szCs w:val="20"/>
          <w:lang w:val="en-GB"/>
        </w:rPr>
        <w:t xml:space="preserve"> nanosheets on Si under HER conditions. (a) XRD shows single out-of-plane oriented perovskite BaMoO</w:t>
      </w:r>
      <w:r>
        <w:rPr>
          <w:rFonts w:asciiTheme="minorHAnsi" w:hAnsiTheme="minorHAnsi"/>
          <w:sz w:val="20"/>
          <w:szCs w:val="20"/>
          <w:vertAlign w:val="subscript"/>
          <w:lang w:val="en-GB"/>
        </w:rPr>
        <w:t>3</w:t>
      </w:r>
      <w:r>
        <w:rPr>
          <w:rFonts w:asciiTheme="minorHAnsi" w:hAnsiTheme="minorHAnsi"/>
          <w:sz w:val="20"/>
          <w:szCs w:val="20"/>
          <w:lang w:val="en-GB"/>
        </w:rPr>
        <w:t>(001) due to the induced directional growth of Ca</w:t>
      </w:r>
      <w:r>
        <w:rPr>
          <w:rFonts w:asciiTheme="minorHAnsi" w:hAnsiTheme="minorHAnsi"/>
          <w:sz w:val="20"/>
          <w:szCs w:val="20"/>
          <w:vertAlign w:val="subscript"/>
          <w:lang w:val="en-GB"/>
        </w:rPr>
        <w:t>2</w:t>
      </w:r>
      <w:r>
        <w:rPr>
          <w:rFonts w:asciiTheme="minorHAnsi" w:hAnsiTheme="minorHAnsi"/>
          <w:sz w:val="20"/>
          <w:szCs w:val="20"/>
          <w:lang w:val="en-GB"/>
        </w:rPr>
        <w:t>Nb</w:t>
      </w:r>
      <w:r>
        <w:rPr>
          <w:rFonts w:asciiTheme="minorHAnsi" w:hAnsiTheme="minorHAnsi"/>
          <w:sz w:val="20"/>
          <w:szCs w:val="20"/>
          <w:vertAlign w:val="subscript"/>
          <w:lang w:val="en-GB"/>
        </w:rPr>
        <w:t>3</w:t>
      </w:r>
      <w:r>
        <w:rPr>
          <w:rFonts w:asciiTheme="minorHAnsi" w:hAnsiTheme="minorHAnsi"/>
          <w:sz w:val="20"/>
          <w:szCs w:val="20"/>
          <w:lang w:val="en-GB"/>
        </w:rPr>
        <w:t>O</w:t>
      </w:r>
      <w:r>
        <w:rPr>
          <w:rFonts w:asciiTheme="minorHAnsi" w:hAnsiTheme="minorHAnsi"/>
          <w:sz w:val="20"/>
          <w:szCs w:val="20"/>
          <w:vertAlign w:val="subscript"/>
          <w:lang w:val="en-GB"/>
        </w:rPr>
        <w:t>10</w:t>
      </w:r>
      <w:r>
        <w:rPr>
          <w:rFonts w:asciiTheme="minorHAnsi" w:hAnsiTheme="minorHAnsi"/>
          <w:sz w:val="20"/>
          <w:szCs w:val="20"/>
          <w:lang w:val="en-GB"/>
        </w:rPr>
        <w:t xml:space="preserve"> nanosheets. The RHEED pattern in the inset shows a streaky pattern, resulting from the highly crystalline thin film.  (b) Optical image of a 700 nm thick BaMoO</w:t>
      </w:r>
      <w:r>
        <w:rPr>
          <w:rFonts w:asciiTheme="minorHAnsi" w:hAnsiTheme="minorHAnsi"/>
          <w:sz w:val="20"/>
          <w:szCs w:val="20"/>
          <w:vertAlign w:val="subscript"/>
          <w:lang w:val="en-GB"/>
        </w:rPr>
        <w:t>3</w:t>
      </w:r>
      <w:r>
        <w:rPr>
          <w:rFonts w:asciiTheme="minorHAnsi" w:hAnsiTheme="minorHAnsi"/>
          <w:sz w:val="20"/>
          <w:szCs w:val="20"/>
          <w:lang w:val="en-GB"/>
        </w:rPr>
        <w:t>(001) thin film sample after one CV cycle under HER conditions. The grey circular area was exposed to HER; numbers refer to the locations where AFM and cross-sectioned SEM were performed; the cut</w:t>
      </w:r>
      <w:r>
        <w:rPr>
          <w:rFonts w:asciiTheme="minorHAnsi" w:hAnsiTheme="minorHAnsi"/>
          <w:sz w:val="20"/>
          <w:szCs w:val="20"/>
          <w:lang w:val="en-GB"/>
        </w:rPr>
        <w:t xml:space="preserve"> line indicates where the sample was cut for cross-sectional SEM imaging. (c) AFM and (d) high-resolution cross-sectional SEM images at different locations indicate the rapid degradation of BaMoO</w:t>
      </w:r>
      <w:r>
        <w:rPr>
          <w:rFonts w:asciiTheme="minorHAnsi" w:hAnsiTheme="minorHAnsi"/>
          <w:sz w:val="20"/>
          <w:szCs w:val="20"/>
          <w:vertAlign w:val="subscript"/>
          <w:lang w:val="en-GB"/>
        </w:rPr>
        <w:t>3</w:t>
      </w:r>
      <w:r>
        <w:rPr>
          <w:rFonts w:asciiTheme="minorHAnsi" w:hAnsiTheme="minorHAnsi"/>
          <w:sz w:val="20"/>
          <w:szCs w:val="20"/>
          <w:lang w:val="en-GB"/>
        </w:rPr>
        <w:t xml:space="preserve"> forming a wave-like morphology of different stoichiometry. (1) AFM in the degraded </w:t>
      </w:r>
      <w:proofErr w:type="spellStart"/>
      <w:r>
        <w:rPr>
          <w:rFonts w:asciiTheme="minorHAnsi" w:hAnsiTheme="minorHAnsi"/>
          <w:sz w:val="20"/>
          <w:szCs w:val="20"/>
          <w:lang w:val="en-GB"/>
        </w:rPr>
        <w:t>center</w:t>
      </w:r>
      <w:proofErr w:type="spellEnd"/>
      <w:r>
        <w:rPr>
          <w:rFonts w:asciiTheme="minorHAnsi" w:hAnsiTheme="minorHAnsi"/>
          <w:sz w:val="20"/>
          <w:szCs w:val="20"/>
          <w:lang w:val="en-GB"/>
        </w:rPr>
        <w:t xml:space="preserve">. (2) AFM in the pristine area (no electrolyte contact). (3) cross-sectional SEM image in degraded </w:t>
      </w:r>
      <w:proofErr w:type="spellStart"/>
      <w:r>
        <w:rPr>
          <w:rFonts w:asciiTheme="minorHAnsi" w:hAnsiTheme="minorHAnsi"/>
          <w:sz w:val="20"/>
          <w:szCs w:val="20"/>
          <w:lang w:val="en-GB"/>
        </w:rPr>
        <w:t>center</w:t>
      </w:r>
      <w:proofErr w:type="spellEnd"/>
      <w:r>
        <w:rPr>
          <w:rFonts w:asciiTheme="minorHAnsi" w:hAnsiTheme="minorHAnsi"/>
          <w:sz w:val="20"/>
          <w:szCs w:val="20"/>
          <w:lang w:val="en-GB"/>
        </w:rPr>
        <w:t>. (4) cross-sectional SEM image in the Pt-contact area (no electrolyte contact).</w:t>
      </w:r>
    </w:p>
    <w:p w14:paraId="50A6F6C1" w14:textId="77777777" w:rsidR="00A9443A" w:rsidRDefault="006227CE">
      <w:pPr>
        <w:jc w:val="both"/>
        <w:rPr>
          <w:rFonts w:asciiTheme="minorHAnsi" w:hAnsiTheme="minorHAnsi"/>
          <w:sz w:val="22"/>
          <w:lang w:val="en-GB"/>
        </w:rPr>
      </w:pPr>
      <w:r>
        <w:rPr>
          <w:rFonts w:asciiTheme="minorHAnsi" w:hAnsiTheme="minorHAnsi"/>
          <w:sz w:val="22"/>
          <w:lang w:val="en-GB"/>
        </w:rPr>
        <w:t>The EDX results (Figure S4) show that the remaining film in the exposed BaMoO</w:t>
      </w:r>
      <w:r>
        <w:rPr>
          <w:rFonts w:asciiTheme="minorHAnsi" w:hAnsiTheme="minorHAnsi"/>
          <w:sz w:val="22"/>
          <w:vertAlign w:val="subscript"/>
          <w:lang w:val="en-GB"/>
        </w:rPr>
        <w:t>3</w:t>
      </w:r>
      <w:r>
        <w:rPr>
          <w:rFonts w:asciiTheme="minorHAnsi" w:hAnsiTheme="minorHAnsi"/>
          <w:sz w:val="22"/>
          <w:lang w:val="en-GB"/>
        </w:rPr>
        <w:t xml:space="preserve"> film area (location 3, Figure S3b) had a composition of </w:t>
      </w:r>
      <w:proofErr w:type="spellStart"/>
      <w:r>
        <w:rPr>
          <w:rFonts w:asciiTheme="minorHAnsi" w:hAnsiTheme="minorHAnsi"/>
          <w:sz w:val="22"/>
          <w:lang w:val="en-GB"/>
        </w:rPr>
        <w:t>Ba:Mo:O</w:t>
      </w:r>
      <w:proofErr w:type="spellEnd"/>
      <w:r>
        <w:rPr>
          <w:rFonts w:asciiTheme="minorHAnsi" w:hAnsiTheme="minorHAnsi"/>
          <w:sz w:val="22"/>
          <w:lang w:val="en-GB"/>
        </w:rPr>
        <w:t xml:space="preserve"> ratio of 1:1.8:11.3, whereas the unreacted BaMoO</w:t>
      </w:r>
      <w:r>
        <w:rPr>
          <w:rFonts w:asciiTheme="minorHAnsi" w:hAnsiTheme="minorHAnsi"/>
          <w:sz w:val="22"/>
          <w:vertAlign w:val="subscript"/>
          <w:lang w:val="en-GB"/>
        </w:rPr>
        <w:t>3</w:t>
      </w:r>
      <w:r>
        <w:rPr>
          <w:rFonts w:asciiTheme="minorHAnsi" w:hAnsiTheme="minorHAnsi"/>
          <w:sz w:val="22"/>
          <w:lang w:val="en-GB"/>
        </w:rPr>
        <w:t xml:space="preserve"> area (location 4, Figure S3b) had a composition of 1:0.9:2.9.</w:t>
      </w:r>
    </w:p>
    <w:p w14:paraId="3055211B" w14:textId="77777777" w:rsidR="00A9443A" w:rsidRDefault="006227CE">
      <w:pPr>
        <w:jc w:val="center"/>
        <w:rPr>
          <w:rFonts w:asciiTheme="minorHAnsi" w:hAnsiTheme="minorHAnsi"/>
          <w:szCs w:val="24"/>
          <w:lang w:val="en-GB"/>
        </w:rPr>
      </w:pPr>
      <w:r>
        <w:rPr>
          <w:noProof/>
        </w:rPr>
        <w:lastRenderedPageBreak/>
        <w:drawing>
          <wp:inline distT="0" distB="0" distL="0" distR="0" wp14:anchorId="031EA834" wp14:editId="4A277CA0">
            <wp:extent cx="4965700" cy="527685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3DE3A" w14:textId="77777777" w:rsidR="00A9443A" w:rsidRDefault="006227CE">
      <w:pPr>
        <w:jc w:val="both"/>
        <w:rPr>
          <w:rFonts w:asciiTheme="minorHAnsi" w:hAnsiTheme="minorHAnsi"/>
          <w:sz w:val="20"/>
          <w:szCs w:val="20"/>
          <w:lang w:val="en-GB"/>
        </w:rPr>
      </w:pPr>
      <w:r>
        <w:rPr>
          <w:rFonts w:asciiTheme="minorHAnsi" w:hAnsiTheme="minorHAnsi"/>
          <w:sz w:val="20"/>
          <w:szCs w:val="20"/>
          <w:lang w:val="en-GB"/>
        </w:rPr>
        <w:t>Figure S4. Comparison of the composition of 700 nm BaMoO</w:t>
      </w:r>
      <w:r>
        <w:rPr>
          <w:rFonts w:asciiTheme="minorHAnsi" w:hAnsiTheme="minorHAnsi"/>
          <w:sz w:val="20"/>
          <w:szCs w:val="20"/>
          <w:vertAlign w:val="subscript"/>
          <w:lang w:val="en-GB"/>
        </w:rPr>
        <w:t>3</w:t>
      </w:r>
      <w:r>
        <w:rPr>
          <w:rFonts w:asciiTheme="minorHAnsi" w:hAnsiTheme="minorHAnsi"/>
          <w:sz w:val="20"/>
          <w:szCs w:val="20"/>
          <w:lang w:val="en-GB"/>
        </w:rPr>
        <w:t xml:space="preserve"> film before and after CV in HER conditions: (a) and (b) show EDX data of BaMoO</w:t>
      </w:r>
      <w:r>
        <w:rPr>
          <w:rFonts w:asciiTheme="minorHAnsi" w:hAnsiTheme="minorHAnsi"/>
          <w:sz w:val="20"/>
          <w:szCs w:val="20"/>
          <w:vertAlign w:val="subscript"/>
          <w:lang w:val="en-GB"/>
        </w:rPr>
        <w:t>3</w:t>
      </w:r>
      <w:r>
        <w:rPr>
          <w:rFonts w:asciiTheme="minorHAnsi" w:hAnsiTheme="minorHAnsi"/>
          <w:sz w:val="20"/>
          <w:szCs w:val="20"/>
          <w:lang w:val="en-GB"/>
        </w:rPr>
        <w:t xml:space="preserve"> film in the exposed area (location 3, Figure 3b) and unreacted area (location 4, Figure 3b), respectively. </w:t>
      </w:r>
    </w:p>
    <w:p w14:paraId="5CD1339B" w14:textId="77777777" w:rsidR="00A9443A" w:rsidRDefault="00A9443A">
      <w:pPr>
        <w:jc w:val="both"/>
        <w:rPr>
          <w:rFonts w:asciiTheme="minorHAnsi" w:hAnsiTheme="minorHAnsi"/>
          <w:sz w:val="20"/>
          <w:szCs w:val="20"/>
          <w:lang w:val="en-GB"/>
        </w:rPr>
      </w:pPr>
    </w:p>
    <w:p w14:paraId="60B5A7A9" w14:textId="77777777" w:rsidR="00A9443A" w:rsidRDefault="006227CE">
      <w:pPr>
        <w:rPr>
          <w:rFonts w:asciiTheme="minorHAnsi" w:hAnsiTheme="minorHAnsi"/>
          <w:b/>
          <w:bCs/>
          <w:szCs w:val="24"/>
          <w:lang w:val="en-GB"/>
        </w:rPr>
      </w:pPr>
      <w:r>
        <w:rPr>
          <w:rFonts w:asciiTheme="minorHAnsi" w:hAnsiTheme="minorHAnsi"/>
          <w:b/>
          <w:bCs/>
          <w:szCs w:val="24"/>
          <w:lang w:val="en-GB"/>
        </w:rPr>
        <w:t>References</w:t>
      </w:r>
    </w:p>
    <w:p w14:paraId="33EDDCE1" w14:textId="77777777" w:rsidR="00A9443A" w:rsidRDefault="006227CE">
      <w:pPr>
        <w:pStyle w:val="Bibliography"/>
        <w:rPr>
          <w:rFonts w:ascii="Calibri" w:hAnsi="Calibri" w:cs="Calibri"/>
          <w:sz w:val="22"/>
          <w:lang w:val="en-GB"/>
        </w:rPr>
      </w:pPr>
      <w:r>
        <w:rPr>
          <w:rFonts w:ascii="Calibri" w:hAnsi="Calibri" w:cs="Calibri"/>
          <w:sz w:val="22"/>
          <w:lang w:val="en-GB"/>
        </w:rPr>
        <w:t>1.</w:t>
      </w:r>
      <w:r>
        <w:rPr>
          <w:rFonts w:ascii="Calibri" w:hAnsi="Calibri" w:cs="Calibri"/>
          <w:sz w:val="22"/>
          <w:lang w:val="en-GB"/>
        </w:rPr>
        <w:tab/>
        <w:t xml:space="preserve">Baeumer, C. </w:t>
      </w:r>
      <w:r>
        <w:rPr>
          <w:rFonts w:ascii="Calibri" w:hAnsi="Calibri" w:cs="Calibri"/>
          <w:i/>
          <w:iCs/>
          <w:sz w:val="22"/>
          <w:lang w:val="en-GB"/>
        </w:rPr>
        <w:t>et al.</w:t>
      </w:r>
      <w:r>
        <w:rPr>
          <w:rFonts w:ascii="Calibri" w:hAnsi="Calibri" w:cs="Calibri"/>
          <w:sz w:val="22"/>
          <w:lang w:val="en-GB"/>
        </w:rPr>
        <w:t xml:space="preserve"> Tuning electrochemically driven surface transformation in atomically flat LaNiO3 thin films for enhanced water electrolysis. </w:t>
      </w:r>
      <w:r>
        <w:rPr>
          <w:rFonts w:ascii="Calibri" w:hAnsi="Calibri" w:cs="Calibri"/>
          <w:i/>
          <w:iCs/>
          <w:sz w:val="22"/>
          <w:lang w:val="en-GB"/>
        </w:rPr>
        <w:t>Nat. Mater.</w:t>
      </w:r>
      <w:r>
        <w:rPr>
          <w:rFonts w:ascii="Calibri" w:hAnsi="Calibri" w:cs="Calibri"/>
          <w:sz w:val="22"/>
          <w:lang w:val="en-GB"/>
        </w:rPr>
        <w:t xml:space="preserve"> </w:t>
      </w:r>
      <w:r>
        <w:rPr>
          <w:rFonts w:ascii="Calibri" w:hAnsi="Calibri" w:cs="Calibri"/>
          <w:b/>
          <w:bCs/>
          <w:sz w:val="22"/>
          <w:lang w:val="en-GB"/>
        </w:rPr>
        <w:t>20</w:t>
      </w:r>
      <w:r>
        <w:rPr>
          <w:rFonts w:ascii="Calibri" w:hAnsi="Calibri" w:cs="Calibri"/>
          <w:sz w:val="22"/>
          <w:lang w:val="en-GB"/>
        </w:rPr>
        <w:t>, 674–682 (2021).</w:t>
      </w:r>
    </w:p>
    <w:p w14:paraId="473F7F73" w14:textId="77777777" w:rsidR="00A9443A" w:rsidRDefault="006227CE">
      <w:pPr>
        <w:pStyle w:val="Bibliography"/>
        <w:rPr>
          <w:rFonts w:ascii="Calibri" w:hAnsi="Calibri" w:cs="Calibri"/>
          <w:sz w:val="22"/>
          <w:lang w:val="en-GB"/>
        </w:rPr>
      </w:pPr>
      <w:r>
        <w:rPr>
          <w:rFonts w:ascii="Calibri" w:hAnsi="Calibri" w:cs="Calibri"/>
          <w:sz w:val="22"/>
          <w:lang w:val="en-GB"/>
        </w:rPr>
        <w:t>2.</w:t>
      </w:r>
      <w:r>
        <w:rPr>
          <w:rFonts w:ascii="Calibri" w:hAnsi="Calibri" w:cs="Calibri"/>
          <w:sz w:val="22"/>
          <w:lang w:val="en-GB"/>
        </w:rPr>
        <w:tab/>
        <w:t xml:space="preserve">Shibata, T. </w:t>
      </w:r>
      <w:r>
        <w:rPr>
          <w:rFonts w:ascii="Calibri" w:hAnsi="Calibri" w:cs="Calibri"/>
          <w:i/>
          <w:iCs/>
          <w:sz w:val="22"/>
          <w:lang w:val="en-GB"/>
        </w:rPr>
        <w:t>et al.</w:t>
      </w:r>
      <w:r>
        <w:rPr>
          <w:rFonts w:ascii="Calibri" w:hAnsi="Calibri" w:cs="Calibri"/>
          <w:sz w:val="22"/>
          <w:lang w:val="en-GB"/>
        </w:rPr>
        <w:t xml:space="preserve"> Versatile van der Waals epitaxy-like growth of crystal films using two-dimensional nanosheets as a seed layer: orientation tuning of SrTiO3 films along three important axes on glass substrates. </w:t>
      </w:r>
      <w:r>
        <w:rPr>
          <w:rFonts w:ascii="Calibri" w:hAnsi="Calibri" w:cs="Calibri"/>
          <w:i/>
          <w:iCs/>
          <w:sz w:val="22"/>
          <w:lang w:val="en-GB"/>
        </w:rPr>
        <w:t>J. Mater. Chem. C</w:t>
      </w:r>
      <w:r>
        <w:rPr>
          <w:rFonts w:ascii="Calibri" w:hAnsi="Calibri" w:cs="Calibri"/>
          <w:sz w:val="22"/>
          <w:lang w:val="en-GB"/>
        </w:rPr>
        <w:t xml:space="preserve"> </w:t>
      </w:r>
      <w:r>
        <w:rPr>
          <w:rFonts w:ascii="Calibri" w:hAnsi="Calibri" w:cs="Calibri"/>
          <w:b/>
          <w:bCs/>
          <w:sz w:val="22"/>
          <w:lang w:val="en-GB"/>
        </w:rPr>
        <w:t>2</w:t>
      </w:r>
      <w:r>
        <w:rPr>
          <w:rFonts w:ascii="Calibri" w:hAnsi="Calibri" w:cs="Calibri"/>
          <w:sz w:val="22"/>
          <w:lang w:val="en-GB"/>
        </w:rPr>
        <w:t>, 441–449 (2013).</w:t>
      </w:r>
    </w:p>
    <w:p w14:paraId="6A094534" w14:textId="77777777" w:rsidR="00A9443A" w:rsidRDefault="006227CE">
      <w:pPr>
        <w:pStyle w:val="Bibliography"/>
        <w:rPr>
          <w:rFonts w:ascii="Calibri" w:hAnsi="Calibri" w:cs="Calibri"/>
          <w:sz w:val="22"/>
          <w:lang w:val="en-GB"/>
        </w:rPr>
      </w:pPr>
      <w:r>
        <w:rPr>
          <w:rFonts w:ascii="Calibri" w:hAnsi="Calibri" w:cs="Calibri"/>
          <w:sz w:val="22"/>
          <w:lang w:val="en-GB"/>
        </w:rPr>
        <w:lastRenderedPageBreak/>
        <w:t>3.</w:t>
      </w:r>
      <w:r>
        <w:rPr>
          <w:rFonts w:ascii="Calibri" w:hAnsi="Calibri" w:cs="Calibri"/>
          <w:sz w:val="22"/>
          <w:lang w:val="en-GB"/>
        </w:rPr>
        <w:tab/>
        <w:t xml:space="preserve">Nguyen, M. D. </w:t>
      </w:r>
      <w:r>
        <w:rPr>
          <w:rFonts w:ascii="Calibri" w:hAnsi="Calibri" w:cs="Calibri"/>
          <w:i/>
          <w:iCs/>
          <w:sz w:val="22"/>
          <w:lang w:val="en-GB"/>
        </w:rPr>
        <w:t>et al.</w:t>
      </w:r>
      <w:r>
        <w:rPr>
          <w:rFonts w:ascii="Calibri" w:hAnsi="Calibri" w:cs="Calibri"/>
          <w:sz w:val="22"/>
          <w:lang w:val="en-GB"/>
        </w:rPr>
        <w:t xml:space="preserve"> Highly Oriented Growth of Piezoelectric Thin Films on Silicon Using Two-Dimensional Nanosheets as Growth Template Layer. </w:t>
      </w:r>
      <w:r>
        <w:rPr>
          <w:rFonts w:ascii="Calibri" w:hAnsi="Calibri" w:cs="Calibri"/>
          <w:i/>
          <w:iCs/>
          <w:sz w:val="22"/>
          <w:lang w:val="en-GB"/>
        </w:rPr>
        <w:t>ACS Appl. Mater. Interfaces</w:t>
      </w:r>
      <w:r>
        <w:rPr>
          <w:rFonts w:ascii="Calibri" w:hAnsi="Calibri" w:cs="Calibri"/>
          <w:sz w:val="22"/>
          <w:lang w:val="en-GB"/>
        </w:rPr>
        <w:t xml:space="preserve"> </w:t>
      </w:r>
      <w:r>
        <w:rPr>
          <w:rFonts w:ascii="Calibri" w:hAnsi="Calibri" w:cs="Calibri"/>
          <w:b/>
          <w:bCs/>
          <w:sz w:val="22"/>
          <w:lang w:val="en-GB"/>
        </w:rPr>
        <w:t>8</w:t>
      </w:r>
      <w:r>
        <w:rPr>
          <w:rFonts w:ascii="Calibri" w:hAnsi="Calibri" w:cs="Calibri"/>
          <w:sz w:val="22"/>
          <w:lang w:val="en-GB"/>
        </w:rPr>
        <w:t>, 31120–31127 (2016).</w:t>
      </w:r>
    </w:p>
    <w:p w14:paraId="00B0C159" w14:textId="77777777" w:rsidR="00A9443A" w:rsidRDefault="006227CE">
      <w:pPr>
        <w:pStyle w:val="Bibliography"/>
        <w:rPr>
          <w:rFonts w:ascii="Calibri" w:hAnsi="Calibri" w:cs="Calibri"/>
          <w:sz w:val="22"/>
          <w:lang w:val="en-GB"/>
        </w:rPr>
      </w:pPr>
      <w:r>
        <w:rPr>
          <w:rFonts w:ascii="Calibri" w:hAnsi="Calibri" w:cs="Calibri"/>
          <w:sz w:val="22"/>
          <w:lang w:val="en-GB"/>
        </w:rPr>
        <w:t>4.</w:t>
      </w:r>
      <w:r>
        <w:rPr>
          <w:rFonts w:ascii="Calibri" w:hAnsi="Calibri" w:cs="Calibri"/>
          <w:sz w:val="22"/>
          <w:lang w:val="en-GB"/>
        </w:rPr>
        <w:tab/>
        <w:t xml:space="preserve">Le, P. T. P. </w:t>
      </w:r>
      <w:r>
        <w:rPr>
          <w:rFonts w:ascii="Calibri" w:hAnsi="Calibri" w:cs="Calibri"/>
          <w:i/>
          <w:iCs/>
          <w:sz w:val="22"/>
          <w:lang w:val="en-GB"/>
        </w:rPr>
        <w:t>et al.</w:t>
      </w:r>
      <w:r>
        <w:rPr>
          <w:rFonts w:ascii="Calibri" w:hAnsi="Calibri" w:cs="Calibri"/>
          <w:sz w:val="22"/>
          <w:lang w:val="en-GB"/>
        </w:rPr>
        <w:t xml:space="preserve"> Tailoring Vanadium Dioxide Film Orientation Using Nanosheets: a Combined Microscopy, Diffraction, Transport, and Soft X-Ray in Transmission Study. </w:t>
      </w:r>
      <w:r>
        <w:rPr>
          <w:rFonts w:ascii="Calibri" w:hAnsi="Calibri" w:cs="Calibri"/>
          <w:i/>
          <w:iCs/>
          <w:sz w:val="22"/>
          <w:lang w:val="en-GB"/>
        </w:rPr>
        <w:t>Advanced Functional Materials</w:t>
      </w:r>
      <w:r>
        <w:rPr>
          <w:rFonts w:ascii="Calibri" w:hAnsi="Calibri" w:cs="Calibri"/>
          <w:sz w:val="22"/>
          <w:lang w:val="en-GB"/>
        </w:rPr>
        <w:t xml:space="preserve"> </w:t>
      </w:r>
      <w:r>
        <w:rPr>
          <w:rFonts w:ascii="Calibri" w:hAnsi="Calibri" w:cs="Calibri"/>
          <w:b/>
          <w:bCs/>
          <w:sz w:val="22"/>
          <w:lang w:val="en-GB"/>
        </w:rPr>
        <w:t>30</w:t>
      </w:r>
      <w:r>
        <w:rPr>
          <w:rFonts w:ascii="Calibri" w:hAnsi="Calibri" w:cs="Calibri"/>
          <w:sz w:val="22"/>
          <w:lang w:val="en-GB"/>
        </w:rPr>
        <w:t>, 1900028 (2020).</w:t>
      </w:r>
    </w:p>
    <w:p w14:paraId="17F62490" w14:textId="77777777" w:rsidR="00A9443A" w:rsidRDefault="006227CE">
      <w:pPr>
        <w:pStyle w:val="Bibliography"/>
        <w:rPr>
          <w:rFonts w:ascii="Calibri" w:hAnsi="Calibri" w:cs="Calibri"/>
          <w:sz w:val="22"/>
          <w:lang w:val="en-GB"/>
        </w:rPr>
      </w:pPr>
      <w:r>
        <w:rPr>
          <w:rFonts w:ascii="Calibri" w:hAnsi="Calibri" w:cs="Calibri"/>
          <w:sz w:val="22"/>
          <w:lang w:val="en-GB"/>
        </w:rPr>
        <w:t>5.</w:t>
      </w:r>
      <w:r>
        <w:rPr>
          <w:rFonts w:ascii="Calibri" w:hAnsi="Calibri" w:cs="Calibri"/>
          <w:sz w:val="22"/>
          <w:lang w:val="en-GB"/>
        </w:rPr>
        <w:tab/>
        <w:t xml:space="preserve">Le, P. T. P., Huang, S., Nguyen, M. D., ten Elshof, J. E. &amp; Koster, G. Tuning the metal insulator transition of vanadium dioxide on oxide nanosheets. </w:t>
      </w:r>
      <w:r>
        <w:rPr>
          <w:rFonts w:ascii="Calibri" w:hAnsi="Calibri" w:cs="Calibri"/>
          <w:i/>
          <w:iCs/>
          <w:sz w:val="22"/>
          <w:lang w:val="en-GB"/>
        </w:rPr>
        <w:t>Applied Physics Letters</w:t>
      </w:r>
      <w:r>
        <w:rPr>
          <w:rFonts w:ascii="Calibri" w:hAnsi="Calibri" w:cs="Calibri"/>
          <w:sz w:val="22"/>
          <w:lang w:val="en-GB"/>
        </w:rPr>
        <w:t xml:space="preserve"> </w:t>
      </w:r>
      <w:r>
        <w:rPr>
          <w:rFonts w:ascii="Calibri" w:hAnsi="Calibri" w:cs="Calibri"/>
          <w:b/>
          <w:bCs/>
          <w:sz w:val="22"/>
          <w:lang w:val="en-GB"/>
        </w:rPr>
        <w:t>119</w:t>
      </w:r>
      <w:r>
        <w:rPr>
          <w:rFonts w:ascii="Calibri" w:hAnsi="Calibri" w:cs="Calibri"/>
          <w:sz w:val="22"/>
          <w:lang w:val="en-GB"/>
        </w:rPr>
        <w:t>, 081601 (2021).</w:t>
      </w:r>
    </w:p>
    <w:p w14:paraId="58E568C0" w14:textId="77777777" w:rsidR="00A9443A" w:rsidRDefault="006227CE">
      <w:pPr>
        <w:pStyle w:val="Bibliography"/>
        <w:rPr>
          <w:rFonts w:ascii="Calibri" w:hAnsi="Calibri" w:cs="Calibri"/>
          <w:sz w:val="22"/>
          <w:lang w:val="en-GB"/>
        </w:rPr>
      </w:pPr>
      <w:r>
        <w:rPr>
          <w:rFonts w:ascii="Calibri" w:hAnsi="Calibri" w:cs="Calibri"/>
          <w:sz w:val="22"/>
          <w:lang w:val="en-GB"/>
        </w:rPr>
        <w:t>6.</w:t>
      </w:r>
      <w:r>
        <w:rPr>
          <w:rFonts w:ascii="Calibri" w:hAnsi="Calibri" w:cs="Calibri"/>
          <w:sz w:val="22"/>
          <w:lang w:val="en-GB"/>
        </w:rPr>
        <w:tab/>
        <w:t xml:space="preserve">Le, P. T. P. </w:t>
      </w:r>
      <w:r>
        <w:rPr>
          <w:rFonts w:ascii="Calibri" w:hAnsi="Calibri" w:cs="Calibri"/>
          <w:i/>
          <w:iCs/>
          <w:sz w:val="22"/>
          <w:lang w:val="en-GB"/>
        </w:rPr>
        <w:t>et al.</w:t>
      </w:r>
      <w:r>
        <w:rPr>
          <w:rFonts w:ascii="Calibri" w:hAnsi="Calibri" w:cs="Calibri"/>
          <w:sz w:val="22"/>
          <w:lang w:val="en-GB"/>
        </w:rPr>
        <w:t xml:space="preserve"> Correlated Metals Transparent Conductors with High UV to Visible Transparency on Amorphous Substrates. </w:t>
      </w:r>
      <w:r>
        <w:rPr>
          <w:rFonts w:ascii="Calibri" w:hAnsi="Calibri" w:cs="Calibri"/>
          <w:i/>
          <w:iCs/>
          <w:sz w:val="22"/>
          <w:lang w:val="en-GB"/>
        </w:rPr>
        <w:t>Advanced Materials Interfaces</w:t>
      </w:r>
      <w:r>
        <w:rPr>
          <w:rFonts w:ascii="Calibri" w:hAnsi="Calibri" w:cs="Calibri"/>
          <w:sz w:val="22"/>
          <w:lang w:val="en-GB"/>
        </w:rPr>
        <w:t xml:space="preserve"> </w:t>
      </w:r>
      <w:r>
        <w:rPr>
          <w:rFonts w:ascii="Calibri" w:hAnsi="Calibri" w:cs="Calibri"/>
          <w:b/>
          <w:bCs/>
          <w:sz w:val="22"/>
          <w:lang w:val="en-GB"/>
        </w:rPr>
        <w:t>10</w:t>
      </w:r>
      <w:r>
        <w:rPr>
          <w:rFonts w:ascii="Calibri" w:hAnsi="Calibri" w:cs="Calibri"/>
          <w:sz w:val="22"/>
          <w:lang w:val="en-GB"/>
        </w:rPr>
        <w:t>, 2201335 (2023).</w:t>
      </w:r>
    </w:p>
    <w:p w14:paraId="73F07B2E" w14:textId="77777777" w:rsidR="00A9443A" w:rsidRDefault="006227CE">
      <w:pPr>
        <w:pStyle w:val="Bibliography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  <w:lang w:val="en-GB"/>
        </w:rPr>
        <w:t>7.</w:t>
      </w:r>
      <w:r>
        <w:rPr>
          <w:rFonts w:ascii="Calibri" w:hAnsi="Calibri" w:cs="Calibri"/>
          <w:sz w:val="22"/>
          <w:lang w:val="en-GB"/>
        </w:rPr>
        <w:tab/>
        <w:t xml:space="preserve">Le, P. T. P., ten Elshof, J. E. &amp; Koster, G. Shape Control of Ca2Nb3O10 Nanosheets: Paving the Way for Monolithic Integration of Functional Oxides with CMOS. </w:t>
      </w:r>
      <w:r>
        <w:rPr>
          <w:rFonts w:ascii="Calibri" w:hAnsi="Calibri" w:cs="Calibri"/>
          <w:i/>
          <w:iCs/>
          <w:sz w:val="22"/>
        </w:rPr>
        <w:t>ACS Appl. Nano Mater.</w:t>
      </w:r>
      <w:r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b/>
          <w:bCs/>
          <w:sz w:val="22"/>
        </w:rPr>
        <w:t>3</w:t>
      </w:r>
      <w:r>
        <w:rPr>
          <w:rFonts w:ascii="Calibri" w:hAnsi="Calibri" w:cs="Calibri"/>
          <w:sz w:val="22"/>
        </w:rPr>
        <w:t>, 9487–9493 (2020).</w:t>
      </w:r>
    </w:p>
    <w:p w14:paraId="6BB28BBE" w14:textId="77777777" w:rsidR="00A9443A" w:rsidRDefault="00A9443A">
      <w:pPr>
        <w:rPr>
          <w:rFonts w:asciiTheme="minorHAnsi" w:hAnsiTheme="minorHAnsi"/>
          <w:sz w:val="22"/>
          <w:lang w:val="en-GB"/>
        </w:rPr>
      </w:pPr>
    </w:p>
    <w:sectPr w:rsidR="00A9443A">
      <w:pgSz w:w="11906" w:h="16838"/>
      <w:pgMar w:top="1440" w:right="1440" w:bottom="1440" w:left="144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13F0A"/>
    <w:multiLevelType w:val="multilevel"/>
    <w:tmpl w:val="612C31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C69666C"/>
    <w:multiLevelType w:val="multilevel"/>
    <w:tmpl w:val="75C8DA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81662229">
    <w:abstractNumId w:val="1"/>
  </w:num>
  <w:num w:numId="2" w16cid:durableId="1174226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3A"/>
    <w:rsid w:val="00060C3E"/>
    <w:rsid w:val="00173069"/>
    <w:rsid w:val="00220EFC"/>
    <w:rsid w:val="00275745"/>
    <w:rsid w:val="004D08C1"/>
    <w:rsid w:val="006227CE"/>
    <w:rsid w:val="00644435"/>
    <w:rsid w:val="009474BA"/>
    <w:rsid w:val="00A9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93EB0"/>
  <w15:docId w15:val="{8DA225E7-064A-46A7-BD7C-2FA9368A2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nl-N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997A4E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97A4E"/>
    <w:rPr>
      <w:rFonts w:asciiTheme="minorHAnsi" w:hAnsiTheme="minorHAnsi"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E45421"/>
    <w:rPr>
      <w:rFonts w:asciiTheme="minorHAnsi" w:hAnsiTheme="minorHAnsi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95D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95D47"/>
    <w:rPr>
      <w:color w:val="605E5C"/>
      <w:shd w:val="clear" w:color="auto" w:fill="E1DFDD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styleId="CommentText">
    <w:name w:val="annotation text"/>
    <w:basedOn w:val="Normal"/>
    <w:link w:val="CommentTextChar"/>
    <w:uiPriority w:val="99"/>
    <w:unhideWhenUsed/>
    <w:rsid w:val="00997A4E"/>
    <w:pPr>
      <w:spacing w:line="240" w:lineRule="auto"/>
    </w:pPr>
    <w:rPr>
      <w:rFonts w:asciiTheme="minorHAnsi" w:hAnsiTheme="minorHAnsi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7427A"/>
    <w:pPr>
      <w:ind w:left="720"/>
      <w:contextualSpacing/>
    </w:pPr>
    <w:rPr>
      <w:rFonts w:asciiTheme="minorHAnsi" w:hAnsiTheme="minorHAnsi"/>
      <w:sz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E45421"/>
    <w:rPr>
      <w:rFonts w:ascii="Times New Roman" w:hAnsi="Times New Roman"/>
      <w:b/>
      <w:bCs/>
      <w:lang w:val="nl-NL"/>
    </w:rPr>
  </w:style>
  <w:style w:type="paragraph" w:styleId="Revision">
    <w:name w:val="Revision"/>
    <w:uiPriority w:val="99"/>
    <w:semiHidden/>
    <w:qFormat/>
    <w:rsid w:val="00E45421"/>
  </w:style>
  <w:style w:type="paragraph" w:styleId="Bibliography">
    <w:name w:val="Bibliography"/>
    <w:basedOn w:val="Normal"/>
    <w:next w:val="Normal"/>
    <w:uiPriority w:val="37"/>
    <w:unhideWhenUsed/>
    <w:qFormat/>
    <w:rsid w:val="001D425D"/>
    <w:pPr>
      <w:tabs>
        <w:tab w:val="left" w:pos="264"/>
      </w:tabs>
      <w:spacing w:after="0" w:line="480" w:lineRule="auto"/>
      <w:ind w:left="264" w:hanging="2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.baeumer@utwente.n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.p.p.le@utwente.nl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E8480-C69F-419E-ADFE-73E5E983F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5</Pages>
  <Words>1068</Words>
  <Characters>5875</Characters>
  <Application>Microsoft Office Word</Application>
  <DocSecurity>0</DocSecurity>
  <Lines>48</Lines>
  <Paragraphs>13</Paragraphs>
  <ScaleCrop>false</ScaleCrop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Le, Phú (UT-TNW)</dc:creator>
  <dc:description/>
  <cp:lastModifiedBy>Le, Phú (UT-TNW)</cp:lastModifiedBy>
  <cp:revision>87</cp:revision>
  <dcterms:created xsi:type="dcterms:W3CDTF">2025-04-23T12:27:00Z</dcterms:created>
  <dcterms:modified xsi:type="dcterms:W3CDTF">2025-09-19T14:27:00Z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id="78MNpz6t"/&gt;&lt;style id="http://www.zotero.org/styles/nature" hasBibliography="1" bibliographyStyleHasBeenSet="1"/&gt;&lt;prefs&gt;&lt;pref name="fieldType" value="Field"/&gt;&lt;/prefs&gt;&lt;/data&gt;</vt:lpwstr>
  </property>
</Properties>
</file>