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center"/>
        <w:rPr>
          <w:rFonts w:hint="default" w:ascii="Times New Roman" w:hAnsi="Times New Roman" w:cs="Times New Roman"/>
          <w:b/>
          <w:bCs/>
          <w:sz w:val="44"/>
          <w:szCs w:val="44"/>
          <w:lang w:val="en-US" w:eastAsia="zh-CN"/>
        </w:rPr>
      </w:pPr>
      <w:bookmarkStart w:id="0" w:name="_GoBack"/>
      <w:r>
        <w:rPr>
          <w:rFonts w:hint="default" w:ascii="Times New Roman" w:hAnsi="Times New Roman" w:cs="Times New Roman"/>
          <w:b/>
          <w:bCs/>
          <w:sz w:val="44"/>
          <w:szCs w:val="44"/>
          <w:lang w:val="en-US" w:eastAsia="zh-CN"/>
        </w:rPr>
        <w:t>The Association Between Air Pollution and Cardiovascular Health in Middle-Aged and Older Chinese Adults: Cross-Sectional and Prospective Analyses</w:t>
      </w:r>
    </w:p>
    <w:p>
      <w:pPr>
        <w:keepNext w:val="0"/>
        <w:keepLines w:val="0"/>
        <w:pageBreakBefore w:val="0"/>
        <w:widowControl w:val="0"/>
        <w:kinsoku/>
        <w:wordWrap/>
        <w:overflowPunct/>
        <w:topLinePunct w:val="0"/>
        <w:autoSpaceDE/>
        <w:autoSpaceDN/>
        <w:bidi w:val="0"/>
        <w:adjustRightInd/>
        <w:snapToGrid/>
        <w:spacing w:before="360" w:line="480" w:lineRule="auto"/>
        <w:jc w:val="center"/>
        <w:textAlignment w:val="auto"/>
        <w:rPr>
          <w:rFonts w:hint="default" w:ascii="Times New Roman" w:hAnsi="Times New Roman" w:eastAsia="宋体" w:cs="Times New Roman"/>
          <w:b w:val="0"/>
          <w:bCs w:val="0"/>
          <w:i/>
          <w:iCs/>
          <w:sz w:val="24"/>
          <w:szCs w:val="24"/>
          <w:lang w:val="en-US" w:eastAsia="zh-CN"/>
        </w:rPr>
      </w:pPr>
      <w:r>
        <w:rPr>
          <w:rFonts w:hint="default" w:ascii="Times New Roman" w:hAnsi="Times New Roman" w:eastAsia="宋体" w:cs="Times New Roman"/>
          <w:b w:val="0"/>
          <w:bCs w:val="0"/>
          <w:i/>
          <w:iCs/>
          <w:sz w:val="24"/>
          <w:szCs w:val="24"/>
          <w:lang w:val="en-US" w:eastAsia="zh-CN"/>
        </w:rPr>
        <w:t>Zhening Xu</w:t>
      </w:r>
      <w:r>
        <w:rPr>
          <w:rFonts w:hint="default" w:ascii="Times New Roman" w:hAnsi="Times New Roman" w:eastAsia="宋体" w:cs="Times New Roman"/>
          <w:b w:val="0"/>
          <w:bCs w:val="0"/>
          <w:i/>
          <w:iCs/>
          <w:sz w:val="24"/>
          <w:szCs w:val="24"/>
          <w:vertAlign w:val="superscript"/>
          <w:lang w:val="en-US" w:eastAsia="zh-CN"/>
        </w:rPr>
        <w:t xml:space="preserve">1# </w:t>
      </w:r>
      <w:r>
        <w:rPr>
          <w:rFonts w:hint="default" w:ascii="Times New Roman" w:hAnsi="Times New Roman" w:eastAsia="宋体" w:cs="Times New Roman"/>
          <w:b w:val="0"/>
          <w:bCs w:val="0"/>
          <w:i/>
          <w:iCs/>
          <w:sz w:val="24"/>
          <w:szCs w:val="24"/>
          <w:lang w:val="en-US" w:eastAsia="zh-CN"/>
        </w:rPr>
        <w:t>, Yuyu Cui</w:t>
      </w:r>
      <w:r>
        <w:rPr>
          <w:rFonts w:hint="default" w:ascii="Times New Roman" w:hAnsi="Times New Roman" w:eastAsia="宋体" w:cs="Times New Roman"/>
          <w:b w:val="0"/>
          <w:bCs w:val="0"/>
          <w:i/>
          <w:iCs/>
          <w:sz w:val="24"/>
          <w:szCs w:val="24"/>
          <w:vertAlign w:val="superscript"/>
          <w:lang w:val="en-US" w:eastAsia="zh-CN"/>
        </w:rPr>
        <w:t>1#</w:t>
      </w:r>
      <w:r>
        <w:rPr>
          <w:rFonts w:hint="default" w:ascii="Times New Roman" w:hAnsi="Times New Roman" w:eastAsia="宋体" w:cs="Times New Roman"/>
          <w:b w:val="0"/>
          <w:bCs w:val="0"/>
          <w:i/>
          <w:iCs/>
          <w:sz w:val="24"/>
          <w:szCs w:val="24"/>
          <w:lang w:val="en-US" w:eastAsia="zh-CN"/>
        </w:rPr>
        <w:t xml:space="preserve"> , Lijuan Ding</w:t>
      </w:r>
      <w:r>
        <w:rPr>
          <w:rFonts w:hint="default" w:ascii="Times New Roman" w:hAnsi="Times New Roman" w:eastAsia="宋体" w:cs="Times New Roman"/>
          <w:b w:val="0"/>
          <w:bCs w:val="0"/>
          <w:i/>
          <w:iCs/>
          <w:sz w:val="24"/>
          <w:szCs w:val="24"/>
          <w:vertAlign w:val="superscript"/>
          <w:lang w:val="en-US" w:eastAsia="zh-CN"/>
        </w:rPr>
        <w:t>1</w:t>
      </w:r>
      <w:r>
        <w:rPr>
          <w:rFonts w:hint="default" w:ascii="Times New Roman" w:hAnsi="Times New Roman" w:eastAsia="宋体" w:cs="Times New Roman"/>
          <w:b w:val="0"/>
          <w:bCs w:val="0"/>
          <w:i/>
          <w:iCs/>
          <w:sz w:val="24"/>
          <w:szCs w:val="24"/>
          <w:lang w:val="en-US" w:eastAsia="zh-CN"/>
        </w:rPr>
        <w:t xml:space="preserve"> , Xiaoyan Zhou</w:t>
      </w:r>
      <w:r>
        <w:rPr>
          <w:rStyle w:val="7"/>
          <w:rFonts w:hint="default" w:ascii="Times New Roman" w:hAnsi="Times New Roman" w:eastAsia="宋体" w:cs="Times New Roman"/>
          <w:b w:val="0"/>
          <w:bCs w:val="0"/>
          <w:i/>
          <w:iCs/>
          <w:sz w:val="24"/>
          <w:szCs w:val="24"/>
          <w:lang w:val="en-US" w:eastAsia="zh-CN"/>
        </w:rPr>
        <w:footnoteReference w:id="0"/>
      </w:r>
      <w:r>
        <w:rPr>
          <w:rFonts w:hint="default" w:ascii="Times New Roman" w:hAnsi="Times New Roman" w:eastAsia="宋体" w:cs="Times New Roman"/>
          <w:b w:val="0"/>
          <w:bCs w:val="0"/>
          <w:i/>
          <w:iCs/>
          <w:sz w:val="24"/>
          <w:szCs w:val="24"/>
          <w:lang w:val="en-US" w:eastAsia="zh-CN"/>
        </w:rPr>
        <w:t>* ,Lingxia Li</w:t>
      </w:r>
      <w:r>
        <w:rPr>
          <w:rFonts w:hint="default" w:ascii="Times New Roman" w:hAnsi="Times New Roman" w:eastAsia="宋体" w:cs="Times New Roman"/>
          <w:b w:val="0"/>
          <w:bCs w:val="0"/>
          <w:i/>
          <w:iCs/>
          <w:sz w:val="24"/>
          <w:szCs w:val="24"/>
          <w:vertAlign w:val="superscript"/>
          <w:lang w:val="en-US" w:eastAsia="zh-CN"/>
        </w:rPr>
        <w:t>2,3</w:t>
      </w:r>
      <w:r>
        <w:rPr>
          <w:rFonts w:hint="default" w:ascii="Times New Roman" w:hAnsi="Times New Roman" w:eastAsia="宋体" w:cs="Times New Roman"/>
          <w:b w:val="0"/>
          <w:bCs w:val="0"/>
          <w:i/>
          <w:iCs/>
          <w:sz w:val="24"/>
          <w:szCs w:val="24"/>
          <w:lang w:val="en-US" w:eastAsia="zh-CN"/>
        </w:rPr>
        <w:t>*</w:t>
      </w:r>
    </w:p>
    <w:p>
      <w:pPr>
        <w:spacing w:line="480" w:lineRule="auto"/>
        <w:jc w:val="center"/>
        <w:rPr>
          <w:rFonts w:hint="default" w:ascii="Times New Roman" w:hAnsi="Times New Roman" w:eastAsia="宋体" w:cs="Times New Roman"/>
          <w:b w:val="0"/>
          <w:bCs w:val="0"/>
          <w:i/>
          <w:iCs/>
          <w:sz w:val="24"/>
          <w:szCs w:val="24"/>
          <w:vertAlign w:val="baseline"/>
          <w:lang w:val="en-US" w:eastAsia="zh-CN"/>
        </w:rPr>
      </w:pPr>
      <w:r>
        <w:rPr>
          <w:rFonts w:hint="default" w:ascii="Times New Roman" w:hAnsi="Times New Roman" w:eastAsia="宋体" w:cs="Times New Roman"/>
          <w:b w:val="0"/>
          <w:bCs w:val="0"/>
          <w:sz w:val="24"/>
          <w:szCs w:val="24"/>
          <w:vertAlign w:val="baseline"/>
          <w:lang w:val="en-US" w:eastAsia="zh-CN"/>
        </w:rPr>
        <w:t xml:space="preserve">¹ </w:t>
      </w:r>
      <w:r>
        <w:rPr>
          <w:rFonts w:hint="default" w:ascii="Times New Roman" w:hAnsi="Times New Roman" w:eastAsia="宋体" w:cs="Times New Roman"/>
          <w:b w:val="0"/>
          <w:bCs w:val="0"/>
          <w:i/>
          <w:iCs/>
          <w:sz w:val="24"/>
          <w:szCs w:val="24"/>
          <w:vertAlign w:val="baseline"/>
          <w:lang w:val="en-US" w:eastAsia="zh-CN"/>
        </w:rPr>
        <w:t>Yan'an Medical college of Yan'an University, Yan'an, Shaanxi 716000, China</w:t>
      </w:r>
    </w:p>
    <w:p>
      <w:pPr>
        <w:spacing w:line="480" w:lineRule="auto"/>
        <w:jc w:val="center"/>
        <w:rPr>
          <w:rFonts w:hint="default" w:ascii="Times New Roman" w:hAnsi="Times New Roman" w:eastAsia="宋体" w:cs="Times New Roman"/>
          <w:b w:val="0"/>
          <w:bCs w:val="0"/>
          <w:i/>
          <w:iCs/>
          <w:sz w:val="24"/>
          <w:szCs w:val="24"/>
          <w:vertAlign w:val="baseline"/>
          <w:lang w:val="en-US" w:eastAsia="zh-CN"/>
        </w:rPr>
      </w:pPr>
      <w:r>
        <w:rPr>
          <w:rFonts w:hint="default" w:ascii="Times New Roman" w:hAnsi="Times New Roman" w:eastAsia="宋体" w:cs="Times New Roman"/>
          <w:b w:val="0"/>
          <w:bCs w:val="0"/>
          <w:i/>
          <w:iCs/>
          <w:sz w:val="24"/>
          <w:szCs w:val="24"/>
          <w:vertAlign w:val="baseline"/>
          <w:lang w:val="en-US" w:eastAsia="zh-CN"/>
        </w:rPr>
        <w:t>² Department of Anesthesiology, Yan’an University Affiliated Hospital, Yan’an, Shaanxi, China</w:t>
      </w:r>
    </w:p>
    <w:p>
      <w:pPr>
        <w:spacing w:line="480" w:lineRule="auto"/>
        <w:jc w:val="center"/>
        <w:rPr>
          <w:rFonts w:hint="default" w:ascii="Times New Roman" w:hAnsi="Times New Roman" w:eastAsia="宋体" w:cs="Times New Roman"/>
          <w:b w:val="0"/>
          <w:bCs w:val="0"/>
          <w:i/>
          <w:iCs/>
          <w:sz w:val="24"/>
          <w:szCs w:val="24"/>
          <w:vertAlign w:val="baseline"/>
          <w:lang w:val="en-US" w:eastAsia="zh-CN"/>
        </w:rPr>
      </w:pPr>
      <w:r>
        <w:rPr>
          <w:rFonts w:hint="default" w:ascii="Times New Roman" w:hAnsi="Times New Roman" w:eastAsia="宋体" w:cs="Times New Roman"/>
          <w:b w:val="0"/>
          <w:bCs w:val="0"/>
          <w:i/>
          <w:iCs/>
          <w:sz w:val="24"/>
          <w:szCs w:val="24"/>
          <w:vertAlign w:val="superscript"/>
          <w:lang w:val="en-US" w:eastAsia="zh-CN"/>
        </w:rPr>
        <w:t>3</w:t>
      </w:r>
      <w:r>
        <w:rPr>
          <w:rFonts w:hint="default" w:ascii="Times New Roman" w:hAnsi="Times New Roman" w:eastAsia="宋体" w:cs="Times New Roman"/>
          <w:b w:val="0"/>
          <w:bCs w:val="0"/>
          <w:i/>
          <w:iCs/>
          <w:sz w:val="24"/>
          <w:szCs w:val="24"/>
          <w:vertAlign w:val="baseline"/>
          <w:lang w:val="en-US" w:eastAsia="zh-CN"/>
        </w:rPr>
        <w:t>Yan'an Key Laboratory of Anesthesiology, Yan'an, Shaanxi, China</w:t>
      </w:r>
    </w:p>
    <w:p>
      <w:pPr>
        <w:spacing w:line="480" w:lineRule="auto"/>
        <w:jc w:val="center"/>
        <w:rPr>
          <w:rFonts w:hint="default" w:ascii="Times New Roman" w:hAnsi="Times New Roman" w:eastAsia="宋体" w:cs="Times New Roman"/>
          <w:b w:val="0"/>
          <w:bCs w:val="0"/>
          <w:i/>
          <w:iCs/>
          <w:color w:val="2E75B6" w:themeColor="accent1" w:themeShade="BF"/>
          <w:sz w:val="24"/>
          <w:szCs w:val="24"/>
          <w:u w:val="single"/>
          <w:vertAlign w:val="baseline"/>
          <w:lang w:val="en-US" w:eastAsia="zh-CN"/>
        </w:rPr>
      </w:pPr>
      <w:r>
        <w:rPr>
          <w:rFonts w:hint="default" w:ascii="Times New Roman" w:hAnsi="Times New Roman" w:eastAsia="宋体" w:cs="Times New Roman"/>
          <w:b w:val="0"/>
          <w:bCs w:val="0"/>
          <w:i/>
          <w:iCs/>
          <w:sz w:val="24"/>
          <w:szCs w:val="24"/>
          <w:vertAlign w:val="baseline"/>
          <w:lang w:val="en-US" w:eastAsia="zh-CN"/>
        </w:rPr>
        <w:t>*Correspondence:</w:t>
      </w:r>
      <w:r>
        <w:rPr>
          <w:rFonts w:hint="default" w:ascii="Times New Roman" w:hAnsi="Times New Roman" w:eastAsia="宋体" w:cs="Times New Roman"/>
          <w:b w:val="0"/>
          <w:bCs w:val="0"/>
          <w:i/>
          <w:iCs/>
          <w:color w:val="2E75B6" w:themeColor="accent1" w:themeShade="BF"/>
          <w:sz w:val="24"/>
          <w:szCs w:val="24"/>
          <w:u w:val="single"/>
          <w:vertAlign w:val="baseline"/>
          <w:lang w:val="en-US" w:eastAsia="zh-CN"/>
        </w:rPr>
        <w:t xml:space="preserve"> </w:t>
      </w:r>
      <w:r>
        <w:rPr>
          <w:rFonts w:hint="default" w:ascii="Times New Roman" w:hAnsi="Times New Roman" w:eastAsia="宋体" w:cs="Times New Roman"/>
          <w:b w:val="0"/>
          <w:bCs w:val="0"/>
          <w:i/>
          <w:iCs/>
          <w:color w:val="000000" w:themeColor="text1"/>
          <w:sz w:val="24"/>
          <w:szCs w:val="24"/>
          <w:u w:val="none"/>
          <w:vertAlign w:val="baseline"/>
          <w:lang w:val="en-US" w:eastAsia="zh-CN"/>
          <w14:textFill>
            <w14:solidFill>
              <w14:schemeClr w14:val="tx1"/>
            </w14:solidFill>
          </w14:textFill>
        </w:rPr>
        <w:t>Xiaoyan Zhou (Email:</w:t>
      </w:r>
      <w:r>
        <w:rPr>
          <w:rFonts w:hint="default" w:ascii="Times New Roman" w:hAnsi="Times New Roman" w:eastAsia="宋体" w:cs="Times New Roman"/>
          <w:b w:val="0"/>
          <w:bCs w:val="0"/>
          <w:i/>
          <w:iCs/>
          <w:color w:val="2E75B6" w:themeColor="accent1" w:themeShade="BF"/>
          <w:sz w:val="24"/>
          <w:szCs w:val="24"/>
          <w:u w:val="single"/>
          <w:vertAlign w:val="baseline"/>
          <w:lang w:val="en-US" w:eastAsia="zh-CN"/>
        </w:rPr>
        <w:t xml:space="preserve"> 13783147053@163.com)</w:t>
      </w:r>
      <w:r>
        <w:rPr>
          <w:rFonts w:hint="default" w:ascii="Times New Roman" w:hAnsi="Times New Roman" w:eastAsia="宋体" w:cs="Times New Roman"/>
          <w:b w:val="0"/>
          <w:bCs w:val="0"/>
          <w:i/>
          <w:iCs/>
          <w:color w:val="000000" w:themeColor="text1"/>
          <w:sz w:val="24"/>
          <w:szCs w:val="24"/>
          <w:u w:val="none"/>
          <w:vertAlign w:val="baseline"/>
          <w:lang w:val="en-US" w:eastAsia="zh-CN"/>
          <w14:textFill>
            <w14:solidFill>
              <w14:schemeClr w14:val="tx1"/>
            </w14:solidFill>
          </w14:textFill>
        </w:rPr>
        <w:t xml:space="preserve">; Lingxia Li (Email: </w:t>
      </w:r>
      <w:r>
        <w:rPr>
          <w:rFonts w:hint="default" w:ascii="Times New Roman" w:hAnsi="Times New Roman" w:eastAsia="宋体" w:cs="Times New Roman"/>
          <w:b w:val="0"/>
          <w:bCs w:val="0"/>
          <w:i/>
          <w:iCs/>
          <w:color w:val="2E75B6" w:themeColor="accent1" w:themeShade="BF"/>
          <w:sz w:val="24"/>
          <w:szCs w:val="24"/>
          <w:u w:val="single"/>
          <w:vertAlign w:val="baseline"/>
          <w:lang w:val="en-US" w:eastAsia="zh-CN"/>
        </w:rPr>
        <w:fldChar w:fldCharType="begin"/>
      </w:r>
      <w:r>
        <w:rPr>
          <w:rFonts w:hint="default" w:ascii="Times New Roman" w:hAnsi="Times New Roman" w:eastAsia="宋体" w:cs="Times New Roman"/>
          <w:b w:val="0"/>
          <w:bCs w:val="0"/>
          <w:i/>
          <w:iCs/>
          <w:color w:val="2E75B6" w:themeColor="accent1" w:themeShade="BF"/>
          <w:sz w:val="24"/>
          <w:szCs w:val="24"/>
          <w:u w:val="single"/>
          <w:vertAlign w:val="baseline"/>
          <w:lang w:val="en-US" w:eastAsia="zh-CN"/>
        </w:rPr>
        <w:instrText xml:space="preserve"> HYPERLINK "mailto:18357581372@163.com)" </w:instrText>
      </w:r>
      <w:r>
        <w:rPr>
          <w:rFonts w:hint="default" w:ascii="Times New Roman" w:hAnsi="Times New Roman" w:eastAsia="宋体" w:cs="Times New Roman"/>
          <w:b w:val="0"/>
          <w:bCs w:val="0"/>
          <w:i/>
          <w:iCs/>
          <w:color w:val="2E75B6" w:themeColor="accent1" w:themeShade="BF"/>
          <w:sz w:val="24"/>
          <w:szCs w:val="24"/>
          <w:u w:val="single"/>
          <w:vertAlign w:val="baseline"/>
          <w:lang w:val="en-US" w:eastAsia="zh-CN"/>
        </w:rPr>
        <w:fldChar w:fldCharType="separate"/>
      </w:r>
      <w:r>
        <w:rPr>
          <w:rStyle w:val="6"/>
          <w:rFonts w:hint="default" w:ascii="Times New Roman" w:hAnsi="Times New Roman" w:eastAsia="宋体" w:cs="Times New Roman"/>
          <w:b w:val="0"/>
          <w:bCs w:val="0"/>
          <w:i/>
          <w:iCs/>
          <w:color w:val="2E75B6" w:themeColor="accent1" w:themeShade="BF"/>
          <w:sz w:val="24"/>
          <w:szCs w:val="24"/>
          <w:vertAlign w:val="baseline"/>
          <w:lang w:val="en-US" w:eastAsia="zh-CN"/>
        </w:rPr>
        <w:t>18357581372@163.com)</w:t>
      </w:r>
      <w:r>
        <w:rPr>
          <w:rFonts w:hint="default" w:ascii="Times New Roman" w:hAnsi="Times New Roman" w:eastAsia="宋体" w:cs="Times New Roman"/>
          <w:b w:val="0"/>
          <w:bCs w:val="0"/>
          <w:i/>
          <w:iCs/>
          <w:color w:val="2E75B6" w:themeColor="accent1" w:themeShade="BF"/>
          <w:sz w:val="24"/>
          <w:szCs w:val="24"/>
          <w:u w:val="single"/>
          <w:vertAlign w:val="baseline"/>
          <w:lang w:val="en-US" w:eastAsia="zh-CN"/>
        </w:rPr>
        <w:fldChar w:fldCharType="end"/>
      </w:r>
    </w:p>
    <w:p>
      <w:pPr>
        <w:spacing w:line="480" w:lineRule="auto"/>
        <w:jc w:val="center"/>
        <w:rPr>
          <w:rFonts w:hint="default" w:ascii="Times New Roman" w:hAnsi="Times New Roman" w:eastAsia="宋体" w:cs="Times New Roman"/>
          <w:b w:val="0"/>
          <w:bCs w:val="0"/>
          <w:i/>
          <w:iCs/>
          <w:color w:val="000000" w:themeColor="text1"/>
          <w:sz w:val="24"/>
          <w:szCs w:val="24"/>
          <w:u w:val="none"/>
          <w:vertAlign w:val="baseline"/>
          <w:lang w:val="en-US" w:eastAsia="zh-CN"/>
          <w14:textFill>
            <w14:solidFill>
              <w14:schemeClr w14:val="tx1"/>
            </w14:solidFill>
          </w14:textFill>
        </w:rPr>
      </w:pPr>
      <w:r>
        <w:rPr>
          <w:rFonts w:hint="default" w:ascii="Times New Roman" w:hAnsi="Times New Roman" w:eastAsia="宋体" w:cs="Times New Roman"/>
          <w:b w:val="0"/>
          <w:bCs w:val="0"/>
          <w:i/>
          <w:iCs/>
          <w:color w:val="000000" w:themeColor="text1"/>
          <w:sz w:val="24"/>
          <w:szCs w:val="24"/>
          <w:u w:val="none"/>
          <w:vertAlign w:val="superscript"/>
          <w:lang w:val="en-US" w:eastAsia="zh-CN"/>
          <w14:textFill>
            <w14:solidFill>
              <w14:schemeClr w14:val="tx1"/>
            </w14:solidFill>
          </w14:textFill>
        </w:rPr>
        <w:t>#</w:t>
      </w:r>
      <w:r>
        <w:rPr>
          <w:rFonts w:hint="default" w:ascii="Times New Roman" w:hAnsi="Times New Roman" w:eastAsia="宋体" w:cs="Times New Roman"/>
          <w:b w:val="0"/>
          <w:bCs w:val="0"/>
          <w:i/>
          <w:iCs/>
          <w:color w:val="000000" w:themeColor="text1"/>
          <w:sz w:val="24"/>
          <w:szCs w:val="24"/>
          <w:u w:val="none"/>
          <w:vertAlign w:val="baseline"/>
          <w:lang w:val="en-US" w:eastAsia="zh-CN"/>
          <w14:textFill>
            <w14:solidFill>
              <w14:schemeClr w14:val="tx1"/>
            </w14:solidFill>
          </w14:textFill>
        </w:rPr>
        <w:t xml:space="preserve"> These authors contributed equally to this work.</w:t>
      </w:r>
    </w:p>
    <w:p>
      <w:pPr>
        <w:spacing w:line="480" w:lineRule="auto"/>
        <w:jc w:val="both"/>
        <w:rPr>
          <w:rFonts w:hint="default" w:ascii="Times New Roman" w:hAnsi="Times New Roman" w:cs="Times New Roman"/>
          <w:sz w:val="24"/>
          <w:szCs w:val="24"/>
          <w:lang w:val="en-US" w:eastAsia="zh-CN"/>
        </w:rPr>
      </w:pPr>
    </w:p>
    <w:p>
      <w:pPr>
        <w:spacing w:line="480" w:lineRule="auto"/>
        <w:jc w:val="left"/>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Abstract</w:t>
      </w:r>
    </w:p>
    <w:p>
      <w:pPr>
        <w:spacing w:line="480" w:lineRule="auto"/>
        <w:jc w:val="left"/>
        <w:rPr>
          <w:rFonts w:hint="default" w:ascii="Times New Roman" w:hAnsi="Times New Roman" w:cs="Times New Roman"/>
          <w:sz w:val="24"/>
          <w:szCs w:val="24"/>
          <w:lang w:val="en-US" w:eastAsia="zh-CN"/>
        </w:rPr>
      </w:pPr>
      <w:r>
        <w:rPr>
          <w:rFonts w:hint="default" w:ascii="Times New Roman" w:hAnsi="Times New Roman" w:cs="Times New Roman"/>
          <w:b/>
          <w:bCs/>
          <w:sz w:val="24"/>
          <w:szCs w:val="24"/>
          <w:lang w:val="en-US" w:eastAsia="zh-CN"/>
        </w:rPr>
        <w:t>Objective:</w:t>
      </w:r>
      <w:r>
        <w:rPr>
          <w:rFonts w:hint="default" w:ascii="Times New Roman" w:hAnsi="Times New Roman" w:cs="Times New Roman"/>
          <w:sz w:val="24"/>
          <w:szCs w:val="24"/>
          <w:lang w:val="en-US" w:eastAsia="zh-CN"/>
        </w:rPr>
        <w:t xml:space="preserve"> This study investigated the association between long-term exposure to multiple ambient air pollutants and the risk of heart disease among middle-aged and older adults in China, and assessed the robustness of results as well as potential population heterogeneity through sensitivity and stratified analyses.</w:t>
      </w:r>
    </w:p>
    <w:p>
      <w:pPr>
        <w:spacing w:line="480" w:lineRule="auto"/>
        <w:jc w:val="left"/>
        <w:rPr>
          <w:rFonts w:hint="default" w:ascii="Times New Roman" w:hAnsi="Times New Roman" w:cs="Times New Roman"/>
          <w:b/>
          <w:bCs/>
          <w:sz w:val="24"/>
          <w:szCs w:val="24"/>
          <w:lang w:val="en-US" w:eastAsia="zh-CN"/>
        </w:rPr>
      </w:pPr>
    </w:p>
    <w:p>
      <w:pPr>
        <w:spacing w:line="480" w:lineRule="auto"/>
        <w:jc w:val="left"/>
        <w:rPr>
          <w:rFonts w:hint="default" w:ascii="Times New Roman" w:hAnsi="Times New Roman" w:cs="Times New Roman"/>
          <w:sz w:val="24"/>
          <w:szCs w:val="24"/>
          <w:lang w:val="en-US" w:eastAsia="zh-CN"/>
        </w:rPr>
      </w:pPr>
      <w:r>
        <w:rPr>
          <w:rFonts w:hint="default" w:ascii="Times New Roman" w:hAnsi="Times New Roman" w:cs="Times New Roman"/>
          <w:b/>
          <w:bCs/>
          <w:sz w:val="24"/>
          <w:szCs w:val="24"/>
          <w:lang w:val="en-US" w:eastAsia="zh-CN"/>
        </w:rPr>
        <w:t>Methods:</w:t>
      </w:r>
      <w:r>
        <w:rPr>
          <w:rFonts w:hint="default" w:ascii="Times New Roman" w:hAnsi="Times New Roman" w:cs="Times New Roman"/>
          <w:sz w:val="24"/>
          <w:szCs w:val="24"/>
          <w:lang w:val="en-US" w:eastAsia="zh-CN"/>
        </w:rPr>
        <w:t xml:space="preserve"> We used nationally representative data from the China Health and Retirement Longitudinal Study (CHARLS). A total of 9,403 participants were included in the cross-sectional analysis, and 7,750 participants free of heart disease at baseline were prospectively followed for 9 years (2011–2020). Annual average concentrations of PM₁, PM₂.₅, PM₁₀, NO₂, and O₃ were estimated using the high-resolution spatiotemporal China High Air Pollution (CHAP) model and assigned to participants based on city-level geocoded residential information. Logistic regression was applied for cross-sectional analyses, while Cox proportional hazards models were used for longitudinal analyses with stepwise adjustment for demographic, lifestyle, and clinical covariates. Multi-pollutant models and sensitivity tests were additionally performed.</w:t>
      </w:r>
    </w:p>
    <w:p>
      <w:pPr>
        <w:spacing w:line="480" w:lineRule="auto"/>
        <w:jc w:val="left"/>
        <w:rPr>
          <w:rFonts w:hint="default" w:ascii="Times New Roman" w:hAnsi="Times New Roman" w:cs="Times New Roman"/>
          <w:b/>
          <w:bCs/>
          <w:sz w:val="24"/>
          <w:szCs w:val="24"/>
          <w:lang w:val="en-US" w:eastAsia="zh-CN"/>
        </w:rPr>
      </w:pPr>
    </w:p>
    <w:p>
      <w:pPr>
        <w:spacing w:line="480" w:lineRule="auto"/>
        <w:jc w:val="left"/>
        <w:rPr>
          <w:rFonts w:hint="default" w:ascii="Times New Roman" w:hAnsi="Times New Roman" w:cs="Times New Roman"/>
          <w:sz w:val="24"/>
          <w:szCs w:val="24"/>
          <w:lang w:val="en-US" w:eastAsia="zh-CN"/>
        </w:rPr>
      </w:pPr>
      <w:r>
        <w:rPr>
          <w:rFonts w:hint="default" w:ascii="Times New Roman" w:hAnsi="Times New Roman" w:cs="Times New Roman"/>
          <w:b/>
          <w:bCs/>
          <w:sz w:val="24"/>
          <w:szCs w:val="24"/>
          <w:lang w:val="en-US" w:eastAsia="zh-CN"/>
        </w:rPr>
        <w:t>Results:</w:t>
      </w:r>
      <w:r>
        <w:rPr>
          <w:rFonts w:hint="default" w:ascii="Times New Roman" w:hAnsi="Times New Roman" w:cs="Times New Roman"/>
          <w:sz w:val="24"/>
          <w:szCs w:val="24"/>
          <w:lang w:val="en-US" w:eastAsia="zh-CN"/>
        </w:rPr>
        <w:t xml:space="preserve"> In the cross-sectional analysis, only PM₁₀ was significantly associated with prevalent heart disease (</w:t>
      </w:r>
      <w:r>
        <w:rPr>
          <w:rFonts w:hint="default" w:ascii="Times New Roman" w:hAnsi="Times New Roman" w:cs="Times New Roman"/>
          <w:i/>
          <w:iCs/>
          <w:sz w:val="24"/>
          <w:szCs w:val="24"/>
          <w:lang w:val="en-US" w:eastAsia="zh-CN"/>
        </w:rPr>
        <w:t>OR</w:t>
      </w:r>
      <w:r>
        <w:rPr>
          <w:rFonts w:hint="default" w:ascii="Times New Roman" w:hAnsi="Times New Roman" w:cs="Times New Roman"/>
          <w:sz w:val="24"/>
          <w:szCs w:val="24"/>
          <w:lang w:val="en-US" w:eastAsia="zh-CN"/>
        </w:rPr>
        <w:t xml:space="preserve"> = 1.002, 95% </w:t>
      </w:r>
      <w:r>
        <w:rPr>
          <w:rFonts w:hint="default" w:ascii="Times New Roman" w:hAnsi="Times New Roman" w:cs="Times New Roman"/>
          <w:i/>
          <w:iCs/>
          <w:sz w:val="24"/>
          <w:szCs w:val="24"/>
          <w:lang w:val="en-US" w:eastAsia="zh-CN"/>
        </w:rPr>
        <w:t>CI</w:t>
      </w:r>
      <w:r>
        <w:rPr>
          <w:rFonts w:hint="default" w:ascii="Times New Roman" w:hAnsi="Times New Roman" w:cs="Times New Roman"/>
          <w:sz w:val="24"/>
          <w:szCs w:val="24"/>
          <w:lang w:val="en-US" w:eastAsia="zh-CN"/>
        </w:rPr>
        <w:t xml:space="preserve">: 1.000–1.004, </w:t>
      </w:r>
      <w:r>
        <w:rPr>
          <w:rFonts w:hint="default" w:ascii="Times New Roman" w:hAnsi="Times New Roman" w:cs="Times New Roman"/>
          <w:i/>
          <w:iCs/>
          <w:sz w:val="24"/>
          <w:szCs w:val="24"/>
          <w:lang w:val="en-US" w:eastAsia="zh-CN"/>
        </w:rPr>
        <w:t>P</w:t>
      </w:r>
      <w:r>
        <w:rPr>
          <w:rFonts w:hint="default" w:ascii="Times New Roman" w:hAnsi="Times New Roman" w:cs="Times New Roman"/>
          <w:sz w:val="24"/>
          <w:szCs w:val="24"/>
          <w:lang w:val="en-US" w:eastAsia="zh-CN"/>
        </w:rPr>
        <w:t xml:space="preserve"> = 0.019). In the longitudinal analysis, each 1-SD increase in PM₁₀ and PM₂.₅ was associated with a 22.3% (HR = 1.223, 95% </w:t>
      </w:r>
      <w:r>
        <w:rPr>
          <w:rFonts w:hint="default" w:ascii="Times New Roman" w:hAnsi="Times New Roman" w:cs="Times New Roman"/>
          <w:i/>
          <w:iCs/>
          <w:sz w:val="24"/>
          <w:szCs w:val="24"/>
          <w:lang w:val="en-US" w:eastAsia="zh-CN"/>
        </w:rPr>
        <w:t>CI</w:t>
      </w:r>
      <w:r>
        <w:rPr>
          <w:rFonts w:hint="default" w:ascii="Times New Roman" w:hAnsi="Times New Roman" w:cs="Times New Roman"/>
          <w:sz w:val="24"/>
          <w:szCs w:val="24"/>
          <w:lang w:val="en-US" w:eastAsia="zh-CN"/>
        </w:rPr>
        <w:t>: 1.163–1.285) and 15.1% (</w:t>
      </w:r>
      <w:r>
        <w:rPr>
          <w:rFonts w:hint="default" w:ascii="Times New Roman" w:hAnsi="Times New Roman" w:cs="Times New Roman"/>
          <w:i/>
          <w:iCs/>
          <w:sz w:val="24"/>
          <w:szCs w:val="24"/>
          <w:lang w:val="en-US" w:eastAsia="zh-CN"/>
        </w:rPr>
        <w:t>HR</w:t>
      </w:r>
      <w:r>
        <w:rPr>
          <w:rFonts w:hint="default" w:ascii="Times New Roman" w:hAnsi="Times New Roman" w:cs="Times New Roman"/>
          <w:sz w:val="24"/>
          <w:szCs w:val="24"/>
          <w:lang w:val="en-US" w:eastAsia="zh-CN"/>
        </w:rPr>
        <w:t xml:space="preserve"> = 1.151, 95% </w:t>
      </w:r>
      <w:r>
        <w:rPr>
          <w:rFonts w:hint="default" w:ascii="Times New Roman" w:hAnsi="Times New Roman" w:cs="Times New Roman"/>
          <w:i/>
          <w:iCs/>
          <w:sz w:val="24"/>
          <w:szCs w:val="24"/>
          <w:lang w:val="en-US" w:eastAsia="zh-CN"/>
        </w:rPr>
        <w:t>CI</w:t>
      </w:r>
      <w:r>
        <w:rPr>
          <w:rFonts w:hint="default" w:ascii="Times New Roman" w:hAnsi="Times New Roman" w:cs="Times New Roman"/>
          <w:sz w:val="24"/>
          <w:szCs w:val="24"/>
          <w:lang w:val="en-US" w:eastAsia="zh-CN"/>
        </w:rPr>
        <w:t xml:space="preserve">: 1.090–1.215) higher risk of incident heart disease, respectively (both </w:t>
      </w:r>
      <w:r>
        <w:rPr>
          <w:rFonts w:hint="default" w:ascii="Times New Roman" w:hAnsi="Times New Roman" w:cs="Times New Roman"/>
          <w:i/>
          <w:iCs/>
          <w:sz w:val="24"/>
          <w:szCs w:val="24"/>
          <w:lang w:val="en-US" w:eastAsia="zh-CN"/>
        </w:rPr>
        <w:t>P</w:t>
      </w:r>
      <w:r>
        <w:rPr>
          <w:rFonts w:hint="default" w:ascii="Times New Roman" w:hAnsi="Times New Roman" w:cs="Times New Roman"/>
          <w:sz w:val="24"/>
          <w:szCs w:val="24"/>
          <w:lang w:val="en-US" w:eastAsia="zh-CN"/>
        </w:rPr>
        <w:t xml:space="preserve"> &lt; 0.001). PM₁ and NO₂ were also positively associated with incident risk. For O₃, no significant association was observed in single-pollutant models (</w:t>
      </w:r>
      <w:r>
        <w:rPr>
          <w:rFonts w:hint="default" w:ascii="Times New Roman" w:hAnsi="Times New Roman" w:cs="Times New Roman"/>
          <w:i/>
          <w:iCs/>
          <w:sz w:val="24"/>
          <w:szCs w:val="24"/>
          <w:lang w:val="en-US" w:eastAsia="zh-CN"/>
        </w:rPr>
        <w:t>HR</w:t>
      </w:r>
      <w:r>
        <w:rPr>
          <w:rFonts w:hint="default" w:ascii="Times New Roman" w:hAnsi="Times New Roman" w:cs="Times New Roman"/>
          <w:sz w:val="24"/>
          <w:szCs w:val="24"/>
          <w:lang w:val="en-US" w:eastAsia="zh-CN"/>
        </w:rPr>
        <w:t xml:space="preserve"> = 0.957, 95% </w:t>
      </w:r>
      <w:r>
        <w:rPr>
          <w:rFonts w:hint="default" w:ascii="Times New Roman" w:hAnsi="Times New Roman" w:cs="Times New Roman"/>
          <w:i/>
          <w:iCs/>
          <w:sz w:val="24"/>
          <w:szCs w:val="24"/>
          <w:lang w:val="en-US" w:eastAsia="zh-CN"/>
        </w:rPr>
        <w:t>CI</w:t>
      </w:r>
      <w:r>
        <w:rPr>
          <w:rFonts w:hint="default" w:ascii="Times New Roman" w:hAnsi="Times New Roman" w:cs="Times New Roman"/>
          <w:sz w:val="24"/>
          <w:szCs w:val="24"/>
          <w:lang w:val="en-US" w:eastAsia="zh-CN"/>
        </w:rPr>
        <w:t>: 0.908–1.009), but a negative association emerged after simultaneous adjustment for NO₂ in multi-pollutant models (</w:t>
      </w:r>
      <w:r>
        <w:rPr>
          <w:rFonts w:hint="default" w:ascii="Times New Roman" w:hAnsi="Times New Roman" w:cs="Times New Roman"/>
          <w:i/>
          <w:iCs/>
          <w:sz w:val="24"/>
          <w:szCs w:val="24"/>
          <w:lang w:val="en-US" w:eastAsia="zh-CN"/>
        </w:rPr>
        <w:t>HR</w:t>
      </w:r>
      <w:r>
        <w:rPr>
          <w:rFonts w:hint="default" w:ascii="Times New Roman" w:hAnsi="Times New Roman" w:cs="Times New Roman"/>
          <w:sz w:val="24"/>
          <w:szCs w:val="24"/>
          <w:lang w:val="en-US" w:eastAsia="zh-CN"/>
        </w:rPr>
        <w:t xml:space="preserve"> = 0.779, 95% </w:t>
      </w:r>
      <w:r>
        <w:rPr>
          <w:rFonts w:hint="default" w:ascii="Times New Roman" w:hAnsi="Times New Roman" w:cs="Times New Roman"/>
          <w:i/>
          <w:iCs/>
          <w:sz w:val="24"/>
          <w:szCs w:val="24"/>
          <w:lang w:val="en-US" w:eastAsia="zh-CN"/>
        </w:rPr>
        <w:t>CI</w:t>
      </w:r>
      <w:r>
        <w:rPr>
          <w:rFonts w:hint="default" w:ascii="Times New Roman" w:hAnsi="Times New Roman" w:cs="Times New Roman"/>
          <w:sz w:val="24"/>
          <w:szCs w:val="24"/>
          <w:lang w:val="en-US" w:eastAsia="zh-CN"/>
        </w:rPr>
        <w:t>: 0.700–0.867), indicating high sensitivity to co-pollutant adjustment and exposure windows. Subgroup analyses suggested higher risks among women, rural residents, and individuals with lower education, although no significant interactions were detected.</w:t>
      </w:r>
    </w:p>
    <w:p>
      <w:pPr>
        <w:spacing w:line="480" w:lineRule="auto"/>
        <w:jc w:val="left"/>
        <w:rPr>
          <w:rFonts w:hint="default" w:ascii="Times New Roman" w:hAnsi="Times New Roman" w:cs="Times New Roman"/>
          <w:b/>
          <w:bCs/>
          <w:sz w:val="24"/>
          <w:szCs w:val="24"/>
          <w:lang w:val="en-US" w:eastAsia="zh-CN"/>
        </w:rPr>
      </w:pPr>
    </w:p>
    <w:p>
      <w:pPr>
        <w:spacing w:line="480" w:lineRule="auto"/>
        <w:jc w:val="left"/>
        <w:rPr>
          <w:rFonts w:hint="default" w:ascii="Times New Roman" w:hAnsi="Times New Roman" w:cs="Times New Roman"/>
          <w:sz w:val="24"/>
          <w:szCs w:val="24"/>
          <w:lang w:val="en-US" w:eastAsia="zh-CN"/>
        </w:rPr>
      </w:pPr>
      <w:r>
        <w:rPr>
          <w:rFonts w:hint="default" w:ascii="Times New Roman" w:hAnsi="Times New Roman" w:cs="Times New Roman"/>
          <w:b/>
          <w:bCs/>
          <w:sz w:val="24"/>
          <w:szCs w:val="24"/>
          <w:lang w:val="en-US" w:eastAsia="zh-CN"/>
        </w:rPr>
        <w:t xml:space="preserve">Conclusions: </w:t>
      </w:r>
      <w:r>
        <w:rPr>
          <w:rFonts w:hint="default" w:ascii="Times New Roman" w:hAnsi="Times New Roman" w:cs="Times New Roman"/>
          <w:sz w:val="24"/>
          <w:szCs w:val="24"/>
          <w:lang w:val="en-US" w:eastAsia="zh-CN"/>
        </w:rPr>
        <w:t>Long-term exposure to PM₁, PM₂.₅, and PM₁₀ was robustly associated with an increased risk of heart disease, and this study provides novel epidemiological evidence for PM₁. These findings underscore particulate matter pollution as a modifiable risk factor and highlight the importance of targeted public health strategies for susceptible populations.</w:t>
      </w:r>
    </w:p>
    <w:p>
      <w:pPr>
        <w:spacing w:line="480" w:lineRule="auto"/>
        <w:jc w:val="left"/>
        <w:rPr>
          <w:rFonts w:hint="default" w:ascii="Times New Roman" w:hAnsi="Times New Roman" w:cs="Times New Roman"/>
          <w:sz w:val="24"/>
          <w:szCs w:val="24"/>
          <w:lang w:val="en-US" w:eastAsia="zh-CN"/>
        </w:rPr>
      </w:pPr>
      <w:r>
        <w:rPr>
          <w:rFonts w:hint="default" w:ascii="Times New Roman" w:hAnsi="Times New Roman" w:cs="Times New Roman"/>
          <w:b/>
          <w:bCs/>
          <w:sz w:val="24"/>
          <w:szCs w:val="24"/>
          <w:lang w:val="en-US" w:eastAsia="zh-CN"/>
        </w:rPr>
        <w:t>Keywords:</w:t>
      </w:r>
      <w:r>
        <w:rPr>
          <w:rFonts w:hint="default" w:ascii="Times New Roman" w:hAnsi="Times New Roman" w:cs="Times New Roman"/>
          <w:sz w:val="24"/>
          <w:szCs w:val="24"/>
          <w:lang w:val="en-US" w:eastAsia="zh-CN"/>
        </w:rPr>
        <w:t xml:space="preserve"> Particulate Matter (PM); Heart Disease; Air Pollution; Cohort Study; Environmental Health</w:t>
      </w:r>
    </w:p>
    <w:p>
      <w:pPr>
        <w:spacing w:line="480" w:lineRule="auto"/>
        <w:jc w:val="both"/>
        <w:rPr>
          <w:rFonts w:hint="default" w:ascii="Times New Roman" w:hAnsi="Times New Roman" w:cs="Times New Roman"/>
          <w:sz w:val="24"/>
          <w:szCs w:val="24"/>
          <w:lang w:val="en-US" w:eastAsia="zh-CN"/>
        </w:rPr>
      </w:pPr>
    </w:p>
    <w:p>
      <w:pPr>
        <w:spacing w:line="480" w:lineRule="auto"/>
        <w:jc w:val="both"/>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drawing>
          <wp:inline distT="0" distB="0" distL="114300" distR="114300">
            <wp:extent cx="2773680" cy="2291715"/>
            <wp:effectExtent l="0" t="0" r="7620" b="3810"/>
            <wp:docPr id="3" name="图片 3" descr="屏幕截图 2025-07-05 162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屏幕截图 2025-07-05 162405"/>
                    <pic:cNvPicPr>
                      <a:picLocks noChangeAspect="1"/>
                    </pic:cNvPicPr>
                  </pic:nvPicPr>
                  <pic:blipFill>
                    <a:blip r:embed="rId5"/>
                    <a:stretch>
                      <a:fillRect/>
                    </a:stretch>
                  </pic:blipFill>
                  <pic:spPr>
                    <a:xfrm>
                      <a:off x="0" y="0"/>
                      <a:ext cx="2773680" cy="2291715"/>
                    </a:xfrm>
                    <a:prstGeom prst="rect">
                      <a:avLst/>
                    </a:prstGeom>
                  </pic:spPr>
                </pic:pic>
              </a:graphicData>
            </a:graphic>
          </wp:inline>
        </w:drawing>
      </w:r>
    </w:p>
    <w:p>
      <w:pPr>
        <w:spacing w:line="480" w:lineRule="auto"/>
        <w:jc w:val="both"/>
        <w:rPr>
          <w:rFonts w:hint="default" w:ascii="Times New Roman" w:hAnsi="Times New Roman" w:cs="Times New Roman"/>
          <w:sz w:val="24"/>
          <w:szCs w:val="24"/>
          <w:lang w:val="en-US" w:eastAsia="zh-CN"/>
        </w:rPr>
      </w:pPr>
      <w:r>
        <w:rPr>
          <w:rFonts w:hint="default" w:ascii="Times New Roman" w:hAnsi="Times New Roman" w:cs="Times New Roman"/>
          <w:b/>
          <w:bCs/>
          <w:sz w:val="24"/>
          <w:szCs w:val="24"/>
          <w:lang w:val="en-US" w:eastAsia="zh-CN"/>
        </w:rPr>
        <w:t>Figure 1</w:t>
      </w:r>
      <w:r>
        <w:rPr>
          <w:rFonts w:hint="default" w:ascii="Times New Roman" w:hAnsi="Times New Roman" w:cs="Times New Roman"/>
          <w:sz w:val="24"/>
          <w:szCs w:val="24"/>
          <w:lang w:val="en-US" w:eastAsia="zh-CN"/>
        </w:rPr>
        <w:t>. Geographic Distribution of Sampling Sites Across Seven Regions of China</w:t>
      </w:r>
    </w:p>
    <w:p>
      <w:pPr>
        <w:spacing w:line="480" w:lineRule="auto"/>
        <w:jc w:val="left"/>
        <w:rPr>
          <w:rFonts w:hint="default" w:ascii="Times New Roman" w:hAnsi="Times New Roman" w:cs="Times New Roman"/>
          <w:b/>
          <w:bCs/>
          <w:sz w:val="24"/>
          <w:szCs w:val="24"/>
          <w:lang w:val="en-US" w:eastAsia="zh-CN"/>
        </w:rPr>
      </w:pPr>
    </w:p>
    <w:p>
      <w:pPr>
        <w:spacing w:line="480" w:lineRule="auto"/>
        <w:jc w:val="left"/>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1 Introduction</w:t>
      </w:r>
    </w:p>
    <w:p>
      <w:pPr>
        <w:spacing w:line="480" w:lineRule="auto"/>
        <w:jc w:val="left"/>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Cardiovascular disease (CVD) is among the most prevalent non-communicable diseases (NCDs) worldwide, accounting for nearly one-third of all global deaths [1]. It remains a leading public health challenge, driving both mortality and disease burden on a global scale. According to the Global Burden of Disease (GBD) 2019 report, CVD was responsible for approximately 5.09 million deaths in China, and its share of total national mortality has continued to increase [2,3]. Within the spectrum of CVD subtypes, heart disease (HD)—encompassing myocardial infarction (MI), coronary heart disease (CHD), and heart failure (HF)—represents the predominant contributor and poses a particularly severe threat to population health [4,5].</w:t>
      </w:r>
    </w:p>
    <w:p>
      <w:pPr>
        <w:spacing w:line="480" w:lineRule="auto"/>
        <w:jc w:val="left"/>
        <w:rPr>
          <w:rFonts w:hint="default" w:ascii="Times New Roman" w:hAnsi="Times New Roman" w:cs="Times New Roman"/>
          <w:sz w:val="24"/>
          <w:szCs w:val="24"/>
          <w:lang w:val="en-US" w:eastAsia="zh-CN"/>
        </w:rPr>
      </w:pPr>
    </w:p>
    <w:p>
      <w:pPr>
        <w:spacing w:line="480" w:lineRule="auto"/>
        <w:jc w:val="left"/>
        <w:rPr>
          <w:rFonts w:hint="default" w:ascii="Times New Roman" w:hAnsi="Times New Roman" w:cs="Times New Roman"/>
          <w:color w:val="C00000"/>
          <w:sz w:val="24"/>
          <w:szCs w:val="24"/>
          <w:lang w:val="en-US" w:eastAsia="zh-CN"/>
        </w:rPr>
      </w:pPr>
      <w:r>
        <w:rPr>
          <w:rFonts w:hint="default" w:ascii="Times New Roman" w:hAnsi="Times New Roman" w:cs="Times New Roman"/>
          <w:sz w:val="24"/>
          <w:szCs w:val="24"/>
          <w:lang w:val="en-US" w:eastAsia="zh-CN"/>
        </w:rPr>
        <w:t>Air pollution is widely recognized as a major modifiable risk factor for CVD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 xml:space="preserve">[6]. </w:t>
      </w:r>
      <w:r>
        <w:rPr>
          <w:rFonts w:hint="default" w:ascii="Times New Roman" w:hAnsi="Times New Roman" w:cs="Times New Roman"/>
          <w:color w:val="C00000"/>
          <w:sz w:val="24"/>
          <w:szCs w:val="24"/>
          <w:lang w:val="en-US" w:eastAsia="zh-CN"/>
        </w:rPr>
        <w:t xml:space="preserve">The Global Burden of Disease (GBD) study reported that, in 2015, air pollution–related diseases accounted for approximately 4.2 million deaths worldwide, representing 7.6% of all global deaths, and contributed to an estimated 103 million disability-adjusted life years (DALYs), nearly 19% of which were attributable to cardiovascular mortality [7]. The World Health Organization (WHO) has further highlighted that the burden of air pollution is particularly pronounced for CVD and stroke, together responsible for more than one-third of all pollution-related deaths [8]. Air pollution is composed of both particulate matter and gaseous pollutants, whose physicochemical characteristics and toxicities vary across time and space [9]. Fine particulate matter (PM₂.₅, aerodynamic diameter &lt;2.5 μm) and inhalable particulate matter (PM₁₀, aerodynamic diameter &lt;10 μm) can penetrate deep into the respiratory tract, leading to systemic adverse health effects [10]. Nitrogen oxides (NOx) and ozone (O₃), primarily generated from traffic and industrial combustion, can further contribute to or intensify particulate pollution through secondary reactions [9]. Emerging evidence suggests that no safe threshold exists for the risk of </w:t>
      </w:r>
      <w:r>
        <w:rPr>
          <w:rFonts w:hint="eastAsia" w:ascii="Times New Roman" w:hAnsi="Times New Roman" w:cs="Times New Roman"/>
          <w:color w:val="C00000"/>
          <w:sz w:val="24"/>
          <w:szCs w:val="24"/>
          <w:lang w:val="en-US" w:eastAsia="zh-CN"/>
        </w:rPr>
        <w:t>HD</w:t>
      </w:r>
      <w:r>
        <w:rPr>
          <w:rFonts w:hint="default" w:ascii="Times New Roman" w:hAnsi="Times New Roman" w:cs="Times New Roman"/>
          <w:color w:val="C00000"/>
          <w:sz w:val="24"/>
          <w:szCs w:val="24"/>
          <w:lang w:val="en-US" w:eastAsia="zh-CN"/>
        </w:rPr>
        <w:t xml:space="preserve"> associated with air pollution.</w:t>
      </w:r>
    </w:p>
    <w:p>
      <w:pPr>
        <w:spacing w:line="480" w:lineRule="auto"/>
        <w:jc w:val="left"/>
        <w:rPr>
          <w:rFonts w:hint="default" w:ascii="Times New Roman" w:hAnsi="Times New Roman" w:cs="Times New Roman"/>
          <w:sz w:val="24"/>
          <w:szCs w:val="24"/>
          <w:lang w:val="en-US" w:eastAsia="zh-CN"/>
        </w:rPr>
      </w:pPr>
    </w:p>
    <w:p>
      <w:pPr>
        <w:spacing w:line="480" w:lineRule="auto"/>
        <w:jc w:val="left"/>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xml:space="preserve">With respect to underlying mechanisms, extensive evidence indicates that exposure to PM₂.₅, PM₁₀, NO₂, and O₃ can accelerate atherosclerosis and vascular injury through pathways involving oxidative stress [11], endothelial dysfunction [12,13], and systemic inflammation [14], thereby elevating the risk of </w:t>
      </w:r>
      <w:r>
        <w:rPr>
          <w:rFonts w:hint="eastAsia" w:ascii="Times New Roman" w:hAnsi="Times New Roman" w:cs="Times New Roman"/>
          <w:sz w:val="24"/>
          <w:szCs w:val="24"/>
          <w:lang w:val="en-US" w:eastAsia="zh-CN"/>
        </w:rPr>
        <w:t>HD</w:t>
      </w:r>
      <w:r>
        <w:rPr>
          <w:rFonts w:hint="default" w:ascii="Times New Roman" w:hAnsi="Times New Roman" w:cs="Times New Roman"/>
          <w:sz w:val="24"/>
          <w:szCs w:val="24"/>
          <w:lang w:val="en-US" w:eastAsia="zh-CN"/>
        </w:rPr>
        <w:t xml:space="preserve"> [15]. Epidemiological studies further substantiate these associations. The European Study of Cohorts for Air Pollution Effects (ESCAPE), encompassing 11 countries, reported that long-term PM₂.₅ exposure was significantly associated with an increased risk of coronary </w:t>
      </w:r>
      <w:r>
        <w:rPr>
          <w:rFonts w:hint="eastAsia" w:ascii="Times New Roman" w:hAnsi="Times New Roman" w:cs="Times New Roman"/>
          <w:sz w:val="24"/>
          <w:szCs w:val="24"/>
          <w:lang w:val="en-US" w:eastAsia="zh-CN"/>
        </w:rPr>
        <w:t>HD</w:t>
      </w:r>
      <w:r>
        <w:rPr>
          <w:rFonts w:hint="default" w:ascii="Times New Roman" w:hAnsi="Times New Roman" w:cs="Times New Roman"/>
          <w:sz w:val="24"/>
          <w:szCs w:val="24"/>
          <w:lang w:val="en-US" w:eastAsia="zh-CN"/>
        </w:rPr>
        <w:t xml:space="preserve"> events, even at concentrations below the legal limits set by the European Union [16]. Likewise, the United States Environmental Protection Agency (EPA), in its Integrated Science Assessment for Particulate Matter (2019) and the 2022 supplemental report, synthesized extensive evidence linking PM₂.₅ exposure to elevated risks of cardiovascular events, including myocardial infarction, stroke, and heart failure, with many findings specifically implicating </w:t>
      </w:r>
      <w:r>
        <w:rPr>
          <w:rFonts w:hint="eastAsia" w:ascii="Times New Roman" w:hAnsi="Times New Roman" w:cs="Times New Roman"/>
          <w:sz w:val="24"/>
          <w:szCs w:val="24"/>
          <w:lang w:val="en-US" w:eastAsia="zh-CN"/>
        </w:rPr>
        <w:t>HD</w:t>
      </w:r>
      <w:r>
        <w:rPr>
          <w:rFonts w:hint="default" w:ascii="Times New Roman" w:hAnsi="Times New Roman" w:cs="Times New Roman"/>
          <w:sz w:val="24"/>
          <w:szCs w:val="24"/>
          <w:lang w:val="en-US" w:eastAsia="zh-CN"/>
        </w:rPr>
        <w:t xml:space="preserve"> outcomes [17]. Evidence from the UK Biobank cohort further demonstrated that long-term exposure to PM₂.₅, PM₁₀, and NO₂/NOₓ was associated with increased risks of coronary </w:t>
      </w:r>
      <w:r>
        <w:rPr>
          <w:rFonts w:hint="eastAsia" w:ascii="Times New Roman" w:hAnsi="Times New Roman" w:cs="Times New Roman"/>
          <w:sz w:val="24"/>
          <w:szCs w:val="24"/>
          <w:lang w:val="en-US" w:eastAsia="zh-CN"/>
        </w:rPr>
        <w:t>HD</w:t>
      </w:r>
      <w:r>
        <w:rPr>
          <w:rFonts w:hint="default" w:ascii="Times New Roman" w:hAnsi="Times New Roman" w:cs="Times New Roman"/>
          <w:sz w:val="24"/>
          <w:szCs w:val="24"/>
          <w:lang w:val="en-US" w:eastAsia="zh-CN"/>
        </w:rPr>
        <w:t>, potentially mediated by leukocyte telomere length [1</w:t>
      </w:r>
      <w:r>
        <w:rPr>
          <w:rFonts w:hint="eastAsia" w:ascii="Times New Roman" w:hAnsi="Times New Roman" w:cs="Times New Roman"/>
          <w:sz w:val="24"/>
          <w:szCs w:val="24"/>
          <w:lang w:val="en-US" w:eastAsia="zh-CN"/>
        </w:rPr>
        <w:t>8</w:t>
      </w:r>
      <w:r>
        <w:rPr>
          <w:rFonts w:hint="default" w:ascii="Times New Roman" w:hAnsi="Times New Roman" w:cs="Times New Roman"/>
          <w:sz w:val="24"/>
          <w:szCs w:val="24"/>
          <w:lang w:val="en-US" w:eastAsia="zh-CN"/>
        </w:rPr>
        <w:t>]. Additional analyses revealed that these pollutants were also related to higher risks of ventricular arrhythmias, with more pronounced effects observed among genetically susceptible individuals [</w:t>
      </w:r>
      <w:r>
        <w:rPr>
          <w:rFonts w:hint="eastAsia" w:ascii="Times New Roman" w:hAnsi="Times New Roman" w:cs="Times New Roman"/>
          <w:sz w:val="24"/>
          <w:szCs w:val="24"/>
          <w:lang w:val="en-US" w:eastAsia="zh-CN"/>
        </w:rPr>
        <w:t>19</w:t>
      </w:r>
      <w:r>
        <w:rPr>
          <w:rFonts w:hint="default" w:ascii="Times New Roman" w:hAnsi="Times New Roman" w:cs="Times New Roman"/>
          <w:sz w:val="24"/>
          <w:szCs w:val="24"/>
          <w:lang w:val="en-US" w:eastAsia="zh-CN"/>
        </w:rPr>
        <w:t>]. Systematic reviews and meta-analyses have reinforced these findings, showing that short-term exposure to PM and NOx is associated with increased risks of myocardial infarction, hypertension, and stroke, while long-term PM₂.₅ exposure is consistently linked to myocardial infarction and atherosclerosis. Moreover, limited evidence suggests positive associations with heart failure, arrhythmias, and atrial fibrillation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 Importantly, significant associations between air pollution and adverse cardiovascular outcomes have been observed even in countries with relatively low levels of pollution. In contrast, research in low- and middle-income countries (LMICs) remains insufficient, and prolonged exceedance of air quality standards may place populations at even greater health risks [2</w:t>
      </w:r>
      <w:r>
        <w:rPr>
          <w:rFonts w:hint="eastAsia" w:ascii="Times New Roman" w:hAnsi="Times New Roman" w:cs="Times New Roman"/>
          <w:sz w:val="24"/>
          <w:szCs w:val="24"/>
          <w:lang w:val="en-US" w:eastAsia="zh-CN"/>
        </w:rPr>
        <w:t>1</w:t>
      </w:r>
      <w:r>
        <w:rPr>
          <w:rFonts w:hint="default" w:ascii="Times New Roman" w:hAnsi="Times New Roman" w:cs="Times New Roman"/>
          <w:sz w:val="24"/>
          <w:szCs w:val="24"/>
          <w:lang w:val="en-US" w:eastAsia="zh-CN"/>
        </w:rPr>
        <w:t>].</w:t>
      </w:r>
    </w:p>
    <w:p>
      <w:pPr>
        <w:spacing w:line="480" w:lineRule="auto"/>
        <w:jc w:val="left"/>
        <w:rPr>
          <w:rFonts w:hint="default" w:ascii="Times New Roman" w:hAnsi="Times New Roman" w:cs="Times New Roman"/>
          <w:sz w:val="24"/>
          <w:szCs w:val="24"/>
          <w:lang w:val="en-US" w:eastAsia="zh-CN"/>
        </w:rPr>
      </w:pPr>
    </w:p>
    <w:p>
      <w:pPr>
        <w:spacing w:line="480" w:lineRule="auto"/>
        <w:jc w:val="left"/>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xml:space="preserve">Despite substantial international evidence, critical gaps remain. Most studies have focused on conventional pollutants, with limited data on ultrafine particles, rural populations, and multipollutant interactions. Methodological limitations, such as reliance on time-series or ecological designs, further restrict robust individual-level inference. In China, comprehensive analyses linking multiple pollutants with </w:t>
      </w:r>
      <w:r>
        <w:rPr>
          <w:rFonts w:hint="eastAsia" w:ascii="Times New Roman" w:hAnsi="Times New Roman" w:cs="Times New Roman"/>
          <w:sz w:val="24"/>
          <w:szCs w:val="24"/>
          <w:lang w:val="en-US" w:eastAsia="zh-CN"/>
        </w:rPr>
        <w:t>HD</w:t>
      </w:r>
      <w:r>
        <w:rPr>
          <w:rFonts w:hint="default" w:ascii="Times New Roman" w:hAnsi="Times New Roman" w:cs="Times New Roman"/>
          <w:sz w:val="24"/>
          <w:szCs w:val="24"/>
          <w:lang w:val="en-US" w:eastAsia="zh-CN"/>
        </w:rPr>
        <w:t xml:space="preserve"> are still lacking, despite persistently high pollution levels driven by rapid urbanization and industrialization.To fill these gaps, this study leverages nationally representative data from the China Health and Retirement Longitudinal Study (CHARLS) and incorporates multipollutant exposure estimates to systematically investigate the associations between long-term exposure to PM₂.₅, PM₁₀, NO₂, and O₃ and the risk of </w:t>
      </w:r>
      <w:r>
        <w:rPr>
          <w:rFonts w:hint="eastAsia" w:ascii="Times New Roman" w:hAnsi="Times New Roman" w:cs="Times New Roman"/>
          <w:sz w:val="24"/>
          <w:szCs w:val="24"/>
          <w:lang w:val="en-US" w:eastAsia="zh-CN"/>
        </w:rPr>
        <w:t>HD</w:t>
      </w:r>
      <w:r>
        <w:rPr>
          <w:rFonts w:hint="default" w:ascii="Times New Roman" w:hAnsi="Times New Roman" w:cs="Times New Roman"/>
          <w:sz w:val="24"/>
          <w:szCs w:val="24"/>
          <w:lang w:val="en-US" w:eastAsia="zh-CN"/>
        </w:rPr>
        <w:t xml:space="preserve"> in middle-aged and older adults. Prospective analyses were conducted to further evaluate the robustness of these associations.</w:t>
      </w:r>
    </w:p>
    <w:p>
      <w:pPr>
        <w:spacing w:line="480" w:lineRule="auto"/>
        <w:jc w:val="both"/>
        <w:rPr>
          <w:rFonts w:hint="default" w:ascii="Times New Roman" w:hAnsi="Times New Roman" w:cs="Times New Roman"/>
          <w:sz w:val="24"/>
          <w:szCs w:val="24"/>
          <w:lang w:val="en-US" w:eastAsia="zh-CN"/>
        </w:rPr>
      </w:pPr>
    </w:p>
    <w:p>
      <w:pPr>
        <w:numPr>
          <w:ilvl w:val="0"/>
          <w:numId w:val="1"/>
        </w:numPr>
        <w:spacing w:line="480" w:lineRule="auto"/>
        <w:jc w:val="left"/>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Methods</w:t>
      </w:r>
    </w:p>
    <w:p>
      <w:pPr>
        <w:bidi w:val="0"/>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2.1 Study Population</w:t>
      </w:r>
    </w:p>
    <w:p>
      <w:pPr>
        <w:numPr>
          <w:ilvl w:val="0"/>
          <w:numId w:val="0"/>
        </w:numPr>
        <w:spacing w:line="480" w:lineRule="auto"/>
        <w:jc w:val="left"/>
        <w:rPr>
          <w:rFonts w:hint="default" w:ascii="Times New Roman" w:hAnsi="Times New Roman" w:cs="Times New Roman"/>
          <w:color w:val="C00000"/>
          <w:sz w:val="24"/>
          <w:szCs w:val="24"/>
          <w:lang w:val="en-US" w:eastAsia="zh-CN"/>
        </w:rPr>
      </w:pPr>
      <w:r>
        <w:rPr>
          <w:rFonts w:hint="default" w:ascii="Times New Roman" w:hAnsi="Times New Roman" w:cs="Times New Roman"/>
          <w:color w:val="C00000"/>
          <w:sz w:val="24"/>
          <w:szCs w:val="24"/>
          <w:lang w:val="en-US" w:eastAsia="zh-CN"/>
        </w:rPr>
        <w:t xml:space="preserve">The China Health and Retirement Longitudinal Study (CHARLS), led by the National School of Development at Peking University, employed a multistage, stratified, cluster sampling design across 150 counties (districts) in 28 provinces to assess the health, socioeconomic, and demographic characteristics of Chinese adults aged ≥45 years. CHARLS was launched in 2011, with follow-up surveys conducted in 2013, 2015, 2018, and 2020. The study protocol was approved by the Biomedical Ethics Review Committee of Peking University (IRB00001052-11015), and all participants provided written informed consent. The dataset is publicly accessible at </w:t>
      </w:r>
      <w:r>
        <w:rPr>
          <w:rFonts w:hint="default" w:ascii="Times New Roman" w:hAnsi="Times New Roman" w:cs="Times New Roman"/>
          <w:color w:val="C00000"/>
          <w:sz w:val="24"/>
          <w:szCs w:val="24"/>
          <w:lang w:val="en-US" w:eastAsia="zh-CN"/>
        </w:rPr>
        <w:fldChar w:fldCharType="begin"/>
      </w:r>
      <w:r>
        <w:rPr>
          <w:rFonts w:hint="default" w:ascii="Times New Roman" w:hAnsi="Times New Roman" w:cs="Times New Roman"/>
          <w:color w:val="C00000"/>
          <w:sz w:val="24"/>
          <w:szCs w:val="24"/>
          <w:lang w:val="en-US" w:eastAsia="zh-CN"/>
        </w:rPr>
        <w:instrText xml:space="preserve"> HYPERLINK "http://charls.pku.edu.cn/pages/data/111/en." </w:instrText>
      </w:r>
      <w:r>
        <w:rPr>
          <w:rFonts w:hint="default" w:ascii="Times New Roman" w:hAnsi="Times New Roman" w:cs="Times New Roman"/>
          <w:color w:val="C00000"/>
          <w:sz w:val="24"/>
          <w:szCs w:val="24"/>
          <w:lang w:val="en-US" w:eastAsia="zh-CN"/>
        </w:rPr>
        <w:fldChar w:fldCharType="separate"/>
      </w:r>
      <w:r>
        <w:rPr>
          <w:rStyle w:val="6"/>
          <w:rFonts w:hint="default" w:ascii="Times New Roman" w:hAnsi="Times New Roman" w:cs="Times New Roman"/>
          <w:color w:val="C00000"/>
          <w:sz w:val="24"/>
          <w:szCs w:val="24"/>
          <w:lang w:val="en-US" w:eastAsia="zh-CN"/>
        </w:rPr>
        <w:t>http://charls.pku.edu.cn/pages/data/111/en.</w:t>
      </w:r>
      <w:r>
        <w:rPr>
          <w:rFonts w:hint="default" w:ascii="Times New Roman" w:hAnsi="Times New Roman" w:cs="Times New Roman"/>
          <w:color w:val="C00000"/>
          <w:sz w:val="24"/>
          <w:szCs w:val="24"/>
          <w:lang w:val="en-US" w:eastAsia="zh-CN"/>
        </w:rPr>
        <w:fldChar w:fldCharType="end"/>
      </w:r>
      <w:r>
        <w:rPr>
          <w:rFonts w:hint="default" w:ascii="Times New Roman" w:hAnsi="Times New Roman" w:cs="Times New Roman"/>
          <w:color w:val="C00000"/>
          <w:sz w:val="24"/>
          <w:szCs w:val="24"/>
          <w:lang w:val="en-US" w:eastAsia="zh-CN"/>
        </w:rPr>
        <w:t xml:space="preserve"> In this study, participants were longitudinally tracked using unique identification numbers. After excluding those with missing key covariates (N = 4,443), 9,403 participants were retained for the cross-sectional analysis. During the 9-year follow-up (2011–2020), we further excluded 1,056 participants with baseline </w:t>
      </w:r>
      <w:r>
        <w:rPr>
          <w:rFonts w:hint="eastAsia" w:ascii="Times New Roman" w:hAnsi="Times New Roman" w:cs="Times New Roman"/>
          <w:color w:val="C00000"/>
          <w:sz w:val="24"/>
          <w:szCs w:val="24"/>
          <w:lang w:val="en-US" w:eastAsia="zh-CN"/>
        </w:rPr>
        <w:t>HD</w:t>
      </w:r>
      <w:r>
        <w:rPr>
          <w:rFonts w:hint="default" w:ascii="Times New Roman" w:hAnsi="Times New Roman" w:cs="Times New Roman"/>
          <w:color w:val="C00000"/>
          <w:sz w:val="24"/>
          <w:szCs w:val="24"/>
          <w:lang w:val="en-US" w:eastAsia="zh-CN"/>
        </w:rPr>
        <w:t xml:space="preserve"> and 597 lost to follow-up, leaving 7,750 participants for the prospective analysis (Figure 2). A total of 1,959 incident </w:t>
      </w:r>
      <w:r>
        <w:rPr>
          <w:rFonts w:hint="eastAsia" w:ascii="Times New Roman" w:hAnsi="Times New Roman" w:cs="Times New Roman"/>
          <w:color w:val="C00000"/>
          <w:sz w:val="24"/>
          <w:szCs w:val="24"/>
          <w:lang w:val="en-US" w:eastAsia="zh-CN"/>
        </w:rPr>
        <w:t>HD</w:t>
      </w:r>
      <w:r>
        <w:rPr>
          <w:rFonts w:hint="default" w:ascii="Times New Roman" w:hAnsi="Times New Roman" w:cs="Times New Roman"/>
          <w:color w:val="C00000"/>
          <w:sz w:val="24"/>
          <w:szCs w:val="24"/>
          <w:lang w:val="en-US" w:eastAsia="zh-CN"/>
        </w:rPr>
        <w:t xml:space="preserve"> cases were documented in the prospective cohort. Using the Schoenfeld method (two-sided α = 0.05, power = 80%, R² = 0.20), the minimum detectable hazard ratio (MDHR) per 1-SD increase in exposure was estimated at ~1.07; across R² values of 0.10–0.30, the MDHR remained stable at 1.07–1.08. These results suggest that the study sample size was adequate to detect the small effect sizes commonly observed in environmental epidemiology.</w:t>
      </w:r>
    </w:p>
    <w:p>
      <w:pPr>
        <w:numPr>
          <w:ilvl w:val="0"/>
          <w:numId w:val="0"/>
        </w:numPr>
        <w:spacing w:line="480" w:lineRule="auto"/>
        <w:jc w:val="left"/>
        <w:rPr>
          <w:rFonts w:hint="default" w:ascii="Times New Roman" w:hAnsi="Times New Roman" w:cs="Times New Roman"/>
          <w:sz w:val="24"/>
          <w:szCs w:val="24"/>
          <w:lang w:val="en-US" w:eastAsia="zh-CN"/>
        </w:rPr>
      </w:pPr>
    </w:p>
    <w:p>
      <w:pPr>
        <w:numPr>
          <w:ilvl w:val="0"/>
          <w:numId w:val="0"/>
        </w:numPr>
        <w:spacing w:line="480" w:lineRule="auto"/>
        <w:jc w:val="cente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drawing>
          <wp:inline distT="0" distB="0" distL="114300" distR="114300">
            <wp:extent cx="5788025" cy="3554095"/>
            <wp:effectExtent l="0" t="0" r="3175" b="8255"/>
            <wp:docPr id="2" name="图片 2" descr="屏幕截图 2025-07-04 080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屏幕截图 2025-07-04 080730"/>
                    <pic:cNvPicPr>
                      <a:picLocks noChangeAspect="1"/>
                    </pic:cNvPicPr>
                  </pic:nvPicPr>
                  <pic:blipFill>
                    <a:blip r:embed="rId6"/>
                    <a:stretch>
                      <a:fillRect/>
                    </a:stretch>
                  </pic:blipFill>
                  <pic:spPr>
                    <a:xfrm>
                      <a:off x="0" y="0"/>
                      <a:ext cx="5788025" cy="3554095"/>
                    </a:xfrm>
                    <a:prstGeom prst="rect">
                      <a:avLst/>
                    </a:prstGeom>
                  </pic:spPr>
                </pic:pic>
              </a:graphicData>
            </a:graphic>
          </wp:inline>
        </w:drawing>
      </w:r>
    </w:p>
    <w:p>
      <w:pPr>
        <w:numPr>
          <w:ilvl w:val="0"/>
          <w:numId w:val="0"/>
        </w:numPr>
        <w:spacing w:line="480" w:lineRule="auto"/>
        <w:jc w:val="left"/>
        <w:rPr>
          <w:rFonts w:hint="default" w:ascii="Times New Roman" w:hAnsi="Times New Roman" w:cs="Times New Roman"/>
          <w:sz w:val="21"/>
          <w:szCs w:val="21"/>
          <w:lang w:val="en-US" w:eastAsia="zh-CN"/>
        </w:rPr>
      </w:pPr>
      <w:r>
        <w:rPr>
          <w:rFonts w:hint="default" w:ascii="Times New Roman" w:hAnsi="Times New Roman" w:cs="Times New Roman"/>
          <w:b/>
          <w:bCs/>
          <w:sz w:val="21"/>
          <w:szCs w:val="21"/>
          <w:lang w:val="en-US" w:eastAsia="zh-CN"/>
        </w:rPr>
        <w:t>Figure 2</w:t>
      </w:r>
      <w:r>
        <w:rPr>
          <w:rFonts w:hint="default" w:ascii="Times New Roman" w:hAnsi="Times New Roman" w:cs="Times New Roman"/>
          <w:sz w:val="21"/>
          <w:szCs w:val="21"/>
          <w:lang w:val="en-US" w:eastAsia="zh-CN"/>
        </w:rPr>
        <w:t>. Flowchart of Participant Selection</w:t>
      </w:r>
    </w:p>
    <w:p>
      <w:pPr>
        <w:numPr>
          <w:ilvl w:val="0"/>
          <w:numId w:val="0"/>
        </w:numPr>
        <w:spacing w:line="480" w:lineRule="auto"/>
        <w:jc w:val="left"/>
        <w:rPr>
          <w:rFonts w:hint="default" w:ascii="Times New Roman" w:hAnsi="Times New Roman" w:cs="Times New Roman"/>
          <w:sz w:val="22"/>
          <w:szCs w:val="22"/>
          <w:lang w:val="en-US" w:eastAsia="zh-CN"/>
        </w:rPr>
      </w:pPr>
    </w:p>
    <w:p>
      <w:pPr>
        <w:bidi w:val="0"/>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2.2 Assessment of Air Pollution Exposure</w:t>
      </w:r>
    </w:p>
    <w:p>
      <w:pPr>
        <w:numPr>
          <w:ilvl w:val="0"/>
          <w:numId w:val="0"/>
        </w:numPr>
        <w:spacing w:line="480" w:lineRule="auto"/>
        <w:jc w:val="left"/>
        <w:rPr>
          <w:rFonts w:hint="default" w:ascii="Times New Roman" w:hAnsi="Times New Roman" w:cs="Times New Roman"/>
          <w:color w:val="C00000"/>
          <w:sz w:val="24"/>
          <w:szCs w:val="24"/>
          <w:lang w:val="en-US" w:eastAsia="zh-CN"/>
        </w:rPr>
      </w:pPr>
      <w:r>
        <w:rPr>
          <w:rFonts w:hint="default" w:ascii="Times New Roman" w:hAnsi="Times New Roman" w:cs="Times New Roman"/>
          <w:color w:val="C00000"/>
          <w:sz w:val="24"/>
          <w:szCs w:val="24"/>
          <w:lang w:val="en-US" w:eastAsia="zh-CN"/>
        </w:rPr>
        <w:t>We examined five common air pollutants—PM₁, PM₂.₅, PM₁₀, O₃, and NO₂. The China Air Pollution (CHAP) dataset, widely recognized as a reliable source for air pollution research in China, has been used in multiple national and regional studies [2</w:t>
      </w:r>
      <w:r>
        <w:rPr>
          <w:rFonts w:hint="eastAsia" w:ascii="Times New Roman" w:hAnsi="Times New Roman" w:cs="Times New Roman"/>
          <w:color w:val="C00000"/>
          <w:sz w:val="24"/>
          <w:szCs w:val="24"/>
          <w:lang w:val="en-US" w:eastAsia="zh-CN"/>
        </w:rPr>
        <w:t>2</w:t>
      </w:r>
      <w:r>
        <w:rPr>
          <w:rFonts w:hint="default" w:ascii="Times New Roman" w:hAnsi="Times New Roman" w:cs="Times New Roman"/>
          <w:color w:val="C00000"/>
          <w:sz w:val="24"/>
          <w:szCs w:val="24"/>
          <w:lang w:val="en-US" w:eastAsia="zh-CN"/>
        </w:rPr>
        <w:t>,2</w:t>
      </w:r>
      <w:r>
        <w:rPr>
          <w:rFonts w:hint="eastAsia" w:ascii="Times New Roman" w:hAnsi="Times New Roman" w:cs="Times New Roman"/>
          <w:color w:val="C00000"/>
          <w:sz w:val="24"/>
          <w:szCs w:val="24"/>
          <w:lang w:val="en-US" w:eastAsia="zh-CN"/>
        </w:rPr>
        <w:t>3</w:t>
      </w:r>
      <w:r>
        <w:rPr>
          <w:rFonts w:hint="default" w:ascii="Times New Roman" w:hAnsi="Times New Roman" w:cs="Times New Roman"/>
          <w:color w:val="C00000"/>
          <w:sz w:val="24"/>
          <w:szCs w:val="24"/>
          <w:lang w:val="en-US" w:eastAsia="zh-CN"/>
        </w:rPr>
        <w:t>] and is publicly available (https://weijing-rs.github.io/product.html). Validation studies have demonstrated high predictive accuracy, with coefficients of determination (R²) ranging from 0.80 to 0.92 based on ten-fold cross-validation [2</w:t>
      </w:r>
      <w:r>
        <w:rPr>
          <w:rFonts w:hint="eastAsia" w:ascii="Times New Roman" w:hAnsi="Times New Roman" w:cs="Times New Roman"/>
          <w:color w:val="C00000"/>
          <w:sz w:val="24"/>
          <w:szCs w:val="24"/>
          <w:lang w:val="en-US" w:eastAsia="zh-CN"/>
        </w:rPr>
        <w:t>4</w:t>
      </w:r>
      <w:r>
        <w:rPr>
          <w:rFonts w:hint="default" w:ascii="Times New Roman" w:hAnsi="Times New Roman" w:cs="Times New Roman"/>
          <w:color w:val="C00000"/>
          <w:sz w:val="24"/>
          <w:szCs w:val="24"/>
          <w:lang w:val="en-US" w:eastAsia="zh-CN"/>
        </w:rPr>
        <w:t>].</w:t>
      </w:r>
    </w:p>
    <w:p>
      <w:pPr>
        <w:numPr>
          <w:ilvl w:val="0"/>
          <w:numId w:val="0"/>
        </w:numPr>
        <w:spacing w:line="480" w:lineRule="auto"/>
        <w:jc w:val="left"/>
        <w:rPr>
          <w:rFonts w:hint="default" w:ascii="Times New Roman" w:hAnsi="Times New Roman" w:cs="Times New Roman"/>
          <w:color w:val="C00000"/>
          <w:sz w:val="24"/>
          <w:szCs w:val="24"/>
          <w:lang w:val="en-US" w:eastAsia="zh-CN"/>
        </w:rPr>
      </w:pPr>
    </w:p>
    <w:p>
      <w:pPr>
        <w:numPr>
          <w:ilvl w:val="0"/>
          <w:numId w:val="0"/>
        </w:numPr>
        <w:spacing w:line="480" w:lineRule="auto"/>
        <w:jc w:val="left"/>
        <w:rPr>
          <w:rFonts w:hint="default" w:ascii="Times New Roman" w:hAnsi="Times New Roman" w:cs="Times New Roman"/>
          <w:color w:val="C00000"/>
          <w:sz w:val="24"/>
          <w:szCs w:val="24"/>
          <w:lang w:val="en-US" w:eastAsia="zh-CN"/>
        </w:rPr>
      </w:pPr>
      <w:r>
        <w:rPr>
          <w:rFonts w:hint="default" w:ascii="Times New Roman" w:hAnsi="Times New Roman" w:cs="Times New Roman"/>
          <w:color w:val="C00000"/>
          <w:sz w:val="24"/>
          <w:szCs w:val="24"/>
          <w:lang w:val="en-US" w:eastAsia="zh-CN"/>
        </w:rPr>
        <w:t>The CHAP dataset integrates ground monitoring data, satellite remote sensing products, emission inventories, and atmospheric reanalysis, combined with a spatiotemporal random forest model to generate nationwide pollutant concentration estimates. Spatial resolution is 1 km for PM₂.₅, PM₁₀, and O₃, and 10 km for NO₂. In this study, long-term exposures were assessed by calculating annual mean pollutant concentrations during follow-up and linking them to participants’ city-level geocodes. Specifically, three-year average concentrations prior to the 2011 baseline survey were used to represent baseline exposure. Because CHARLS does not provide exact residential addresses, exposure assessment was conducted at the city level. All pollutant concentrations were modeled as continuous variables and expressed uniformly in micrograms per cubic meter (μg/m³).</w:t>
      </w:r>
    </w:p>
    <w:p>
      <w:pPr>
        <w:numPr>
          <w:ilvl w:val="0"/>
          <w:numId w:val="0"/>
        </w:numPr>
        <w:spacing w:line="480" w:lineRule="auto"/>
        <w:jc w:val="left"/>
        <w:rPr>
          <w:rFonts w:hint="default" w:ascii="Times New Roman" w:hAnsi="Times New Roman" w:cs="Times New Roman"/>
          <w:sz w:val="24"/>
          <w:szCs w:val="24"/>
          <w:lang w:val="en-US" w:eastAsia="zh-CN"/>
        </w:rPr>
      </w:pPr>
    </w:p>
    <w:p>
      <w:pPr>
        <w:bidi w:val="0"/>
        <w:rPr>
          <w:rFonts w:hint="default" w:ascii="Times New Roman" w:hAnsi="Times New Roman" w:cs="Times New Roman"/>
          <w:b/>
          <w:bCs/>
          <w:color w:val="70AD47" w:themeColor="accent6"/>
          <w:sz w:val="24"/>
          <w:szCs w:val="24"/>
          <w:lang w:val="en-US" w:eastAsia="zh-CN"/>
          <w14:textFill>
            <w14:solidFill>
              <w14:schemeClr w14:val="accent6"/>
            </w14:solidFill>
          </w14:textFill>
        </w:rPr>
      </w:pPr>
      <w:r>
        <w:rPr>
          <w:rFonts w:hint="default" w:ascii="Times New Roman" w:hAnsi="Times New Roman" w:cs="Times New Roman"/>
          <w:b/>
          <w:bCs/>
          <w:color w:val="70AD47" w:themeColor="accent6"/>
          <w:sz w:val="24"/>
          <w:szCs w:val="24"/>
          <w:lang w:val="en-US" w:eastAsia="zh-CN"/>
          <w14:textFill>
            <w14:solidFill>
              <w14:schemeClr w14:val="accent6"/>
            </w14:solidFill>
          </w14:textFill>
        </w:rPr>
        <w:t>2.3 Assessment of Heart Disease</w:t>
      </w:r>
    </w:p>
    <w:p>
      <w:pPr>
        <w:numPr>
          <w:ilvl w:val="0"/>
          <w:numId w:val="0"/>
        </w:numPr>
        <w:spacing w:line="480" w:lineRule="auto"/>
        <w:jc w:val="left"/>
        <w:rPr>
          <w:rFonts w:hint="default" w:ascii="Times New Roman" w:hAnsi="Times New Roman" w:cs="Times New Roman"/>
          <w:color w:val="70AD47" w:themeColor="accent6"/>
          <w:sz w:val="24"/>
          <w:szCs w:val="24"/>
          <w:lang w:val="en-US" w:eastAsia="zh-CN"/>
          <w14:textFill>
            <w14:solidFill>
              <w14:schemeClr w14:val="accent6"/>
            </w14:solidFill>
          </w14:textFill>
        </w:rPr>
      </w:pPr>
      <w:r>
        <w:rPr>
          <w:rFonts w:hint="default" w:ascii="Times New Roman" w:hAnsi="Times New Roman" w:cs="Times New Roman"/>
          <w:color w:val="70AD47" w:themeColor="accent6"/>
          <w:sz w:val="24"/>
          <w:szCs w:val="24"/>
          <w:lang w:val="en-US" w:eastAsia="zh-CN"/>
          <w14:textFill>
            <w14:solidFill>
              <w14:schemeClr w14:val="accent6"/>
            </w14:solidFill>
          </w14:textFill>
        </w:rPr>
        <w:t xml:space="preserve">The outcome variable in this study was the presence of </w:t>
      </w:r>
      <w:r>
        <w:rPr>
          <w:rFonts w:hint="eastAsia" w:ascii="Times New Roman" w:hAnsi="Times New Roman" w:cs="Times New Roman"/>
          <w:color w:val="70AD47" w:themeColor="accent6"/>
          <w:sz w:val="24"/>
          <w:szCs w:val="24"/>
          <w:lang w:val="en-US" w:eastAsia="zh-CN"/>
          <w14:textFill>
            <w14:solidFill>
              <w14:schemeClr w14:val="accent6"/>
            </w14:solidFill>
          </w14:textFill>
        </w:rPr>
        <w:t>HD</w:t>
      </w:r>
      <w:r>
        <w:rPr>
          <w:rFonts w:hint="default" w:ascii="Times New Roman" w:hAnsi="Times New Roman" w:cs="Times New Roman"/>
          <w:color w:val="70AD47" w:themeColor="accent6"/>
          <w:sz w:val="24"/>
          <w:szCs w:val="24"/>
          <w:lang w:val="en-US" w:eastAsia="zh-CN"/>
          <w14:textFill>
            <w14:solidFill>
              <w14:schemeClr w14:val="accent6"/>
            </w14:solidFill>
          </w14:textFill>
        </w:rPr>
        <w:t xml:space="preserve">, defined to include myocardial infarction (MI), CHD, angina, and heart failure (HF). The outcome was coded as a binary variable, where 0 represented "no" and 1 represented "yes." </w:t>
      </w:r>
      <w:r>
        <w:rPr>
          <w:rFonts w:hint="eastAsia" w:ascii="Times New Roman" w:hAnsi="Times New Roman" w:cs="Times New Roman"/>
          <w:color w:val="70AD47" w:themeColor="accent6"/>
          <w:sz w:val="24"/>
          <w:szCs w:val="24"/>
          <w:lang w:val="en-US" w:eastAsia="zh-CN"/>
          <w14:textFill>
            <w14:solidFill>
              <w14:schemeClr w14:val="accent6"/>
            </w14:solidFill>
          </w14:textFill>
        </w:rPr>
        <w:t>HD</w:t>
      </w:r>
      <w:r>
        <w:rPr>
          <w:rFonts w:hint="default" w:ascii="Times New Roman" w:hAnsi="Times New Roman" w:cs="Times New Roman"/>
          <w:color w:val="70AD47" w:themeColor="accent6"/>
          <w:sz w:val="24"/>
          <w:szCs w:val="24"/>
          <w:lang w:val="en-US" w:eastAsia="zh-CN"/>
          <w14:textFill>
            <w14:solidFill>
              <w14:schemeClr w14:val="accent6"/>
            </w14:solidFill>
          </w14:textFill>
        </w:rPr>
        <w:t xml:space="preserve"> was identified based on participants’ self-reported responses to standardized questions, such as “Have you ever been told by a doctor that you have had a heart attack, CHD, angina, heart failure, or any other heart problems?” These variables were collected from longitudinal follow-up data spanning from the 2011 baseline to 2020.</w:t>
      </w:r>
    </w:p>
    <w:p>
      <w:pPr>
        <w:numPr>
          <w:ilvl w:val="0"/>
          <w:numId w:val="0"/>
        </w:numPr>
        <w:spacing w:line="480" w:lineRule="auto"/>
        <w:jc w:val="left"/>
        <w:rPr>
          <w:rFonts w:hint="default" w:ascii="Times New Roman" w:hAnsi="Times New Roman" w:cs="Times New Roman"/>
          <w:sz w:val="24"/>
          <w:szCs w:val="24"/>
          <w:lang w:val="en-US" w:eastAsia="zh-CN"/>
        </w:rPr>
      </w:pPr>
    </w:p>
    <w:p>
      <w:pPr>
        <w:bidi w:val="0"/>
        <w:rPr>
          <w:rFonts w:hint="default" w:ascii="Times New Roman" w:hAnsi="Times New Roman" w:cs="Times New Roman"/>
          <w:b/>
          <w:bCs/>
          <w:color w:val="000000" w:themeColor="text1"/>
          <w:sz w:val="24"/>
          <w:szCs w:val="32"/>
          <w:lang w:val="en-US" w:eastAsia="zh-CN"/>
          <w14:textFill>
            <w14:solidFill>
              <w14:schemeClr w14:val="tx1"/>
            </w14:solidFill>
          </w14:textFill>
        </w:rPr>
      </w:pPr>
      <w:r>
        <w:rPr>
          <w:rFonts w:hint="default" w:ascii="Times New Roman" w:hAnsi="Times New Roman" w:cs="Times New Roman"/>
          <w:b/>
          <w:bCs/>
          <w:color w:val="000000" w:themeColor="text1"/>
          <w:sz w:val="24"/>
          <w:szCs w:val="32"/>
          <w:lang w:val="en-US" w:eastAsia="zh-CN"/>
          <w14:textFill>
            <w14:solidFill>
              <w14:schemeClr w14:val="tx1"/>
            </w14:solidFill>
          </w14:textFill>
        </w:rPr>
        <w:t>2.4 Covariates</w:t>
      </w:r>
    </w:p>
    <w:p>
      <w:pPr>
        <w:numPr>
          <w:ilvl w:val="0"/>
          <w:numId w:val="0"/>
        </w:numPr>
        <w:spacing w:line="480" w:lineRule="auto"/>
        <w:jc w:val="left"/>
        <w:rPr>
          <w:rFonts w:hint="default" w:ascii="Times New Roman" w:hAnsi="Times New Roman" w:cs="Times New Roman"/>
          <w:color w:val="C00000"/>
          <w:sz w:val="24"/>
          <w:szCs w:val="24"/>
          <w:lang w:val="en-US" w:eastAsia="zh-CN"/>
        </w:rPr>
      </w:pPr>
      <w:r>
        <w:rPr>
          <w:rFonts w:hint="default" w:ascii="Times New Roman" w:hAnsi="Times New Roman" w:cs="Times New Roman"/>
          <w:color w:val="000000" w:themeColor="text1"/>
          <w:sz w:val="24"/>
          <w:szCs w:val="24"/>
          <w:lang w:val="en-US" w:eastAsia="zh-CN"/>
          <w14:textFill>
            <w14:solidFill>
              <w14:schemeClr w14:val="tx1"/>
            </w14:solidFill>
          </w14:textFill>
        </w:rPr>
        <w:t xml:space="preserve">Covariates were chosen based on potential confounders previously identified in the literature as relevant to air pollution and </w:t>
      </w:r>
      <w:r>
        <w:rPr>
          <w:rFonts w:hint="eastAsia" w:ascii="Times New Roman" w:hAnsi="Times New Roman" w:cs="Times New Roman"/>
          <w:color w:val="000000" w:themeColor="text1"/>
          <w:sz w:val="24"/>
          <w:szCs w:val="24"/>
          <w:lang w:val="en-US" w:eastAsia="zh-CN"/>
          <w14:textFill>
            <w14:solidFill>
              <w14:schemeClr w14:val="tx1"/>
            </w14:solidFill>
          </w14:textFill>
        </w:rPr>
        <w:t>HD</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[2</w:t>
      </w:r>
      <w:r>
        <w:rPr>
          <w:rFonts w:hint="eastAsia" w:ascii="Times New Roman" w:hAnsi="Times New Roman" w:cs="Times New Roman"/>
          <w:color w:val="000000" w:themeColor="text1"/>
          <w:sz w:val="24"/>
          <w:szCs w:val="24"/>
          <w:lang w:val="en-US" w:eastAsia="zh-CN"/>
          <w14:textFill>
            <w14:solidFill>
              <w14:schemeClr w14:val="tx1"/>
            </w14:solidFill>
          </w14:textFill>
        </w:rPr>
        <w:t>5</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and included sociodemographic characteristics, lifestyle behaviors, and health conditions. Sociodemographic variables comprised age (continuous), sex (male/female), marital status (married/unmarried), educational level (primary or below/secondary/high school or above), and place of residence (urban/rural). Lifestyle variables included sleep duration (&lt;6, 6–8, or &gt;8 hours), smoking status (yes/no), and alcohol consumption (yes/no), all self-reported. Health-related covariates included body mass index (BMI, kg/m²), </w:t>
      </w:r>
      <w:r>
        <w:rPr>
          <w:rFonts w:hint="default" w:ascii="Times New Roman" w:hAnsi="Times New Roman" w:cs="Times New Roman"/>
          <w:color w:val="C00000"/>
          <w:sz w:val="24"/>
          <w:szCs w:val="24"/>
          <w:lang w:val="en-US" w:eastAsia="zh-CN"/>
        </w:rPr>
        <w:t>hypertension, and diabetes. Hypertension was defined as systolic blood pressure ≥140 mmHg, diastolic blood pressure ≥90 mmHg, self-reported physician diagnosis, or current use of antihypertensive medication. Diabetes was defined as fasting blood glucose ≥7.0 mmol/L, self-reported physician diagnosis, or current use of antidiabetic medication.</w:t>
      </w:r>
    </w:p>
    <w:p>
      <w:pPr>
        <w:numPr>
          <w:ilvl w:val="0"/>
          <w:numId w:val="0"/>
        </w:numPr>
        <w:spacing w:line="480" w:lineRule="auto"/>
        <w:jc w:val="left"/>
        <w:rPr>
          <w:rFonts w:hint="default" w:ascii="Times New Roman" w:hAnsi="Times New Roman" w:cs="Times New Roman"/>
          <w:sz w:val="24"/>
          <w:szCs w:val="24"/>
          <w:lang w:val="en-US" w:eastAsia="zh-CN"/>
        </w:rPr>
      </w:pPr>
    </w:p>
    <w:p>
      <w:pPr>
        <w:numPr>
          <w:ilvl w:val="0"/>
          <w:numId w:val="0"/>
        </w:numPr>
        <w:spacing w:line="480" w:lineRule="auto"/>
        <w:jc w:val="left"/>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2.5 Statistical Analysis</w:t>
      </w:r>
    </w:p>
    <w:p>
      <w:pPr>
        <w:numPr>
          <w:ilvl w:val="0"/>
          <w:numId w:val="0"/>
        </w:numPr>
        <w:spacing w:line="480" w:lineRule="auto"/>
        <w:jc w:val="left"/>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xml:space="preserve">Baseline characteristics were stratified by the presence or absence of </w:t>
      </w:r>
      <w:r>
        <w:rPr>
          <w:rFonts w:hint="eastAsia" w:ascii="Times New Roman" w:hAnsi="Times New Roman" w:cs="Times New Roman"/>
          <w:sz w:val="24"/>
          <w:szCs w:val="24"/>
          <w:lang w:val="en-US" w:eastAsia="zh-CN"/>
        </w:rPr>
        <w:t>HD</w:t>
      </w:r>
      <w:r>
        <w:rPr>
          <w:rFonts w:hint="default" w:ascii="Times New Roman" w:hAnsi="Times New Roman" w:cs="Times New Roman"/>
          <w:sz w:val="24"/>
          <w:szCs w:val="24"/>
          <w:lang w:val="en-US" w:eastAsia="zh-CN"/>
        </w:rPr>
        <w:t xml:space="preserve">. Normally distributed continuous variables were presented as mean ± standard deviation (SD), skewed variables as median with interquartile range (IQR), and categorical variables as frequencies (n) and percentages (%). Normality was assessed using the Kolmogorov–Smirnov test. Between-group differences were evaluated with analysis of covariance (ANCOVA) for normally distributed variables, nonparametric tests for skewed variables, and chi-square tests for categorical variables. </w:t>
      </w:r>
      <w:r>
        <w:rPr>
          <w:rFonts w:hint="default" w:ascii="Times New Roman" w:hAnsi="Times New Roman" w:cs="Times New Roman"/>
          <w:color w:val="C00000"/>
          <w:sz w:val="24"/>
          <w:szCs w:val="24"/>
          <w:lang w:val="en-US" w:eastAsia="zh-CN"/>
        </w:rPr>
        <w:t xml:space="preserve">In the cross-sectional analysis, generalized linear models (GLM) were used to evaluate associations between pollutant concentrations and baseline </w:t>
      </w:r>
      <w:r>
        <w:rPr>
          <w:rFonts w:hint="eastAsia" w:ascii="Times New Roman" w:hAnsi="Times New Roman" w:cs="Times New Roman"/>
          <w:color w:val="C00000"/>
          <w:sz w:val="24"/>
          <w:szCs w:val="24"/>
          <w:lang w:val="en-US" w:eastAsia="zh-CN"/>
        </w:rPr>
        <w:t>HD</w:t>
      </w:r>
      <w:r>
        <w:rPr>
          <w:rFonts w:hint="default" w:ascii="Times New Roman" w:hAnsi="Times New Roman" w:cs="Times New Roman"/>
          <w:color w:val="C00000"/>
          <w:sz w:val="24"/>
          <w:szCs w:val="24"/>
          <w:lang w:val="en-US" w:eastAsia="zh-CN"/>
        </w:rPr>
        <w:t xml:space="preserve"> prevalence, with progressive adjustment: the crude model was unadjusted; Model 1 adjusted for demographic factors (age, sex, residence, education, marital status); and Model 2 further adjusted for lifestyle factors (smoking, drinking, social activities), chronic conditions (hypertension, diabetes), and BMI. In the prospective analysis, Cox proportional hazards models estimated associations between baseline long-term exposure (three-year average concentrations, 2008–2010, standardized per 1-SD increment) and incident </w:t>
      </w:r>
      <w:r>
        <w:rPr>
          <w:rFonts w:hint="eastAsia" w:ascii="Times New Roman" w:hAnsi="Times New Roman" w:cs="Times New Roman"/>
          <w:color w:val="C00000"/>
          <w:sz w:val="24"/>
          <w:szCs w:val="24"/>
          <w:lang w:val="en-US" w:eastAsia="zh-CN"/>
        </w:rPr>
        <w:t>HD</w:t>
      </w:r>
      <w:r>
        <w:rPr>
          <w:rFonts w:hint="default" w:ascii="Times New Roman" w:hAnsi="Times New Roman" w:cs="Times New Roman"/>
          <w:color w:val="C00000"/>
          <w:sz w:val="24"/>
          <w:szCs w:val="24"/>
          <w:lang w:val="en-US" w:eastAsia="zh-CN"/>
        </w:rPr>
        <w:t>. Adjustment was conducted in three stages: Model 1 unadjusted; Model 2 adjusted for sex and age; and Model 3 further adjusted for BMI, smoking, sleep duration, blood pressure, waist circumference, residence, education, marital status, hypertension, diabetes, and alcohol consumption. To examine independent effects, two- and three-pollutant models were constructed based on Model 3.</w:t>
      </w:r>
      <w:r>
        <w:rPr>
          <w:rFonts w:hint="default" w:ascii="Times New Roman" w:hAnsi="Times New Roman" w:cs="Times New Roman"/>
          <w:sz w:val="24"/>
          <w:szCs w:val="24"/>
          <w:lang w:val="en-US" w:eastAsia="zh-CN"/>
        </w:rPr>
        <w:t xml:space="preserve"> </w:t>
      </w:r>
      <w:r>
        <w:rPr>
          <w:rFonts w:hint="default" w:ascii="Times New Roman" w:hAnsi="Times New Roman" w:cs="Times New Roman"/>
          <w:color w:val="C00000"/>
          <w:sz w:val="24"/>
          <w:szCs w:val="24"/>
          <w:lang w:val="en-US" w:eastAsia="zh-CN"/>
        </w:rPr>
        <w:t xml:space="preserve">Variance inflation factors (VIF) were calculated, excluding combinations with VIF &gt; </w:t>
      </w:r>
      <w:r>
        <w:rPr>
          <w:rFonts w:hint="eastAsia" w:ascii="Times New Roman" w:hAnsi="Times New Roman" w:cs="Times New Roman"/>
          <w:color w:val="C00000"/>
          <w:sz w:val="24"/>
          <w:szCs w:val="24"/>
          <w:lang w:val="en-US" w:eastAsia="zh-CN"/>
        </w:rPr>
        <w:t>5</w:t>
      </w:r>
      <w:r>
        <w:rPr>
          <w:rFonts w:hint="default" w:ascii="Times New Roman" w:hAnsi="Times New Roman" w:cs="Times New Roman"/>
          <w:color w:val="C00000"/>
          <w:sz w:val="24"/>
          <w:szCs w:val="24"/>
          <w:lang w:val="en-US" w:eastAsia="zh-CN"/>
        </w:rPr>
        <w:t xml:space="preserve">. Ridge-penalized Cox regression was performed as a sensitivity analysis. Subgroup and interaction analyses were conducted by sex, age (&lt;65 vs. ≥65 years), residence (urban/rural), education, smoking, drinking, diabetes, and hypertension. Hazard ratios (HRs) were estimated within strata, and interaction terms (“pollutant × characteristic”) were included in fully adjusted models. Likelihood ratio tests were used to assess interactions, with false discovery rate (FDR) correction for multiple comparisons. In exploratory analyses, we additionally fitted interaction terms between pollutants (PM₂.₅×NO₂, PM₂.₅×O₃, NO₂×O₃) one at a time on top of fully adjusted models, and evaluated them using likelihood ratio tests with FDR correction.Model diagnostics included tests of the proportional hazards assumption using Schoenfeld residuals and assessment of linearity in exposure–outcome associations with restricted cubic splines (RCS). All analyses were conducted using Empower(RCH) and R software (version 4.4.1). Statistical significance was defined as two-sided </w:t>
      </w:r>
      <w:r>
        <w:rPr>
          <w:rFonts w:hint="default" w:ascii="Times New Roman" w:hAnsi="Times New Roman" w:cs="Times New Roman"/>
          <w:i/>
          <w:iCs/>
          <w:color w:val="C00000"/>
          <w:sz w:val="24"/>
          <w:szCs w:val="24"/>
          <w:lang w:val="en-US" w:eastAsia="zh-CN"/>
        </w:rPr>
        <w:t>P</w:t>
      </w:r>
      <w:r>
        <w:rPr>
          <w:rFonts w:hint="default" w:ascii="Times New Roman" w:hAnsi="Times New Roman" w:cs="Times New Roman"/>
          <w:color w:val="C00000"/>
          <w:sz w:val="24"/>
          <w:szCs w:val="24"/>
          <w:lang w:val="en-US" w:eastAsia="zh-CN"/>
        </w:rPr>
        <w:t xml:space="preserve"> &lt; 0.05.</w:t>
      </w:r>
    </w:p>
    <w:p>
      <w:pPr>
        <w:numPr>
          <w:ilvl w:val="0"/>
          <w:numId w:val="0"/>
        </w:numPr>
        <w:spacing w:line="480" w:lineRule="auto"/>
        <w:jc w:val="both"/>
        <w:rPr>
          <w:rFonts w:hint="default" w:ascii="Times New Roman" w:hAnsi="Times New Roman" w:cs="Times New Roman"/>
          <w:sz w:val="24"/>
          <w:szCs w:val="24"/>
          <w:lang w:val="en-US" w:eastAsia="zh-CN"/>
        </w:rPr>
      </w:pPr>
    </w:p>
    <w:p>
      <w:pPr>
        <w:numPr>
          <w:ilvl w:val="0"/>
          <w:numId w:val="1"/>
        </w:numPr>
        <w:spacing w:line="480" w:lineRule="auto"/>
        <w:ind w:left="0" w:leftChars="0" w:firstLine="0" w:firstLineChars="0"/>
        <w:jc w:val="both"/>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Results</w:t>
      </w:r>
    </w:p>
    <w:p>
      <w:pPr>
        <w:numPr>
          <w:ilvl w:val="0"/>
          <w:numId w:val="0"/>
        </w:numPr>
        <w:spacing w:line="480" w:lineRule="auto"/>
        <w:jc w:val="left"/>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3.1 Characteristics of the Study Population</w:t>
      </w:r>
    </w:p>
    <w:p>
      <w:pPr>
        <w:numPr>
          <w:ilvl w:val="0"/>
          <w:numId w:val="0"/>
        </w:numPr>
        <w:spacing w:line="480" w:lineRule="auto"/>
        <w:jc w:val="left"/>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xml:space="preserve">A total of 9,403 participants were included in the study, comprising 1,124 (11.95%) in the </w:t>
      </w:r>
      <w:r>
        <w:rPr>
          <w:rFonts w:hint="eastAsia" w:ascii="Times New Roman" w:hAnsi="Times New Roman" w:cs="Times New Roman"/>
          <w:sz w:val="24"/>
          <w:szCs w:val="24"/>
          <w:lang w:val="en-US" w:eastAsia="zh-CN"/>
        </w:rPr>
        <w:t>HD</w:t>
      </w:r>
      <w:r>
        <w:rPr>
          <w:rFonts w:hint="default" w:ascii="Times New Roman" w:hAnsi="Times New Roman" w:cs="Times New Roman"/>
          <w:sz w:val="24"/>
          <w:szCs w:val="24"/>
          <w:lang w:val="en-US" w:eastAsia="zh-CN"/>
        </w:rPr>
        <w:t xml:space="preserve"> group and 8,279 (88.05%) in the non–</w:t>
      </w:r>
      <w:r>
        <w:rPr>
          <w:rFonts w:hint="eastAsia" w:ascii="Times New Roman" w:hAnsi="Times New Roman" w:cs="Times New Roman"/>
          <w:sz w:val="24"/>
          <w:szCs w:val="24"/>
          <w:lang w:val="en-US" w:eastAsia="zh-CN"/>
        </w:rPr>
        <w:t>HD</w:t>
      </w:r>
      <w:r>
        <w:rPr>
          <w:rFonts w:hint="default" w:ascii="Times New Roman" w:hAnsi="Times New Roman" w:cs="Times New Roman"/>
          <w:sz w:val="24"/>
          <w:szCs w:val="24"/>
          <w:lang w:val="en-US" w:eastAsia="zh-CN"/>
        </w:rPr>
        <w:t xml:space="preserve"> group. Compared with participants without </w:t>
      </w:r>
      <w:r>
        <w:rPr>
          <w:rFonts w:hint="eastAsia" w:ascii="Times New Roman" w:hAnsi="Times New Roman" w:cs="Times New Roman"/>
          <w:sz w:val="24"/>
          <w:szCs w:val="24"/>
          <w:lang w:val="en-US" w:eastAsia="zh-CN"/>
        </w:rPr>
        <w:t>HD</w:t>
      </w:r>
      <w:r>
        <w:rPr>
          <w:rFonts w:hint="default" w:ascii="Times New Roman" w:hAnsi="Times New Roman" w:cs="Times New Roman"/>
          <w:sz w:val="24"/>
          <w:szCs w:val="24"/>
          <w:lang w:val="en-US" w:eastAsia="zh-CN"/>
        </w:rPr>
        <w:t xml:space="preserve">, those with </w:t>
      </w:r>
      <w:r>
        <w:rPr>
          <w:rFonts w:hint="eastAsia" w:ascii="Times New Roman" w:hAnsi="Times New Roman" w:cs="Times New Roman"/>
          <w:sz w:val="24"/>
          <w:szCs w:val="24"/>
          <w:lang w:val="en-US" w:eastAsia="zh-CN"/>
        </w:rPr>
        <w:t>HD</w:t>
      </w:r>
      <w:r>
        <w:rPr>
          <w:rFonts w:hint="default" w:ascii="Times New Roman" w:hAnsi="Times New Roman" w:cs="Times New Roman"/>
          <w:sz w:val="24"/>
          <w:szCs w:val="24"/>
          <w:lang w:val="en-US" w:eastAsia="zh-CN"/>
        </w:rPr>
        <w:t xml:space="preserve"> had higher age, BMI, blood pressure, waist circumference, and triglyceride (TG) levels, but lower HDL-C levels (all </w:t>
      </w:r>
      <w:r>
        <w:rPr>
          <w:rFonts w:hint="default" w:ascii="Times New Roman" w:hAnsi="Times New Roman" w:cs="Times New Roman"/>
          <w:i/>
          <w:iCs/>
          <w:sz w:val="24"/>
          <w:szCs w:val="24"/>
          <w:lang w:val="en-US" w:eastAsia="zh-CN"/>
        </w:rPr>
        <w:t>P</w:t>
      </w:r>
      <w:r>
        <w:rPr>
          <w:rFonts w:hint="default" w:ascii="Times New Roman" w:hAnsi="Times New Roman" w:cs="Times New Roman"/>
          <w:sz w:val="24"/>
          <w:szCs w:val="24"/>
          <w:lang w:val="en-US" w:eastAsia="zh-CN"/>
        </w:rPr>
        <w:t xml:space="preserve"> &lt; 0.001). Total cholesterol (TC) was slightly higher in the </w:t>
      </w:r>
      <w:r>
        <w:rPr>
          <w:rFonts w:hint="eastAsia" w:ascii="Times New Roman" w:hAnsi="Times New Roman" w:cs="Times New Roman"/>
          <w:sz w:val="24"/>
          <w:szCs w:val="24"/>
          <w:lang w:val="en-US" w:eastAsia="zh-CN"/>
        </w:rPr>
        <w:t>HD</w:t>
      </w:r>
      <w:r>
        <w:rPr>
          <w:rFonts w:hint="default" w:ascii="Times New Roman" w:hAnsi="Times New Roman" w:cs="Times New Roman"/>
          <w:sz w:val="24"/>
          <w:szCs w:val="24"/>
          <w:lang w:val="en-US" w:eastAsia="zh-CN"/>
        </w:rPr>
        <w:t xml:space="preserve"> group (</w:t>
      </w:r>
      <w:r>
        <w:rPr>
          <w:rFonts w:hint="default" w:ascii="Times New Roman" w:hAnsi="Times New Roman" w:cs="Times New Roman"/>
          <w:i/>
          <w:iCs/>
          <w:sz w:val="24"/>
          <w:szCs w:val="24"/>
          <w:lang w:val="en-US" w:eastAsia="zh-CN"/>
        </w:rPr>
        <w:t>P</w:t>
      </w:r>
      <w:r>
        <w:rPr>
          <w:rFonts w:hint="default" w:ascii="Times New Roman" w:hAnsi="Times New Roman" w:cs="Times New Roman"/>
          <w:sz w:val="24"/>
          <w:szCs w:val="24"/>
          <w:lang w:val="en-US" w:eastAsia="zh-CN"/>
        </w:rPr>
        <w:t xml:space="preserve"> = 0.031), whereas LDL-C showed no significant difference. Regarding categorical variables, the </w:t>
      </w:r>
      <w:r>
        <w:rPr>
          <w:rFonts w:hint="eastAsia" w:ascii="Times New Roman" w:hAnsi="Times New Roman" w:cs="Times New Roman"/>
          <w:sz w:val="24"/>
          <w:szCs w:val="24"/>
          <w:lang w:val="en-US" w:eastAsia="zh-CN"/>
        </w:rPr>
        <w:t>HD</w:t>
      </w:r>
      <w:r>
        <w:rPr>
          <w:rFonts w:hint="default" w:ascii="Times New Roman" w:hAnsi="Times New Roman" w:cs="Times New Roman"/>
          <w:sz w:val="24"/>
          <w:szCs w:val="24"/>
          <w:lang w:val="en-US" w:eastAsia="zh-CN"/>
        </w:rPr>
        <w:t xml:space="preserve"> group had higher proportions of women, urban residents, individuals with hypertension or diabetes, and unmarried participants, but a lower proportion of alcohol drinkers (all </w:t>
      </w:r>
      <w:r>
        <w:rPr>
          <w:rFonts w:hint="default" w:ascii="Times New Roman" w:hAnsi="Times New Roman" w:cs="Times New Roman"/>
          <w:i/>
          <w:iCs/>
          <w:sz w:val="24"/>
          <w:szCs w:val="24"/>
          <w:lang w:val="en-US" w:eastAsia="zh-CN"/>
        </w:rPr>
        <w:t>P</w:t>
      </w:r>
      <w:r>
        <w:rPr>
          <w:rFonts w:hint="default" w:ascii="Times New Roman" w:hAnsi="Times New Roman" w:cs="Times New Roman"/>
          <w:sz w:val="24"/>
          <w:szCs w:val="24"/>
          <w:lang w:val="en-US" w:eastAsia="zh-CN"/>
        </w:rPr>
        <w:t xml:space="preserve"> &lt; 0.05). Sleep duration also differed between groups (</w:t>
      </w:r>
      <w:r>
        <w:rPr>
          <w:rFonts w:hint="default" w:ascii="Times New Roman" w:hAnsi="Times New Roman" w:cs="Times New Roman"/>
          <w:i/>
          <w:iCs/>
          <w:sz w:val="24"/>
          <w:szCs w:val="24"/>
          <w:lang w:val="en-US" w:eastAsia="zh-CN"/>
        </w:rPr>
        <w:t>P</w:t>
      </w:r>
      <w:r>
        <w:rPr>
          <w:rFonts w:hint="default" w:ascii="Times New Roman" w:hAnsi="Times New Roman" w:cs="Times New Roman"/>
          <w:sz w:val="24"/>
          <w:szCs w:val="24"/>
          <w:lang w:val="en-US" w:eastAsia="zh-CN"/>
        </w:rPr>
        <w:t xml:space="preserve"> = 0.007), while no significant differences were observed for the other variables (</w:t>
      </w:r>
      <w:r>
        <w:rPr>
          <w:rFonts w:hint="default" w:ascii="Times New Roman" w:hAnsi="Times New Roman" w:cs="Times New Roman"/>
          <w:b/>
          <w:bCs/>
          <w:sz w:val="24"/>
          <w:szCs w:val="24"/>
          <w:lang w:val="en-US" w:eastAsia="zh-CN"/>
        </w:rPr>
        <w:t>Table 1</w:t>
      </w:r>
      <w:r>
        <w:rPr>
          <w:rFonts w:hint="default" w:ascii="Times New Roman" w:hAnsi="Times New Roman" w:cs="Times New Roman"/>
          <w:sz w:val="24"/>
          <w:szCs w:val="24"/>
          <w:lang w:val="en-US" w:eastAsia="zh-CN"/>
        </w:rPr>
        <w:t>).</w:t>
      </w:r>
    </w:p>
    <w:p>
      <w:pPr>
        <w:numPr>
          <w:ilvl w:val="0"/>
          <w:numId w:val="0"/>
        </w:numPr>
        <w:spacing w:line="480" w:lineRule="auto"/>
        <w:jc w:val="both"/>
        <w:rPr>
          <w:rFonts w:hint="default" w:ascii="Times New Roman" w:hAnsi="Times New Roman" w:cs="Times New Roman"/>
          <w:sz w:val="24"/>
          <w:szCs w:val="24"/>
          <w:lang w:val="en-US" w:eastAsia="zh-CN"/>
        </w:rPr>
      </w:pPr>
    </w:p>
    <w:p>
      <w:pPr>
        <w:numPr>
          <w:ilvl w:val="0"/>
          <w:numId w:val="0"/>
        </w:numPr>
        <w:spacing w:line="240" w:lineRule="auto"/>
        <w:ind w:firstLine="723" w:firstLineChars="300"/>
        <w:jc w:val="center"/>
        <w:rPr>
          <w:rFonts w:hint="default" w:ascii="Times New Roman" w:hAnsi="Times New Roman" w:cs="Times New Roman"/>
          <w:sz w:val="24"/>
          <w:szCs w:val="24"/>
          <w:lang w:val="en-US" w:eastAsia="zh-CN"/>
        </w:rPr>
      </w:pPr>
      <w:r>
        <w:rPr>
          <w:rFonts w:hint="default" w:ascii="Times New Roman" w:hAnsi="Times New Roman" w:cs="Times New Roman"/>
          <w:b/>
          <w:bCs/>
          <w:sz w:val="24"/>
          <w:szCs w:val="24"/>
          <w:lang w:val="en-US" w:eastAsia="zh-CN"/>
        </w:rPr>
        <w:t>Table 1</w:t>
      </w:r>
      <w:r>
        <w:rPr>
          <w:rFonts w:hint="default" w:ascii="Times New Roman" w:hAnsi="Times New Roman" w:cs="Times New Roman"/>
          <w:sz w:val="24"/>
          <w:szCs w:val="24"/>
          <w:lang w:val="en-US" w:eastAsia="zh-CN"/>
        </w:rPr>
        <w:t>. Baseline Characteristics Comparison</w:t>
      </w:r>
    </w:p>
    <w:tbl>
      <w:tblPr>
        <w:tblStyle w:val="4"/>
        <w:tblW w:w="4998" w:type="pct"/>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52"/>
        <w:gridCol w:w="1956"/>
        <w:gridCol w:w="1956"/>
        <w:gridCol w:w="1956"/>
        <w:gridCol w:w="799"/>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108" w:type="pct"/>
            <w:tcBorders>
              <w:bottom w:val="single" w:color="auto" w:sz="6"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sz w:val="18"/>
                <w:szCs w:val="18"/>
                <w:u w:val="none"/>
              </w:rPr>
            </w:pPr>
            <w:r>
              <w:rPr>
                <w:rFonts w:hint="default" w:ascii="Times New Roman" w:hAnsi="Times New Roman" w:eastAsia="等线" w:cs="Times New Roman"/>
                <w:b/>
                <w:bCs/>
                <w:i w:val="0"/>
                <w:iCs w:val="0"/>
                <w:color w:val="000000"/>
                <w:kern w:val="0"/>
                <w:sz w:val="18"/>
                <w:szCs w:val="18"/>
                <w:u w:val="none"/>
                <w:lang w:val="en-US" w:eastAsia="zh-CN" w:bidi="ar"/>
              </w:rPr>
              <w:t>Variable</w:t>
            </w:r>
          </w:p>
        </w:tc>
        <w:tc>
          <w:tcPr>
            <w:tcW w:w="1131" w:type="pct"/>
            <w:tcBorders>
              <w:bottom w:val="single" w:color="auto" w:sz="6"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kern w:val="0"/>
                <w:sz w:val="18"/>
                <w:szCs w:val="18"/>
                <w:u w:val="none"/>
                <w:lang w:val="en-US" w:eastAsia="zh-CN" w:bidi="ar"/>
              </w:rPr>
            </w:pPr>
            <w:r>
              <w:rPr>
                <w:rFonts w:hint="default" w:ascii="Times New Roman" w:hAnsi="Times New Roman" w:eastAsia="等线" w:cs="Times New Roman"/>
                <w:b/>
                <w:bCs/>
                <w:i w:val="0"/>
                <w:iCs w:val="0"/>
                <w:color w:val="000000"/>
                <w:kern w:val="0"/>
                <w:sz w:val="18"/>
                <w:szCs w:val="18"/>
                <w:u w:val="none"/>
                <w:lang w:val="en-US" w:eastAsia="zh-CN" w:bidi="ar"/>
              </w:rPr>
              <w:t xml:space="preserve">Overall </w:t>
            </w:r>
          </w:p>
          <w:p>
            <w:pPr>
              <w:keepNext w:val="0"/>
              <w:keepLines w:val="0"/>
              <w:widowControl/>
              <w:suppressLineNumbers w:val="0"/>
              <w:jc w:val="center"/>
              <w:textAlignment w:val="bottom"/>
              <w:rPr>
                <w:rFonts w:hint="default" w:ascii="Times New Roman" w:hAnsi="Times New Roman" w:eastAsia="等线" w:cs="Times New Roman"/>
                <w:b/>
                <w:bCs/>
                <w:i w:val="0"/>
                <w:iCs w:val="0"/>
                <w:color w:val="000000"/>
                <w:sz w:val="18"/>
                <w:szCs w:val="18"/>
                <w:u w:val="none"/>
              </w:rPr>
            </w:pPr>
            <w:r>
              <w:rPr>
                <w:rFonts w:hint="default" w:ascii="Times New Roman" w:hAnsi="Times New Roman" w:eastAsia="等线" w:cs="Times New Roman"/>
                <w:b/>
                <w:bCs/>
                <w:i w:val="0"/>
                <w:iCs w:val="0"/>
                <w:color w:val="000000"/>
                <w:kern w:val="0"/>
                <w:sz w:val="18"/>
                <w:szCs w:val="18"/>
                <w:u w:val="none"/>
                <w:lang w:val="en-US" w:eastAsia="zh-CN" w:bidi="ar"/>
              </w:rPr>
              <w:t>(n = 9,403)</w:t>
            </w:r>
          </w:p>
        </w:tc>
        <w:tc>
          <w:tcPr>
            <w:tcW w:w="1131" w:type="pct"/>
            <w:tcBorders>
              <w:bottom w:val="single" w:color="auto" w:sz="6"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kern w:val="0"/>
                <w:sz w:val="18"/>
                <w:szCs w:val="18"/>
                <w:u w:val="none"/>
                <w:lang w:val="en-US" w:eastAsia="zh-CN" w:bidi="ar"/>
              </w:rPr>
            </w:pPr>
            <w:r>
              <w:rPr>
                <w:rFonts w:hint="default" w:ascii="Times New Roman" w:hAnsi="Times New Roman" w:eastAsia="等线" w:cs="Times New Roman"/>
                <w:b/>
                <w:bCs/>
                <w:i w:val="0"/>
                <w:iCs w:val="0"/>
                <w:color w:val="000000"/>
                <w:kern w:val="0"/>
                <w:sz w:val="18"/>
                <w:szCs w:val="18"/>
                <w:u w:val="none"/>
                <w:lang w:val="en-US" w:eastAsia="zh-CN" w:bidi="ar"/>
              </w:rPr>
              <w:t>Non-heart disease</w:t>
            </w:r>
          </w:p>
          <w:p>
            <w:pPr>
              <w:keepNext w:val="0"/>
              <w:keepLines w:val="0"/>
              <w:widowControl/>
              <w:suppressLineNumbers w:val="0"/>
              <w:jc w:val="center"/>
              <w:textAlignment w:val="bottom"/>
              <w:rPr>
                <w:rFonts w:hint="default" w:ascii="Times New Roman" w:hAnsi="Times New Roman" w:eastAsia="等线" w:cs="Times New Roman"/>
                <w:b/>
                <w:bCs/>
                <w:i w:val="0"/>
                <w:iCs w:val="0"/>
                <w:color w:val="000000"/>
                <w:sz w:val="18"/>
                <w:szCs w:val="18"/>
                <w:u w:val="none"/>
              </w:rPr>
            </w:pPr>
            <w:r>
              <w:rPr>
                <w:rFonts w:hint="default" w:ascii="Times New Roman" w:hAnsi="Times New Roman" w:eastAsia="等线" w:cs="Times New Roman"/>
                <w:b/>
                <w:bCs/>
                <w:i w:val="0"/>
                <w:iCs w:val="0"/>
                <w:color w:val="000000"/>
                <w:kern w:val="0"/>
                <w:sz w:val="18"/>
                <w:szCs w:val="18"/>
                <w:u w:val="none"/>
                <w:lang w:val="en-US" w:eastAsia="zh-CN" w:bidi="ar"/>
              </w:rPr>
              <w:t xml:space="preserve"> (n = 8,279)</w:t>
            </w:r>
          </w:p>
        </w:tc>
        <w:tc>
          <w:tcPr>
            <w:tcW w:w="1131" w:type="pct"/>
            <w:tcBorders>
              <w:bottom w:val="single" w:color="auto" w:sz="6"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kern w:val="0"/>
                <w:sz w:val="18"/>
                <w:szCs w:val="18"/>
                <w:u w:val="none"/>
                <w:lang w:val="en-US" w:eastAsia="zh-CN" w:bidi="ar"/>
              </w:rPr>
            </w:pPr>
            <w:r>
              <w:rPr>
                <w:rFonts w:hint="default" w:ascii="Times New Roman" w:hAnsi="Times New Roman" w:eastAsia="等线" w:cs="Times New Roman"/>
                <w:b/>
                <w:bCs/>
                <w:i w:val="0"/>
                <w:iCs w:val="0"/>
                <w:color w:val="000000"/>
                <w:kern w:val="0"/>
                <w:sz w:val="18"/>
                <w:szCs w:val="18"/>
                <w:u w:val="none"/>
                <w:lang w:val="en-US" w:eastAsia="zh-CN" w:bidi="ar"/>
              </w:rPr>
              <w:t>Heart disease</w:t>
            </w:r>
          </w:p>
          <w:p>
            <w:pPr>
              <w:keepNext w:val="0"/>
              <w:keepLines w:val="0"/>
              <w:widowControl/>
              <w:suppressLineNumbers w:val="0"/>
              <w:jc w:val="center"/>
              <w:textAlignment w:val="bottom"/>
              <w:rPr>
                <w:rFonts w:hint="default" w:ascii="Times New Roman" w:hAnsi="Times New Roman" w:eastAsia="等线" w:cs="Times New Roman"/>
                <w:b/>
                <w:bCs/>
                <w:i w:val="0"/>
                <w:iCs w:val="0"/>
                <w:color w:val="000000"/>
                <w:sz w:val="18"/>
                <w:szCs w:val="18"/>
                <w:u w:val="none"/>
              </w:rPr>
            </w:pPr>
            <w:r>
              <w:rPr>
                <w:rFonts w:hint="default" w:ascii="Times New Roman" w:hAnsi="Times New Roman" w:eastAsia="等线" w:cs="Times New Roman"/>
                <w:b/>
                <w:bCs/>
                <w:i w:val="0"/>
                <w:iCs w:val="0"/>
                <w:color w:val="000000"/>
                <w:kern w:val="0"/>
                <w:sz w:val="18"/>
                <w:szCs w:val="18"/>
                <w:u w:val="none"/>
                <w:lang w:val="en-US" w:eastAsia="zh-CN" w:bidi="ar"/>
              </w:rPr>
              <w:t xml:space="preserve"> (n = 1,124)</w:t>
            </w:r>
          </w:p>
        </w:tc>
        <w:tc>
          <w:tcPr>
            <w:tcW w:w="497" w:type="pct"/>
            <w:tcBorders>
              <w:bottom w:val="single" w:color="auto" w:sz="6"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sz w:val="18"/>
                <w:szCs w:val="18"/>
                <w:u w:val="none"/>
              </w:rPr>
            </w:pPr>
            <w:r>
              <w:rPr>
                <w:rFonts w:hint="default" w:ascii="Times New Roman" w:hAnsi="Times New Roman" w:eastAsia="等线" w:cs="Times New Roman"/>
                <w:b/>
                <w:bCs/>
                <w:i/>
                <w:iCs/>
                <w:color w:val="000000"/>
                <w:kern w:val="0"/>
                <w:sz w:val="18"/>
                <w:szCs w:val="18"/>
                <w:u w:val="none"/>
                <w:lang w:val="en-US" w:eastAsia="zh-CN" w:bidi="ar"/>
              </w:rPr>
              <w:t>P</w:t>
            </w:r>
            <w:r>
              <w:rPr>
                <w:rFonts w:hint="default" w:ascii="Times New Roman" w:hAnsi="Times New Roman" w:eastAsia="等线" w:cs="Times New Roman"/>
                <w:b/>
                <w:bCs/>
                <w:i w:val="0"/>
                <w:iCs w:val="0"/>
                <w:color w:val="000000"/>
                <w:kern w:val="0"/>
                <w:sz w:val="18"/>
                <w:szCs w:val="18"/>
                <w:u w:val="none"/>
                <w:lang w:val="en-US" w:eastAsia="zh-CN" w:bidi="ar"/>
              </w:rPr>
              <w:t>-value</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108" w:type="pct"/>
            <w:tcBorders>
              <w:top w:val="single" w:color="auto" w:sz="6" w:space="0"/>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sz w:val="18"/>
                <w:szCs w:val="18"/>
                <w:u w:val="none"/>
              </w:rPr>
            </w:pPr>
            <w:r>
              <w:rPr>
                <w:rFonts w:hint="default" w:ascii="Times New Roman" w:hAnsi="Times New Roman" w:eastAsia="等线" w:cs="Times New Roman"/>
                <w:b/>
                <w:bCs/>
                <w:i w:val="0"/>
                <w:iCs w:val="0"/>
                <w:color w:val="000000"/>
                <w:kern w:val="0"/>
                <w:sz w:val="18"/>
                <w:szCs w:val="18"/>
                <w:u w:val="none"/>
                <w:lang w:val="en-US" w:eastAsia="zh-CN" w:bidi="ar"/>
              </w:rPr>
              <w:t>Continuous variables</w:t>
            </w:r>
          </w:p>
        </w:tc>
        <w:tc>
          <w:tcPr>
            <w:tcW w:w="1131" w:type="pct"/>
            <w:tcBorders>
              <w:top w:val="single" w:color="auto" w:sz="6" w:space="0"/>
              <w:tl2br w:val="nil"/>
              <w:tr2bl w:val="nil"/>
            </w:tcBorders>
            <w:shd w:val="clear" w:color="auto" w:fill="auto"/>
            <w:noWrap/>
            <w:vAlign w:val="center"/>
          </w:tcPr>
          <w:p>
            <w:pPr>
              <w:jc w:val="center"/>
              <w:rPr>
                <w:rFonts w:hint="default" w:ascii="Times New Roman" w:hAnsi="Times New Roman" w:eastAsia="等线" w:cs="Times New Roman"/>
                <w:b/>
                <w:bCs/>
                <w:i w:val="0"/>
                <w:iCs w:val="0"/>
                <w:color w:val="000000"/>
                <w:sz w:val="18"/>
                <w:szCs w:val="18"/>
                <w:u w:val="none"/>
              </w:rPr>
            </w:pPr>
          </w:p>
        </w:tc>
        <w:tc>
          <w:tcPr>
            <w:tcW w:w="1131" w:type="pct"/>
            <w:tcBorders>
              <w:top w:val="single" w:color="auto" w:sz="6" w:space="0"/>
              <w:tl2br w:val="nil"/>
              <w:tr2bl w:val="nil"/>
            </w:tcBorders>
            <w:shd w:val="clear" w:color="auto" w:fill="auto"/>
            <w:noWrap/>
            <w:vAlign w:val="center"/>
          </w:tcPr>
          <w:p>
            <w:pPr>
              <w:jc w:val="center"/>
              <w:rPr>
                <w:rFonts w:hint="default" w:ascii="Times New Roman" w:hAnsi="Times New Roman" w:eastAsia="等线" w:cs="Times New Roman"/>
                <w:b/>
                <w:bCs/>
                <w:i w:val="0"/>
                <w:iCs w:val="0"/>
                <w:color w:val="000000"/>
                <w:sz w:val="18"/>
                <w:szCs w:val="18"/>
                <w:u w:val="none"/>
              </w:rPr>
            </w:pPr>
          </w:p>
        </w:tc>
        <w:tc>
          <w:tcPr>
            <w:tcW w:w="1131" w:type="pct"/>
            <w:tcBorders>
              <w:top w:val="single" w:color="auto" w:sz="6" w:space="0"/>
              <w:tl2br w:val="nil"/>
              <w:tr2bl w:val="nil"/>
            </w:tcBorders>
            <w:shd w:val="clear" w:color="auto" w:fill="auto"/>
            <w:noWrap/>
            <w:vAlign w:val="center"/>
          </w:tcPr>
          <w:p>
            <w:pPr>
              <w:jc w:val="center"/>
              <w:rPr>
                <w:rFonts w:hint="default" w:ascii="Times New Roman" w:hAnsi="Times New Roman" w:eastAsia="等线" w:cs="Times New Roman"/>
                <w:b/>
                <w:bCs/>
                <w:i w:val="0"/>
                <w:iCs w:val="0"/>
                <w:color w:val="000000"/>
                <w:sz w:val="18"/>
                <w:szCs w:val="18"/>
                <w:u w:val="none"/>
              </w:rPr>
            </w:pPr>
          </w:p>
        </w:tc>
        <w:tc>
          <w:tcPr>
            <w:tcW w:w="497" w:type="pct"/>
            <w:tcBorders>
              <w:top w:val="single" w:color="auto" w:sz="6" w:space="0"/>
              <w:tl2br w:val="nil"/>
              <w:tr2bl w:val="nil"/>
            </w:tcBorders>
            <w:shd w:val="clear" w:color="auto" w:fill="auto"/>
            <w:noWrap/>
            <w:vAlign w:val="center"/>
          </w:tcPr>
          <w:p>
            <w:pPr>
              <w:jc w:val="center"/>
              <w:rPr>
                <w:rFonts w:hint="default" w:ascii="Times New Roman" w:hAnsi="Times New Roman" w:eastAsia="等线" w:cs="Times New Roman"/>
                <w:b/>
                <w:bCs/>
                <w:i w:val="0"/>
                <w:iCs w:val="0"/>
                <w:color w:val="000000"/>
                <w:sz w:val="18"/>
                <w:szCs w:val="18"/>
                <w:u w:val="none"/>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108"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BMI, n (%)</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23.15 (20.87–25.81)</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23.05 (20.79–25.63)</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24.20 (21.56–27.02)</w:t>
            </w:r>
          </w:p>
        </w:tc>
        <w:tc>
          <w:tcPr>
            <w:tcW w:w="497"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108"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Age</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65.00 (59.00–72.00)</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65.00 (58.00–72.00)</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68.00 (62.00–75.00)</w:t>
            </w:r>
          </w:p>
        </w:tc>
        <w:tc>
          <w:tcPr>
            <w:tcW w:w="497"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SBP (mmHg)</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127.33 (114.67–142.33)</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126.67 (114.33–141.67)</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131.00 (117.67–148.00)</w:t>
            </w:r>
          </w:p>
        </w:tc>
        <w:tc>
          <w:tcPr>
            <w:tcW w:w="497"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DBP (mmHg)</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74.67 (67.33–83.33)</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74.67 (67.00–83.00)</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76.33 (68.33–85.33)</w:t>
            </w:r>
          </w:p>
        </w:tc>
        <w:tc>
          <w:tcPr>
            <w:tcW w:w="497"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TC (mg/dL)</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190.21 (167.01–215.34)</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189.82 (166.63–214.95)</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192.53 (169.72–216.88)</w:t>
            </w:r>
          </w:p>
        </w:tc>
        <w:tc>
          <w:tcPr>
            <w:tcW w:w="497"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0.031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TG(mg/dL)</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105.32 (74.34–153.99)</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103.55 (73.46–150.45)</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119.48 (84.96–176.12)</w:t>
            </w:r>
          </w:p>
        </w:tc>
        <w:tc>
          <w:tcPr>
            <w:tcW w:w="497"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108"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WC (cm)</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84.28 ± 12.65</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83.93 ± 12.42</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86.85 ± 14.01</w:t>
            </w:r>
          </w:p>
        </w:tc>
        <w:tc>
          <w:tcPr>
            <w:tcW w:w="497"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HDL-C (mg/dL)</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51.21 ± 15.27</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51.51 ± 15.28</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49.06 ± 15.04</w:t>
            </w:r>
          </w:p>
        </w:tc>
        <w:tc>
          <w:tcPr>
            <w:tcW w:w="497"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LDL-C (mg/dL)</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116.44 ± 35.15</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116.16 ± 34.99</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118.49 ± 36.23</w:t>
            </w:r>
          </w:p>
        </w:tc>
        <w:tc>
          <w:tcPr>
            <w:tcW w:w="497"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0.079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108"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sz w:val="18"/>
                <w:szCs w:val="18"/>
                <w:u w:val="none"/>
              </w:rPr>
            </w:pPr>
            <w:r>
              <w:rPr>
                <w:rFonts w:hint="default" w:ascii="Times New Roman" w:hAnsi="Times New Roman" w:eastAsia="等线" w:cs="Times New Roman"/>
                <w:b/>
                <w:bCs/>
                <w:i w:val="0"/>
                <w:iCs w:val="0"/>
                <w:color w:val="000000"/>
                <w:kern w:val="0"/>
                <w:sz w:val="18"/>
                <w:szCs w:val="18"/>
                <w:u w:val="none"/>
                <w:lang w:val="en-US" w:eastAsia="zh-CN" w:bidi="ar"/>
              </w:rPr>
              <w:t>Categorical variables</w:t>
            </w: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b/>
                <w:bCs/>
                <w:i w:val="0"/>
                <w:iCs w:val="0"/>
                <w:color w:val="000000"/>
                <w:sz w:val="18"/>
                <w:szCs w:val="18"/>
                <w:u w:val="none"/>
              </w:rPr>
            </w:pP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b/>
                <w:bCs/>
                <w:i w:val="0"/>
                <w:iCs w:val="0"/>
                <w:color w:val="000000"/>
                <w:sz w:val="18"/>
                <w:szCs w:val="18"/>
                <w:u w:val="none"/>
              </w:rPr>
            </w:pP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b/>
                <w:bCs/>
                <w:i w:val="0"/>
                <w:iCs w:val="0"/>
                <w:color w:val="000000"/>
                <w:sz w:val="18"/>
                <w:szCs w:val="18"/>
                <w:u w:val="none"/>
              </w:rPr>
            </w:pPr>
          </w:p>
        </w:tc>
        <w:tc>
          <w:tcPr>
            <w:tcW w:w="497" w:type="pct"/>
            <w:tcBorders>
              <w:tl2br w:val="nil"/>
              <w:tr2bl w:val="nil"/>
            </w:tcBorders>
            <w:shd w:val="clear" w:color="auto" w:fill="auto"/>
            <w:noWrap/>
            <w:vAlign w:val="center"/>
          </w:tcPr>
          <w:p>
            <w:pPr>
              <w:jc w:val="center"/>
              <w:rPr>
                <w:rFonts w:hint="default" w:ascii="Times New Roman" w:hAnsi="Times New Roman" w:eastAsia="等线" w:cs="Times New Roman"/>
                <w:b/>
                <w:bCs/>
                <w:i w:val="0"/>
                <w:iCs w:val="0"/>
                <w:color w:val="000000"/>
                <w:sz w:val="18"/>
                <w:szCs w:val="18"/>
                <w:u w:val="none"/>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Gender, n (%)</w:t>
            </w: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sz w:val="18"/>
                <w:szCs w:val="18"/>
                <w:u w:val="none"/>
              </w:rPr>
            </w:pP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sz w:val="18"/>
                <w:szCs w:val="18"/>
                <w:u w:val="none"/>
              </w:rPr>
            </w:pP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sz w:val="18"/>
                <w:szCs w:val="18"/>
                <w:u w:val="none"/>
              </w:rPr>
            </w:pPr>
          </w:p>
        </w:tc>
        <w:tc>
          <w:tcPr>
            <w:tcW w:w="497"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 Male</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4,346 (46.22)</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3,896 (47.06)</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450 (40.04)</w:t>
            </w:r>
          </w:p>
        </w:tc>
        <w:tc>
          <w:tcPr>
            <w:tcW w:w="497"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sz w:val="18"/>
                <w:szCs w:val="18"/>
                <w:u w:val="none"/>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 Female</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5,057 (53.78)</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4,383 (52.94)</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674 (59.96)</w:t>
            </w:r>
          </w:p>
        </w:tc>
        <w:tc>
          <w:tcPr>
            <w:tcW w:w="497"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sz w:val="18"/>
                <w:szCs w:val="18"/>
                <w:u w:val="none"/>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Smoking, n (%)</w:t>
            </w: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sz w:val="18"/>
                <w:szCs w:val="18"/>
                <w:u w:val="none"/>
              </w:rPr>
            </w:pP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sz w:val="18"/>
                <w:szCs w:val="18"/>
                <w:u w:val="none"/>
              </w:rPr>
            </w:pP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sz w:val="18"/>
                <w:szCs w:val="18"/>
                <w:u w:val="none"/>
              </w:rPr>
            </w:pPr>
          </w:p>
        </w:tc>
        <w:tc>
          <w:tcPr>
            <w:tcW w:w="497"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0.143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 Yes</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3,668 (39.01)</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3,252 (39.28)</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416 (37.01)</w:t>
            </w:r>
          </w:p>
        </w:tc>
        <w:tc>
          <w:tcPr>
            <w:tcW w:w="497"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sz w:val="18"/>
                <w:szCs w:val="18"/>
                <w:u w:val="none"/>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 No</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5,735 (60.99)</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5,027 (60.72)</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708 (62.99)</w:t>
            </w:r>
          </w:p>
        </w:tc>
        <w:tc>
          <w:tcPr>
            <w:tcW w:w="497"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sz w:val="18"/>
                <w:szCs w:val="18"/>
                <w:u w:val="none"/>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Social activity, n (%)</w:t>
            </w: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sz w:val="18"/>
                <w:szCs w:val="18"/>
                <w:u w:val="none"/>
              </w:rPr>
            </w:pP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sz w:val="18"/>
                <w:szCs w:val="18"/>
                <w:u w:val="none"/>
              </w:rPr>
            </w:pP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sz w:val="18"/>
                <w:szCs w:val="18"/>
                <w:u w:val="none"/>
              </w:rPr>
            </w:pPr>
          </w:p>
        </w:tc>
        <w:tc>
          <w:tcPr>
            <w:tcW w:w="497"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0.126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 Yes</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4,751 (50.53)</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4,159 (50.24)</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592 (52.67)</w:t>
            </w:r>
          </w:p>
        </w:tc>
        <w:tc>
          <w:tcPr>
            <w:tcW w:w="497"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sz w:val="18"/>
                <w:szCs w:val="18"/>
                <w:u w:val="none"/>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 No</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4,652 (49.47)</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4,120 (49.76)</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532 (47.33)</w:t>
            </w:r>
          </w:p>
        </w:tc>
        <w:tc>
          <w:tcPr>
            <w:tcW w:w="497"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sz w:val="18"/>
                <w:szCs w:val="18"/>
                <w:u w:val="none"/>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Sleep duration, n (%)</w:t>
            </w: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sz w:val="18"/>
                <w:szCs w:val="18"/>
                <w:u w:val="none"/>
              </w:rPr>
            </w:pP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sz w:val="18"/>
                <w:szCs w:val="18"/>
                <w:u w:val="none"/>
              </w:rPr>
            </w:pP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sz w:val="18"/>
                <w:szCs w:val="18"/>
                <w:u w:val="none"/>
              </w:rPr>
            </w:pPr>
          </w:p>
        </w:tc>
        <w:tc>
          <w:tcPr>
            <w:tcW w:w="497"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0.007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108"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&lt;6 h</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1,309 (13.92)</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1,131 (13.66)</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178 (15.84)</w:t>
            </w:r>
          </w:p>
        </w:tc>
        <w:tc>
          <w:tcPr>
            <w:tcW w:w="497"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sz w:val="18"/>
                <w:szCs w:val="18"/>
                <w:u w:val="none"/>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108"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6</w:t>
            </w:r>
            <w:r>
              <w:rPr>
                <w:rFonts w:hint="eastAsia" w:ascii="Times New Roman" w:hAnsi="Times New Roman" w:eastAsia="等线" w:cs="Times New Roman"/>
                <w:i w:val="0"/>
                <w:iCs w:val="0"/>
                <w:color w:val="000000"/>
                <w:kern w:val="0"/>
                <w:sz w:val="18"/>
                <w:szCs w:val="18"/>
                <w:u w:val="none"/>
                <w:lang w:val="en-US" w:eastAsia="zh-CN" w:bidi="ar"/>
              </w:rPr>
              <w:t>-</w:t>
            </w:r>
            <w:r>
              <w:rPr>
                <w:rFonts w:hint="default" w:ascii="Times New Roman" w:hAnsi="Times New Roman" w:eastAsia="等线" w:cs="Times New Roman"/>
                <w:i w:val="0"/>
                <w:iCs w:val="0"/>
                <w:color w:val="000000"/>
                <w:kern w:val="0"/>
                <w:sz w:val="18"/>
                <w:szCs w:val="18"/>
                <w:u w:val="none"/>
                <w:lang w:val="en-US" w:eastAsia="zh-CN" w:bidi="ar"/>
              </w:rPr>
              <w:t>8 h</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6,264 (66.62)</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5,502 (66.46)</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762 (67.79)</w:t>
            </w:r>
          </w:p>
        </w:tc>
        <w:tc>
          <w:tcPr>
            <w:tcW w:w="497"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sz w:val="18"/>
                <w:szCs w:val="18"/>
                <w:u w:val="none"/>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108"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&gt;8 h</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1,830 (19.46)</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1,646 (19.88)</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184 (16.37)</w:t>
            </w:r>
          </w:p>
        </w:tc>
        <w:tc>
          <w:tcPr>
            <w:tcW w:w="497"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sz w:val="18"/>
                <w:szCs w:val="18"/>
                <w:u w:val="none"/>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Location, n (%)</w:t>
            </w: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sz w:val="18"/>
                <w:szCs w:val="18"/>
                <w:u w:val="none"/>
              </w:rPr>
            </w:pP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sz w:val="18"/>
                <w:szCs w:val="18"/>
                <w:u w:val="none"/>
              </w:rPr>
            </w:pP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sz w:val="18"/>
                <w:szCs w:val="18"/>
                <w:u w:val="none"/>
              </w:rPr>
            </w:pPr>
          </w:p>
        </w:tc>
        <w:tc>
          <w:tcPr>
            <w:tcW w:w="497"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 Urban</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709 (7.54)</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569 (6.87)</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140 (12.46)</w:t>
            </w:r>
          </w:p>
        </w:tc>
        <w:tc>
          <w:tcPr>
            <w:tcW w:w="497"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sz w:val="18"/>
                <w:szCs w:val="18"/>
                <w:u w:val="none"/>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 Rural</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8,694 (92.46)</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7,710 (93.13)</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984 (87.54)</w:t>
            </w:r>
          </w:p>
        </w:tc>
        <w:tc>
          <w:tcPr>
            <w:tcW w:w="497"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sz w:val="18"/>
                <w:szCs w:val="18"/>
                <w:u w:val="none"/>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Education, n (%)</w:t>
            </w: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sz w:val="18"/>
                <w:szCs w:val="18"/>
                <w:u w:val="none"/>
              </w:rPr>
            </w:pP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sz w:val="18"/>
                <w:szCs w:val="18"/>
                <w:u w:val="none"/>
              </w:rPr>
            </w:pP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sz w:val="18"/>
                <w:szCs w:val="18"/>
                <w:u w:val="none"/>
              </w:rPr>
            </w:pPr>
          </w:p>
        </w:tc>
        <w:tc>
          <w:tcPr>
            <w:tcW w:w="497"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0.056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 Elementary or below</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2,675 (28.45)</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2,389 (28.86)</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286 (25.44)</w:t>
            </w:r>
          </w:p>
        </w:tc>
        <w:tc>
          <w:tcPr>
            <w:tcW w:w="497"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sz w:val="18"/>
                <w:szCs w:val="18"/>
                <w:u w:val="none"/>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 Middle school</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3,911 (41.59)</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3,428 (41.41)</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483 (42.97)</w:t>
            </w:r>
          </w:p>
        </w:tc>
        <w:tc>
          <w:tcPr>
            <w:tcW w:w="497"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sz w:val="18"/>
                <w:szCs w:val="18"/>
                <w:u w:val="none"/>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 High school or above</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2,817 (29.96)</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2,462 (29.74)</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355 (31.58)</w:t>
            </w:r>
          </w:p>
        </w:tc>
        <w:tc>
          <w:tcPr>
            <w:tcW w:w="497"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sz w:val="18"/>
                <w:szCs w:val="18"/>
                <w:u w:val="none"/>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b/>
                <w:bCs/>
                <w:i w:val="0"/>
                <w:iCs w:val="0"/>
                <w:color w:val="000000" w:themeColor="text1"/>
                <w:kern w:val="0"/>
                <w:sz w:val="18"/>
                <w:szCs w:val="18"/>
                <w:highlight w:val="none"/>
                <w:u w:val="none"/>
                <w:lang w:val="en-US" w:eastAsia="zh-CN" w:bidi="ar"/>
                <w14:textFill>
                  <w14:solidFill>
                    <w14:schemeClr w14:val="tx1"/>
                  </w14:solidFill>
                </w14:textFill>
              </w:rPr>
              <w:t>Marital status, n (%)</w:t>
            </w: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sz w:val="18"/>
                <w:szCs w:val="18"/>
                <w:u w:val="none"/>
              </w:rPr>
            </w:pP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sz w:val="18"/>
                <w:szCs w:val="18"/>
                <w:u w:val="none"/>
              </w:rPr>
            </w:pP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sz w:val="18"/>
                <w:szCs w:val="18"/>
                <w:u w:val="none"/>
              </w:rPr>
            </w:pPr>
          </w:p>
        </w:tc>
        <w:tc>
          <w:tcPr>
            <w:tcW w:w="497"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0.006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themeColor="text1"/>
                <w:kern w:val="0"/>
                <w:sz w:val="18"/>
                <w:szCs w:val="18"/>
                <w:highlight w:val="none"/>
                <w:u w:val="none"/>
                <w:lang w:val="en-US" w:eastAsia="zh-CN" w:bidi="ar"/>
                <w14:textFill>
                  <w14:solidFill>
                    <w14:schemeClr w14:val="tx1"/>
                  </w14:solidFill>
                </w14:textFill>
              </w:rPr>
              <w:t> Married</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8,289 (88.15)</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7,326 (88.49)</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963 (85.68)</w:t>
            </w:r>
          </w:p>
        </w:tc>
        <w:tc>
          <w:tcPr>
            <w:tcW w:w="497"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sz w:val="18"/>
                <w:szCs w:val="18"/>
                <w:u w:val="none"/>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themeColor="text1"/>
                <w:kern w:val="0"/>
                <w:sz w:val="18"/>
                <w:szCs w:val="18"/>
                <w:highlight w:val="none"/>
                <w:u w:val="none"/>
                <w:lang w:val="en-US" w:eastAsia="zh-CN" w:bidi="ar"/>
                <w14:textFill>
                  <w14:solidFill>
                    <w14:schemeClr w14:val="tx1"/>
                  </w14:solidFill>
                </w14:textFill>
              </w:rPr>
              <w:t> Unmarried</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1,114 (11.85)</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953 (11.51)</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161 (14.32)</w:t>
            </w:r>
          </w:p>
        </w:tc>
        <w:tc>
          <w:tcPr>
            <w:tcW w:w="497"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sz w:val="18"/>
                <w:szCs w:val="18"/>
                <w:u w:val="none"/>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Hypertension, n (%)</w:t>
            </w: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sz w:val="18"/>
                <w:szCs w:val="18"/>
                <w:u w:val="none"/>
              </w:rPr>
            </w:pP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sz w:val="18"/>
                <w:szCs w:val="18"/>
                <w:u w:val="none"/>
              </w:rPr>
            </w:pP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sz w:val="18"/>
                <w:szCs w:val="18"/>
                <w:u w:val="none"/>
              </w:rPr>
            </w:pPr>
          </w:p>
        </w:tc>
        <w:tc>
          <w:tcPr>
            <w:tcW w:w="497"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 Yes</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3,825 (40.68)</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3,179 (38.40)</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646 (57.47)</w:t>
            </w:r>
          </w:p>
        </w:tc>
        <w:tc>
          <w:tcPr>
            <w:tcW w:w="497"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sz w:val="18"/>
                <w:szCs w:val="18"/>
                <w:u w:val="none"/>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 No</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5,578 (59.32)</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5,100 (61.60)</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478 (42.53)</w:t>
            </w:r>
          </w:p>
        </w:tc>
        <w:tc>
          <w:tcPr>
            <w:tcW w:w="497"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sz w:val="18"/>
                <w:szCs w:val="18"/>
                <w:u w:val="none"/>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DM, n (%)</w:t>
            </w: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sz w:val="18"/>
                <w:szCs w:val="18"/>
                <w:u w:val="none"/>
              </w:rPr>
            </w:pP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sz w:val="18"/>
                <w:szCs w:val="18"/>
                <w:u w:val="none"/>
              </w:rPr>
            </w:pP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sz w:val="18"/>
                <w:szCs w:val="18"/>
                <w:u w:val="none"/>
              </w:rPr>
            </w:pPr>
          </w:p>
        </w:tc>
        <w:tc>
          <w:tcPr>
            <w:tcW w:w="497"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 Yes</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988 (10.51)</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830 (10.03)</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158 (14.06)</w:t>
            </w:r>
          </w:p>
        </w:tc>
        <w:tc>
          <w:tcPr>
            <w:tcW w:w="497"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sz w:val="18"/>
                <w:szCs w:val="18"/>
                <w:u w:val="none"/>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 No</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8,415 (89.49)</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7,449 (89.97)</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966 (85.94)</w:t>
            </w:r>
          </w:p>
        </w:tc>
        <w:tc>
          <w:tcPr>
            <w:tcW w:w="497"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sz w:val="18"/>
                <w:szCs w:val="18"/>
                <w:u w:val="none"/>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b/>
                <w:bCs/>
                <w:i w:val="0"/>
                <w:iCs w:val="0"/>
                <w:color w:val="000000" w:themeColor="text1"/>
                <w:kern w:val="0"/>
                <w:sz w:val="18"/>
                <w:szCs w:val="18"/>
                <w:u w:val="none"/>
                <w:lang w:val="en-US" w:eastAsia="zh-CN" w:bidi="ar"/>
                <w14:textFill>
                  <w14:solidFill>
                    <w14:schemeClr w14:val="tx1"/>
                  </w14:solidFill>
                </w14:textFill>
              </w:rPr>
              <w:t>Drinking, n (%)</w:t>
            </w: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sz w:val="18"/>
                <w:szCs w:val="18"/>
                <w:u w:val="none"/>
              </w:rPr>
            </w:pP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sz w:val="18"/>
                <w:szCs w:val="18"/>
                <w:u w:val="none"/>
              </w:rPr>
            </w:pPr>
          </w:p>
        </w:tc>
        <w:tc>
          <w:tcPr>
            <w:tcW w:w="1131"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sz w:val="18"/>
                <w:szCs w:val="18"/>
                <w:u w:val="none"/>
              </w:rPr>
            </w:pPr>
          </w:p>
        </w:tc>
        <w:tc>
          <w:tcPr>
            <w:tcW w:w="497"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 Yes</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3,063 (32.57)</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2,794 (33.75)</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269 (23.93)</w:t>
            </w:r>
          </w:p>
        </w:tc>
        <w:tc>
          <w:tcPr>
            <w:tcW w:w="497"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sz w:val="18"/>
                <w:szCs w:val="18"/>
                <w:u w:val="none"/>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1763"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themeColor="text1"/>
                <w:kern w:val="0"/>
                <w:sz w:val="18"/>
                <w:szCs w:val="18"/>
                <w:u w:val="none"/>
                <w:lang w:val="en-US" w:eastAsia="zh-CN" w:bidi="ar"/>
                <w14:textFill>
                  <w14:solidFill>
                    <w14:schemeClr w14:val="tx1"/>
                  </w14:solidFill>
                </w14:textFill>
              </w:rPr>
              <w:t> No</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6,340 (67.43)</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5,485 (66.25)</w:t>
            </w:r>
          </w:p>
        </w:tc>
        <w:tc>
          <w:tcPr>
            <w:tcW w:w="1131"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855 (76.07)</w:t>
            </w:r>
          </w:p>
        </w:tc>
        <w:tc>
          <w:tcPr>
            <w:tcW w:w="497" w:type="pct"/>
            <w:tcBorders>
              <w:tl2br w:val="nil"/>
              <w:tr2bl w:val="nil"/>
            </w:tcBorders>
            <w:shd w:val="clear" w:color="auto" w:fill="auto"/>
            <w:noWrap/>
            <w:vAlign w:val="center"/>
          </w:tcPr>
          <w:p>
            <w:pPr>
              <w:jc w:val="center"/>
              <w:rPr>
                <w:rFonts w:hint="default" w:ascii="Times New Roman" w:hAnsi="Times New Roman" w:eastAsia="等线" w:cs="Times New Roman"/>
                <w:i w:val="0"/>
                <w:iCs w:val="0"/>
                <w:color w:val="000000"/>
                <w:sz w:val="18"/>
                <w:szCs w:val="18"/>
                <w:u w:val="none"/>
              </w:rPr>
            </w:pPr>
          </w:p>
        </w:tc>
      </w:tr>
    </w:tbl>
    <w:p>
      <w:pPr>
        <w:numPr>
          <w:ilvl w:val="0"/>
          <w:numId w:val="0"/>
        </w:numPr>
        <w:jc w:val="both"/>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Abbreviations: BMI, body mass index; SBP, systolic blood pressure; DBP, diastolic blood pressure;TC, total cholesterol; TG, triglycerides; WC, waist circumference; HDL-C, high-density lipoprotein cholesterol; LDL-C, low-density lipoprotein cholesterol.</w:t>
      </w:r>
    </w:p>
    <w:p>
      <w:pPr>
        <w:numPr>
          <w:ilvl w:val="0"/>
          <w:numId w:val="0"/>
        </w:numPr>
        <w:spacing w:line="480" w:lineRule="auto"/>
        <w:jc w:val="both"/>
        <w:rPr>
          <w:rFonts w:hint="default" w:ascii="Times New Roman" w:hAnsi="Times New Roman" w:cs="Times New Roman"/>
          <w:sz w:val="24"/>
          <w:szCs w:val="24"/>
          <w:lang w:val="en-US" w:eastAsia="zh-CN"/>
        </w:rPr>
      </w:pPr>
    </w:p>
    <w:p>
      <w:pPr>
        <w:numPr>
          <w:ilvl w:val="0"/>
          <w:numId w:val="0"/>
        </w:numPr>
        <w:spacing w:line="480" w:lineRule="auto"/>
        <w:jc w:val="both"/>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3.2 Air pollutant exposure and risk of heart disease</w:t>
      </w:r>
    </w:p>
    <w:p>
      <w:pPr>
        <w:numPr>
          <w:ilvl w:val="0"/>
          <w:numId w:val="0"/>
        </w:numPr>
        <w:spacing w:line="480" w:lineRule="auto"/>
        <w:jc w:val="left"/>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xml:space="preserve">In cross-sectional logistic regression analyses, only PM₁₀ was significantly associated with </w:t>
      </w:r>
      <w:r>
        <w:rPr>
          <w:rFonts w:hint="eastAsia" w:ascii="Times New Roman" w:hAnsi="Times New Roman" w:cs="Times New Roman"/>
          <w:sz w:val="24"/>
          <w:szCs w:val="24"/>
          <w:lang w:val="en-US" w:eastAsia="zh-CN"/>
        </w:rPr>
        <w:t>HD</w:t>
      </w:r>
      <w:r>
        <w:rPr>
          <w:rFonts w:hint="default" w:ascii="Times New Roman" w:hAnsi="Times New Roman" w:cs="Times New Roman"/>
          <w:sz w:val="24"/>
          <w:szCs w:val="24"/>
          <w:lang w:val="en-US" w:eastAsia="zh-CN"/>
        </w:rPr>
        <w:t xml:space="preserve"> risk. In the fully adjusted model, each 1 μg/m³ increase in PM₁₀ corresponded to a 0.2% higher risk of </w:t>
      </w:r>
      <w:r>
        <w:rPr>
          <w:rFonts w:hint="eastAsia" w:ascii="Times New Roman" w:hAnsi="Times New Roman" w:cs="Times New Roman"/>
          <w:sz w:val="24"/>
          <w:szCs w:val="24"/>
          <w:lang w:val="en-US" w:eastAsia="zh-CN"/>
        </w:rPr>
        <w:t>HD</w:t>
      </w:r>
      <w:r>
        <w:rPr>
          <w:rFonts w:hint="default" w:ascii="Times New Roman" w:hAnsi="Times New Roman" w:cs="Times New Roman"/>
          <w:sz w:val="24"/>
          <w:szCs w:val="24"/>
          <w:lang w:val="en-US" w:eastAsia="zh-CN"/>
        </w:rPr>
        <w:t xml:space="preserve"> (</w:t>
      </w:r>
      <w:r>
        <w:rPr>
          <w:rFonts w:hint="default" w:ascii="Times New Roman" w:hAnsi="Times New Roman" w:cs="Times New Roman"/>
          <w:i/>
          <w:iCs/>
          <w:sz w:val="24"/>
          <w:szCs w:val="24"/>
          <w:lang w:val="en-US" w:eastAsia="zh-CN"/>
        </w:rPr>
        <w:t>OR</w:t>
      </w:r>
      <w:r>
        <w:rPr>
          <w:rFonts w:hint="default" w:ascii="Times New Roman" w:hAnsi="Times New Roman" w:cs="Times New Roman"/>
          <w:sz w:val="24"/>
          <w:szCs w:val="24"/>
          <w:lang w:val="en-US" w:eastAsia="zh-CN"/>
        </w:rPr>
        <w:t xml:space="preserve"> = 1.002, 95% </w:t>
      </w:r>
      <w:r>
        <w:rPr>
          <w:rFonts w:hint="default" w:ascii="Times New Roman" w:hAnsi="Times New Roman" w:cs="Times New Roman"/>
          <w:i/>
          <w:iCs/>
          <w:sz w:val="24"/>
          <w:szCs w:val="24"/>
          <w:lang w:val="en-US" w:eastAsia="zh-CN"/>
        </w:rPr>
        <w:t>CI</w:t>
      </w:r>
      <w:r>
        <w:rPr>
          <w:rFonts w:hint="default" w:ascii="Times New Roman" w:hAnsi="Times New Roman" w:cs="Times New Roman"/>
          <w:sz w:val="24"/>
          <w:szCs w:val="24"/>
          <w:lang w:val="en-US" w:eastAsia="zh-CN"/>
        </w:rPr>
        <w:t xml:space="preserve">: 1.000–1.004, </w:t>
      </w:r>
      <w:r>
        <w:rPr>
          <w:rFonts w:hint="default" w:ascii="Times New Roman" w:hAnsi="Times New Roman" w:cs="Times New Roman"/>
          <w:i/>
          <w:iCs/>
          <w:sz w:val="24"/>
          <w:szCs w:val="24"/>
          <w:lang w:val="en-US" w:eastAsia="zh-CN"/>
        </w:rPr>
        <w:t>P</w:t>
      </w:r>
      <w:r>
        <w:rPr>
          <w:rFonts w:hint="default" w:ascii="Times New Roman" w:hAnsi="Times New Roman" w:cs="Times New Roman"/>
          <w:sz w:val="24"/>
          <w:szCs w:val="24"/>
          <w:lang w:val="en-US" w:eastAsia="zh-CN"/>
        </w:rPr>
        <w:t xml:space="preserve"> = 0.019). No significant associations were detected for PM₂.₅, PM₁, NO₂, or O₃ in any model (</w:t>
      </w:r>
      <w:r>
        <w:rPr>
          <w:rFonts w:hint="default" w:ascii="Times New Roman" w:hAnsi="Times New Roman" w:cs="Times New Roman"/>
          <w:b/>
          <w:bCs/>
          <w:sz w:val="24"/>
          <w:szCs w:val="24"/>
          <w:lang w:val="en-US" w:eastAsia="zh-CN"/>
        </w:rPr>
        <w:t>Table 2</w:t>
      </w:r>
      <w:r>
        <w:rPr>
          <w:rFonts w:hint="default" w:ascii="Times New Roman" w:hAnsi="Times New Roman" w:cs="Times New Roman"/>
          <w:sz w:val="24"/>
          <w:szCs w:val="24"/>
          <w:lang w:val="en-US" w:eastAsia="zh-CN"/>
        </w:rPr>
        <w:t>).</w:t>
      </w:r>
    </w:p>
    <w:p>
      <w:pPr>
        <w:numPr>
          <w:ilvl w:val="0"/>
          <w:numId w:val="0"/>
        </w:numPr>
        <w:spacing w:line="480" w:lineRule="auto"/>
        <w:jc w:val="left"/>
        <w:rPr>
          <w:rFonts w:hint="default" w:ascii="Times New Roman" w:hAnsi="Times New Roman" w:cs="Times New Roman"/>
          <w:sz w:val="24"/>
          <w:szCs w:val="24"/>
          <w:lang w:val="en-US" w:eastAsia="zh-CN"/>
        </w:rPr>
      </w:pPr>
    </w:p>
    <w:p>
      <w:pPr>
        <w:numPr>
          <w:ilvl w:val="0"/>
          <w:numId w:val="0"/>
        </w:numPr>
        <w:spacing w:line="240" w:lineRule="auto"/>
        <w:jc w:val="center"/>
        <w:rPr>
          <w:rFonts w:hint="default" w:ascii="Times New Roman" w:hAnsi="Times New Roman" w:cs="Times New Roman"/>
          <w:sz w:val="24"/>
          <w:szCs w:val="24"/>
          <w:lang w:val="en-US" w:eastAsia="zh-CN"/>
        </w:rPr>
      </w:pPr>
      <w:r>
        <w:rPr>
          <w:rFonts w:hint="default" w:ascii="Times New Roman" w:hAnsi="Times New Roman" w:cs="Times New Roman"/>
          <w:b/>
          <w:bCs/>
          <w:sz w:val="24"/>
          <w:szCs w:val="24"/>
          <w:lang w:val="en-US" w:eastAsia="zh-CN"/>
        </w:rPr>
        <w:t>Table 2</w:t>
      </w:r>
      <w:r>
        <w:rPr>
          <w:rFonts w:hint="default" w:ascii="Times New Roman" w:hAnsi="Times New Roman" w:cs="Times New Roman"/>
          <w:sz w:val="24"/>
          <w:szCs w:val="24"/>
          <w:lang w:val="en-US" w:eastAsia="zh-CN"/>
        </w:rPr>
        <w:t>. Logistic regression analysis of air pollutant exposure and risk of heart disease</w:t>
      </w:r>
    </w:p>
    <w:tbl>
      <w:tblPr>
        <w:tblStyle w:val="4"/>
        <w:tblW w:w="5000" w:type="pct"/>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77"/>
        <w:gridCol w:w="1750"/>
        <w:gridCol w:w="826"/>
        <w:gridCol w:w="1752"/>
        <w:gridCol w:w="827"/>
        <w:gridCol w:w="1752"/>
        <w:gridCol w:w="638"/>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573" w:type="pct"/>
            <w:vMerge w:val="restar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sz w:val="18"/>
                <w:szCs w:val="18"/>
                <w:u w:val="none"/>
              </w:rPr>
            </w:pPr>
            <w:r>
              <w:rPr>
                <w:rFonts w:hint="default" w:ascii="Times New Roman" w:hAnsi="Times New Roman" w:eastAsia="等线" w:cs="Times New Roman"/>
                <w:b/>
                <w:bCs/>
                <w:i w:val="0"/>
                <w:iCs w:val="0"/>
                <w:color w:val="000000"/>
                <w:kern w:val="0"/>
                <w:sz w:val="18"/>
                <w:szCs w:val="18"/>
                <w:u w:val="none"/>
                <w:lang w:val="en-US" w:eastAsia="zh-CN" w:bidi="ar"/>
              </w:rPr>
              <w:t>Exposure</w:t>
            </w:r>
          </w:p>
        </w:tc>
        <w:tc>
          <w:tcPr>
            <w:tcW w:w="1026" w:type="pct"/>
            <w:tcBorders>
              <w:bottom w:val="single" w:color="auto" w:sz="6"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sz w:val="18"/>
                <w:szCs w:val="18"/>
                <w:u w:val="none"/>
              </w:rPr>
            </w:pPr>
            <w:r>
              <w:rPr>
                <w:rFonts w:hint="default" w:ascii="Times New Roman" w:hAnsi="Times New Roman" w:eastAsia="等线" w:cs="Times New Roman"/>
                <w:b/>
                <w:bCs/>
                <w:i w:val="0"/>
                <w:iCs w:val="0"/>
                <w:color w:val="000000"/>
                <w:kern w:val="0"/>
                <w:sz w:val="18"/>
                <w:szCs w:val="18"/>
                <w:u w:val="none"/>
                <w:lang w:val="en-US" w:eastAsia="zh-CN" w:bidi="ar"/>
              </w:rPr>
              <w:t>Crude</w:t>
            </w:r>
          </w:p>
        </w:tc>
        <w:tc>
          <w:tcPr>
            <w:tcW w:w="484" w:type="pct"/>
            <w:vMerge w:val="restart"/>
            <w:tcBorders>
              <w:bottom w:val="single" w:color="auto" w:sz="6"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b/>
                <w:bCs/>
                <w:i/>
                <w:iCs/>
                <w:color w:val="000000"/>
                <w:sz w:val="18"/>
                <w:szCs w:val="18"/>
                <w:u w:val="none"/>
              </w:rPr>
            </w:pPr>
            <w:r>
              <w:rPr>
                <w:rFonts w:hint="default" w:ascii="Times New Roman" w:hAnsi="Times New Roman" w:eastAsia="等线" w:cs="Times New Roman"/>
                <w:b/>
                <w:bCs/>
                <w:i/>
                <w:iCs/>
                <w:color w:val="000000"/>
                <w:kern w:val="0"/>
                <w:sz w:val="18"/>
                <w:szCs w:val="18"/>
                <w:u w:val="none"/>
                <w:lang w:val="en-US" w:eastAsia="zh-CN" w:bidi="ar"/>
              </w:rPr>
              <w:t>P</w:t>
            </w:r>
          </w:p>
        </w:tc>
        <w:tc>
          <w:tcPr>
            <w:tcW w:w="1027" w:type="pct"/>
            <w:tcBorders>
              <w:bottom w:val="single" w:color="auto" w:sz="6"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sz w:val="18"/>
                <w:szCs w:val="18"/>
                <w:u w:val="none"/>
              </w:rPr>
            </w:pPr>
            <w:r>
              <w:rPr>
                <w:rFonts w:hint="default" w:ascii="Times New Roman" w:hAnsi="Times New Roman" w:eastAsia="等线" w:cs="Times New Roman"/>
                <w:b/>
                <w:bCs/>
                <w:i w:val="0"/>
                <w:iCs w:val="0"/>
                <w:color w:val="000000"/>
                <w:kern w:val="0"/>
                <w:sz w:val="18"/>
                <w:szCs w:val="18"/>
                <w:u w:val="none"/>
                <w:lang w:val="en-US" w:eastAsia="zh-CN" w:bidi="ar"/>
              </w:rPr>
              <w:t>Model 1</w:t>
            </w:r>
          </w:p>
        </w:tc>
        <w:tc>
          <w:tcPr>
            <w:tcW w:w="485" w:type="pct"/>
            <w:vMerge w:val="restart"/>
            <w:tcBorders>
              <w:bottom w:val="single" w:color="auto" w:sz="6"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sz w:val="18"/>
                <w:szCs w:val="18"/>
                <w:u w:val="none"/>
              </w:rPr>
            </w:pPr>
            <w:r>
              <w:rPr>
                <w:rFonts w:hint="default" w:ascii="Times New Roman" w:hAnsi="Times New Roman" w:eastAsia="等线" w:cs="Times New Roman"/>
                <w:b/>
                <w:bCs/>
                <w:i/>
                <w:iCs/>
                <w:color w:val="000000"/>
                <w:kern w:val="0"/>
                <w:sz w:val="18"/>
                <w:szCs w:val="18"/>
                <w:u w:val="none"/>
                <w:lang w:val="en-US" w:eastAsia="zh-CN" w:bidi="ar"/>
              </w:rPr>
              <w:t>P</w:t>
            </w:r>
          </w:p>
        </w:tc>
        <w:tc>
          <w:tcPr>
            <w:tcW w:w="1027" w:type="pct"/>
            <w:tcBorders>
              <w:bottom w:val="single" w:color="auto" w:sz="6"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sz w:val="18"/>
                <w:szCs w:val="18"/>
                <w:u w:val="none"/>
              </w:rPr>
            </w:pPr>
            <w:r>
              <w:rPr>
                <w:rFonts w:hint="default" w:ascii="Times New Roman" w:hAnsi="Times New Roman" w:eastAsia="等线" w:cs="Times New Roman"/>
                <w:b/>
                <w:bCs/>
                <w:i w:val="0"/>
                <w:iCs w:val="0"/>
                <w:color w:val="000000"/>
                <w:kern w:val="0"/>
                <w:sz w:val="18"/>
                <w:szCs w:val="18"/>
                <w:u w:val="none"/>
                <w:lang w:val="en-US" w:eastAsia="zh-CN" w:bidi="ar"/>
              </w:rPr>
              <w:t>Model 2</w:t>
            </w:r>
          </w:p>
        </w:tc>
        <w:tc>
          <w:tcPr>
            <w:tcW w:w="374" w:type="pct"/>
            <w:vMerge w:val="restar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sz w:val="18"/>
                <w:szCs w:val="18"/>
                <w:u w:val="none"/>
              </w:rPr>
            </w:pPr>
            <w:r>
              <w:rPr>
                <w:rFonts w:hint="default" w:ascii="Times New Roman" w:hAnsi="Times New Roman" w:eastAsia="等线" w:cs="Times New Roman"/>
                <w:b/>
                <w:bCs/>
                <w:i/>
                <w:iCs/>
                <w:color w:val="000000"/>
                <w:kern w:val="0"/>
                <w:sz w:val="18"/>
                <w:szCs w:val="18"/>
                <w:u w:val="none"/>
                <w:lang w:val="en-US" w:eastAsia="zh-CN" w:bidi="ar"/>
              </w:rPr>
              <w:t>P</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573" w:type="pct"/>
            <w:vMerge w:val="continue"/>
            <w:tcBorders>
              <w:bottom w:val="single" w:color="auto" w:sz="6" w:space="0"/>
              <w:tl2br w:val="nil"/>
              <w:tr2bl w:val="nil"/>
            </w:tcBorders>
            <w:shd w:val="clear" w:color="auto" w:fill="auto"/>
            <w:noWrap/>
            <w:vAlign w:val="center"/>
          </w:tcPr>
          <w:p>
            <w:pPr>
              <w:jc w:val="center"/>
              <w:rPr>
                <w:rFonts w:hint="default" w:ascii="Times New Roman" w:hAnsi="Times New Roman" w:eastAsia="等线" w:cs="Times New Roman"/>
                <w:i w:val="0"/>
                <w:iCs w:val="0"/>
                <w:color w:val="000000"/>
                <w:sz w:val="18"/>
                <w:szCs w:val="18"/>
                <w:u w:val="none"/>
              </w:rPr>
            </w:pPr>
          </w:p>
        </w:tc>
        <w:tc>
          <w:tcPr>
            <w:tcW w:w="1026" w:type="pct"/>
            <w:tcBorders>
              <w:top w:val="single" w:color="auto" w:sz="6" w:space="0"/>
              <w:bottom w:val="single" w:color="auto" w:sz="6" w:space="0"/>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sz w:val="18"/>
                <w:szCs w:val="18"/>
                <w:u w:val="none"/>
              </w:rPr>
            </w:pPr>
            <w:r>
              <w:rPr>
                <w:rFonts w:hint="default" w:ascii="Times New Roman" w:hAnsi="Times New Roman" w:eastAsia="等线" w:cs="Times New Roman"/>
                <w:b/>
                <w:bCs/>
                <w:i/>
                <w:iCs/>
                <w:color w:val="000000"/>
                <w:kern w:val="0"/>
                <w:sz w:val="18"/>
                <w:szCs w:val="18"/>
                <w:u w:val="none"/>
                <w:lang w:val="en-US" w:eastAsia="zh-CN" w:bidi="ar"/>
              </w:rPr>
              <w:t>OR</w:t>
            </w:r>
            <w:r>
              <w:rPr>
                <w:rFonts w:hint="default" w:ascii="Times New Roman" w:hAnsi="Times New Roman" w:eastAsia="等线" w:cs="Times New Roman"/>
                <w:b/>
                <w:bCs/>
                <w:i w:val="0"/>
                <w:iCs w:val="0"/>
                <w:color w:val="000000"/>
                <w:kern w:val="0"/>
                <w:sz w:val="18"/>
                <w:szCs w:val="18"/>
                <w:u w:val="none"/>
                <w:lang w:val="en-US" w:eastAsia="zh-CN" w:bidi="ar"/>
              </w:rPr>
              <w:t>(95%</w:t>
            </w:r>
            <w:r>
              <w:rPr>
                <w:rFonts w:hint="default" w:ascii="Times New Roman" w:hAnsi="Times New Roman" w:eastAsia="等线" w:cs="Times New Roman"/>
                <w:b/>
                <w:bCs/>
                <w:i/>
                <w:iCs/>
                <w:color w:val="000000"/>
                <w:kern w:val="0"/>
                <w:sz w:val="18"/>
                <w:szCs w:val="18"/>
                <w:u w:val="none"/>
                <w:lang w:val="en-US" w:eastAsia="zh-CN" w:bidi="ar"/>
              </w:rPr>
              <w:t>CI</w:t>
            </w:r>
            <w:r>
              <w:rPr>
                <w:rFonts w:hint="default" w:ascii="Times New Roman" w:hAnsi="Times New Roman" w:eastAsia="等线" w:cs="Times New Roman"/>
                <w:b/>
                <w:bCs/>
                <w:i w:val="0"/>
                <w:iCs w:val="0"/>
                <w:color w:val="000000"/>
                <w:kern w:val="0"/>
                <w:sz w:val="18"/>
                <w:szCs w:val="18"/>
                <w:u w:val="none"/>
                <w:lang w:val="en-US" w:eastAsia="zh-CN" w:bidi="ar"/>
              </w:rPr>
              <w:t>)</w:t>
            </w:r>
          </w:p>
        </w:tc>
        <w:tc>
          <w:tcPr>
            <w:tcW w:w="484" w:type="pct"/>
            <w:vMerge w:val="continue"/>
            <w:tcBorders>
              <w:top w:val="single" w:color="auto" w:sz="6" w:space="0"/>
              <w:bottom w:val="single" w:color="auto" w:sz="6" w:space="0"/>
              <w:tl2br w:val="nil"/>
              <w:tr2bl w:val="nil"/>
            </w:tcBorders>
            <w:shd w:val="clear" w:color="auto" w:fill="auto"/>
            <w:noWrap/>
            <w:vAlign w:val="center"/>
          </w:tcPr>
          <w:p>
            <w:pPr>
              <w:jc w:val="center"/>
              <w:rPr>
                <w:rFonts w:hint="default" w:ascii="Times New Roman" w:hAnsi="Times New Roman" w:eastAsia="等线" w:cs="Times New Roman"/>
                <w:b/>
                <w:bCs/>
                <w:i w:val="0"/>
                <w:iCs w:val="0"/>
                <w:color w:val="000000"/>
                <w:sz w:val="18"/>
                <w:szCs w:val="18"/>
                <w:u w:val="none"/>
              </w:rPr>
            </w:pPr>
          </w:p>
        </w:tc>
        <w:tc>
          <w:tcPr>
            <w:tcW w:w="1027" w:type="pct"/>
            <w:tcBorders>
              <w:top w:val="single" w:color="auto" w:sz="6" w:space="0"/>
              <w:bottom w:val="single" w:color="auto" w:sz="6" w:space="0"/>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sz w:val="18"/>
                <w:szCs w:val="18"/>
                <w:u w:val="none"/>
              </w:rPr>
            </w:pPr>
            <w:r>
              <w:rPr>
                <w:rFonts w:hint="default" w:ascii="Times New Roman" w:hAnsi="Times New Roman" w:eastAsia="等线" w:cs="Times New Roman"/>
                <w:b/>
                <w:bCs/>
                <w:i/>
                <w:iCs/>
                <w:color w:val="000000"/>
                <w:kern w:val="0"/>
                <w:sz w:val="18"/>
                <w:szCs w:val="18"/>
                <w:u w:val="none"/>
                <w:lang w:val="en-US" w:eastAsia="zh-CN" w:bidi="ar"/>
              </w:rPr>
              <w:t>OR</w:t>
            </w:r>
            <w:r>
              <w:rPr>
                <w:rFonts w:hint="default" w:ascii="Times New Roman" w:hAnsi="Times New Roman" w:eastAsia="等线" w:cs="Times New Roman"/>
                <w:b/>
                <w:bCs/>
                <w:i w:val="0"/>
                <w:iCs w:val="0"/>
                <w:color w:val="000000"/>
                <w:kern w:val="0"/>
                <w:sz w:val="18"/>
                <w:szCs w:val="18"/>
                <w:u w:val="none"/>
                <w:lang w:val="en-US" w:eastAsia="zh-CN" w:bidi="ar"/>
              </w:rPr>
              <w:t>(95%</w:t>
            </w:r>
            <w:r>
              <w:rPr>
                <w:rFonts w:hint="default" w:ascii="Times New Roman" w:hAnsi="Times New Roman" w:eastAsia="等线" w:cs="Times New Roman"/>
                <w:b/>
                <w:bCs/>
                <w:i/>
                <w:iCs/>
                <w:color w:val="000000"/>
                <w:kern w:val="0"/>
                <w:sz w:val="18"/>
                <w:szCs w:val="18"/>
                <w:u w:val="none"/>
                <w:lang w:val="en-US" w:eastAsia="zh-CN" w:bidi="ar"/>
              </w:rPr>
              <w:t>CI</w:t>
            </w:r>
            <w:r>
              <w:rPr>
                <w:rFonts w:hint="default" w:ascii="Times New Roman" w:hAnsi="Times New Roman" w:eastAsia="等线" w:cs="Times New Roman"/>
                <w:b/>
                <w:bCs/>
                <w:i w:val="0"/>
                <w:iCs w:val="0"/>
                <w:color w:val="000000"/>
                <w:kern w:val="0"/>
                <w:sz w:val="18"/>
                <w:szCs w:val="18"/>
                <w:u w:val="none"/>
                <w:lang w:val="en-US" w:eastAsia="zh-CN" w:bidi="ar"/>
              </w:rPr>
              <w:t>)</w:t>
            </w:r>
          </w:p>
        </w:tc>
        <w:tc>
          <w:tcPr>
            <w:tcW w:w="485" w:type="pct"/>
            <w:vMerge w:val="continue"/>
            <w:tcBorders>
              <w:top w:val="single" w:color="auto" w:sz="6" w:space="0"/>
              <w:bottom w:val="single" w:color="auto" w:sz="6" w:space="0"/>
              <w:tl2br w:val="nil"/>
              <w:tr2bl w:val="nil"/>
            </w:tcBorders>
            <w:shd w:val="clear" w:color="auto" w:fill="auto"/>
            <w:noWrap/>
            <w:vAlign w:val="center"/>
          </w:tcPr>
          <w:p>
            <w:pPr>
              <w:jc w:val="center"/>
              <w:rPr>
                <w:rFonts w:hint="default" w:ascii="Times New Roman" w:hAnsi="Times New Roman" w:eastAsia="等线" w:cs="Times New Roman"/>
                <w:b/>
                <w:bCs/>
                <w:i w:val="0"/>
                <w:iCs w:val="0"/>
                <w:color w:val="000000"/>
                <w:sz w:val="18"/>
                <w:szCs w:val="18"/>
                <w:u w:val="none"/>
              </w:rPr>
            </w:pPr>
          </w:p>
        </w:tc>
        <w:tc>
          <w:tcPr>
            <w:tcW w:w="1027" w:type="pct"/>
            <w:tcBorders>
              <w:top w:val="single" w:color="auto" w:sz="6" w:space="0"/>
              <w:bottom w:val="single" w:color="auto" w:sz="6" w:space="0"/>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sz w:val="18"/>
                <w:szCs w:val="18"/>
                <w:u w:val="none"/>
              </w:rPr>
            </w:pPr>
            <w:r>
              <w:rPr>
                <w:rFonts w:hint="default" w:ascii="Times New Roman" w:hAnsi="Times New Roman" w:eastAsia="等线" w:cs="Times New Roman"/>
                <w:b/>
                <w:bCs/>
                <w:i/>
                <w:iCs/>
                <w:color w:val="000000"/>
                <w:kern w:val="0"/>
                <w:sz w:val="18"/>
                <w:szCs w:val="18"/>
                <w:u w:val="none"/>
                <w:lang w:val="en-US" w:eastAsia="zh-CN" w:bidi="ar"/>
              </w:rPr>
              <w:t>OR</w:t>
            </w:r>
            <w:r>
              <w:rPr>
                <w:rFonts w:hint="default" w:ascii="Times New Roman" w:hAnsi="Times New Roman" w:eastAsia="等线" w:cs="Times New Roman"/>
                <w:b/>
                <w:bCs/>
                <w:i w:val="0"/>
                <w:iCs w:val="0"/>
                <w:color w:val="000000"/>
                <w:kern w:val="0"/>
                <w:sz w:val="18"/>
                <w:szCs w:val="18"/>
                <w:u w:val="none"/>
                <w:lang w:val="en-US" w:eastAsia="zh-CN" w:bidi="ar"/>
              </w:rPr>
              <w:t>(95%</w:t>
            </w:r>
            <w:r>
              <w:rPr>
                <w:rFonts w:hint="default" w:ascii="Times New Roman" w:hAnsi="Times New Roman" w:eastAsia="等线" w:cs="Times New Roman"/>
                <w:b/>
                <w:bCs/>
                <w:i/>
                <w:iCs/>
                <w:color w:val="000000"/>
                <w:kern w:val="0"/>
                <w:sz w:val="18"/>
                <w:szCs w:val="18"/>
                <w:u w:val="none"/>
                <w:lang w:val="en-US" w:eastAsia="zh-CN" w:bidi="ar"/>
              </w:rPr>
              <w:t>CI</w:t>
            </w:r>
            <w:r>
              <w:rPr>
                <w:rFonts w:hint="default" w:ascii="Times New Roman" w:hAnsi="Times New Roman" w:eastAsia="等线" w:cs="Times New Roman"/>
                <w:b/>
                <w:bCs/>
                <w:i w:val="0"/>
                <w:iCs w:val="0"/>
                <w:color w:val="000000"/>
                <w:kern w:val="0"/>
                <w:sz w:val="18"/>
                <w:szCs w:val="18"/>
                <w:u w:val="none"/>
                <w:lang w:val="en-US" w:eastAsia="zh-CN" w:bidi="ar"/>
              </w:rPr>
              <w:t>)</w:t>
            </w:r>
          </w:p>
        </w:tc>
        <w:tc>
          <w:tcPr>
            <w:tcW w:w="374" w:type="pct"/>
            <w:vMerge w:val="continue"/>
            <w:tcBorders>
              <w:bottom w:val="single" w:color="auto" w:sz="6" w:space="0"/>
              <w:tl2br w:val="nil"/>
              <w:tr2bl w:val="nil"/>
            </w:tcBorders>
            <w:shd w:val="clear" w:color="auto" w:fill="auto"/>
            <w:noWrap/>
            <w:vAlign w:val="center"/>
          </w:tcPr>
          <w:p>
            <w:pPr>
              <w:jc w:val="center"/>
              <w:rPr>
                <w:rFonts w:hint="default" w:ascii="Times New Roman" w:hAnsi="Times New Roman" w:eastAsia="等线" w:cs="Times New Roman"/>
                <w:i w:val="0"/>
                <w:iCs w:val="0"/>
                <w:color w:val="000000"/>
                <w:sz w:val="18"/>
                <w:szCs w:val="18"/>
                <w:u w:val="none"/>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573" w:type="pct"/>
            <w:tcBorders>
              <w:top w:val="single" w:color="auto" w:sz="6"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NO</w:t>
            </w:r>
            <w:r>
              <w:rPr>
                <w:rFonts w:hint="default" w:ascii="Times New Roman" w:hAnsi="Times New Roman" w:eastAsia="等线" w:cs="Times New Roman"/>
                <w:i w:val="0"/>
                <w:iCs w:val="0"/>
                <w:color w:val="000000"/>
                <w:kern w:val="0"/>
                <w:sz w:val="18"/>
                <w:szCs w:val="18"/>
                <w:u w:val="none"/>
                <w:vertAlign w:val="subscript"/>
                <w:lang w:val="en-US" w:eastAsia="zh-CN" w:bidi="ar"/>
              </w:rPr>
              <w:t>2</w:t>
            </w:r>
          </w:p>
        </w:tc>
        <w:tc>
          <w:tcPr>
            <w:tcW w:w="1026" w:type="pct"/>
            <w:tcBorders>
              <w:top w:val="single" w:color="auto" w:sz="6"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1.002 (0.997, 1.007)</w:t>
            </w:r>
          </w:p>
        </w:tc>
        <w:tc>
          <w:tcPr>
            <w:tcW w:w="484" w:type="pct"/>
            <w:tcBorders>
              <w:top w:val="single" w:color="auto" w:sz="6"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0.467</w:t>
            </w:r>
          </w:p>
        </w:tc>
        <w:tc>
          <w:tcPr>
            <w:tcW w:w="1027" w:type="pct"/>
            <w:tcBorders>
              <w:top w:val="single" w:color="auto" w:sz="6"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1.001 (0.995, 1.007)</w:t>
            </w:r>
          </w:p>
        </w:tc>
        <w:tc>
          <w:tcPr>
            <w:tcW w:w="485" w:type="pct"/>
            <w:tcBorders>
              <w:top w:val="single" w:color="auto" w:sz="6"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0.717</w:t>
            </w:r>
          </w:p>
        </w:tc>
        <w:tc>
          <w:tcPr>
            <w:tcW w:w="1027" w:type="pct"/>
            <w:tcBorders>
              <w:top w:val="single" w:color="auto" w:sz="6"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0.998 (0.992, 1.003)</w:t>
            </w:r>
          </w:p>
        </w:tc>
        <w:tc>
          <w:tcPr>
            <w:tcW w:w="374" w:type="pct"/>
            <w:tcBorders>
              <w:top w:val="single" w:color="auto" w:sz="6"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0.396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573"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O</w:t>
            </w:r>
            <w:r>
              <w:rPr>
                <w:rFonts w:hint="default" w:ascii="Times New Roman" w:hAnsi="Times New Roman" w:eastAsia="等线" w:cs="Times New Roman"/>
                <w:i w:val="0"/>
                <w:iCs w:val="0"/>
                <w:color w:val="000000"/>
                <w:kern w:val="0"/>
                <w:sz w:val="18"/>
                <w:szCs w:val="18"/>
                <w:u w:val="none"/>
                <w:vertAlign w:val="subscript"/>
                <w:lang w:val="en-US" w:eastAsia="zh-CN" w:bidi="ar"/>
              </w:rPr>
              <w:t>3</w:t>
            </w:r>
          </w:p>
        </w:tc>
        <w:tc>
          <w:tcPr>
            <w:tcW w:w="1026"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1.000 (0.997, 1.002)</w:t>
            </w:r>
          </w:p>
        </w:tc>
        <w:tc>
          <w:tcPr>
            <w:tcW w:w="484"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0.758</w:t>
            </w:r>
          </w:p>
        </w:tc>
        <w:tc>
          <w:tcPr>
            <w:tcW w:w="1027"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0.998 (0.995, 1.001)</w:t>
            </w:r>
          </w:p>
        </w:tc>
        <w:tc>
          <w:tcPr>
            <w:tcW w:w="485"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0.262</w:t>
            </w:r>
          </w:p>
        </w:tc>
        <w:tc>
          <w:tcPr>
            <w:tcW w:w="1027"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0.998 (0.995, 1.001)</w:t>
            </w:r>
          </w:p>
        </w:tc>
        <w:tc>
          <w:tcPr>
            <w:tcW w:w="374"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0.247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573"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PM</w:t>
            </w:r>
            <w:r>
              <w:rPr>
                <w:rFonts w:hint="default" w:ascii="Times New Roman" w:hAnsi="Times New Roman" w:eastAsia="等线" w:cs="Times New Roman"/>
                <w:i w:val="0"/>
                <w:iCs w:val="0"/>
                <w:color w:val="000000"/>
                <w:kern w:val="0"/>
                <w:sz w:val="18"/>
                <w:szCs w:val="18"/>
                <w:u w:val="none"/>
                <w:vertAlign w:val="subscript"/>
                <w:lang w:val="en-US" w:eastAsia="zh-CN" w:bidi="ar"/>
              </w:rPr>
              <w:t>1</w:t>
            </w:r>
          </w:p>
        </w:tc>
        <w:tc>
          <w:tcPr>
            <w:tcW w:w="1026"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1.001 (0.996, 1.006)</w:t>
            </w:r>
          </w:p>
        </w:tc>
        <w:tc>
          <w:tcPr>
            <w:tcW w:w="484"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0.753</w:t>
            </w:r>
          </w:p>
        </w:tc>
        <w:tc>
          <w:tcPr>
            <w:tcW w:w="1027"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1.000 (0.994, 1.005)</w:t>
            </w:r>
          </w:p>
        </w:tc>
        <w:tc>
          <w:tcPr>
            <w:tcW w:w="485"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0.895</w:t>
            </w:r>
          </w:p>
        </w:tc>
        <w:tc>
          <w:tcPr>
            <w:tcW w:w="1027"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0.998 (0.992, 1.003)</w:t>
            </w:r>
          </w:p>
        </w:tc>
        <w:tc>
          <w:tcPr>
            <w:tcW w:w="374"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0.443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573"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i w:val="0"/>
                <w:iCs w:val="0"/>
                <w:color w:val="4472C4" w:themeColor="accent5"/>
                <w:kern w:val="0"/>
                <w:sz w:val="18"/>
                <w:szCs w:val="18"/>
                <w:u w:val="none"/>
                <w:lang w:val="en-US" w:eastAsia="zh-CN" w:bidi="ar"/>
                <w14:textFill>
                  <w14:solidFill>
                    <w14:schemeClr w14:val="accent5"/>
                  </w14:solidFill>
                </w14:textFill>
              </w:rPr>
              <w:t>PM</w:t>
            </w:r>
            <w:r>
              <w:rPr>
                <w:rFonts w:hint="default" w:ascii="Times New Roman" w:hAnsi="Times New Roman" w:eastAsia="等线" w:cs="Times New Roman"/>
                <w:i w:val="0"/>
                <w:iCs w:val="0"/>
                <w:color w:val="4472C4" w:themeColor="accent5"/>
                <w:kern w:val="0"/>
                <w:sz w:val="18"/>
                <w:szCs w:val="18"/>
                <w:u w:val="none"/>
                <w:vertAlign w:val="subscript"/>
                <w:lang w:val="en-US" w:eastAsia="zh-CN" w:bidi="ar"/>
                <w14:textFill>
                  <w14:solidFill>
                    <w14:schemeClr w14:val="accent5"/>
                  </w14:solidFill>
                </w14:textFill>
              </w:rPr>
              <w:t>10</w:t>
            </w:r>
          </w:p>
        </w:tc>
        <w:tc>
          <w:tcPr>
            <w:tcW w:w="1026"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i w:val="0"/>
                <w:iCs w:val="0"/>
                <w:color w:val="4472C4" w:themeColor="accent5"/>
                <w:kern w:val="0"/>
                <w:sz w:val="18"/>
                <w:szCs w:val="18"/>
                <w:u w:val="none"/>
                <w:lang w:val="en-US" w:eastAsia="zh-CN" w:bidi="ar"/>
                <w14:textFill>
                  <w14:solidFill>
                    <w14:schemeClr w14:val="accent5"/>
                  </w14:solidFill>
                </w14:textFill>
              </w:rPr>
              <w:t>1.003 (1.002, 1.005)</w:t>
            </w:r>
          </w:p>
        </w:tc>
        <w:tc>
          <w:tcPr>
            <w:tcW w:w="484"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i w:val="0"/>
                <w:iCs w:val="0"/>
                <w:color w:val="4472C4" w:themeColor="accent5"/>
                <w:kern w:val="0"/>
                <w:sz w:val="18"/>
                <w:szCs w:val="18"/>
                <w:u w:val="none"/>
                <w:lang w:val="en-US" w:eastAsia="zh-CN" w:bidi="ar"/>
                <w14:textFill>
                  <w14:solidFill>
                    <w14:schemeClr w14:val="accent5"/>
                  </w14:solidFill>
                </w14:textFill>
              </w:rPr>
              <w:t>＜0.001</w:t>
            </w:r>
          </w:p>
        </w:tc>
        <w:tc>
          <w:tcPr>
            <w:tcW w:w="1027"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i w:val="0"/>
                <w:iCs w:val="0"/>
                <w:color w:val="4472C4" w:themeColor="accent5"/>
                <w:kern w:val="0"/>
                <w:sz w:val="18"/>
                <w:szCs w:val="18"/>
                <w:u w:val="none"/>
                <w:lang w:val="en-US" w:eastAsia="zh-CN" w:bidi="ar"/>
                <w14:textFill>
                  <w14:solidFill>
                    <w14:schemeClr w14:val="accent5"/>
                  </w14:solidFill>
                </w14:textFill>
              </w:rPr>
              <w:t>1.003 (1.001, 1.005)</w:t>
            </w:r>
          </w:p>
        </w:tc>
        <w:tc>
          <w:tcPr>
            <w:tcW w:w="485"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i w:val="0"/>
                <w:iCs w:val="0"/>
                <w:color w:val="4472C4" w:themeColor="accent5"/>
                <w:kern w:val="0"/>
                <w:sz w:val="18"/>
                <w:szCs w:val="18"/>
                <w:u w:val="none"/>
                <w:lang w:val="en-US" w:eastAsia="zh-CN" w:bidi="ar"/>
                <w14:textFill>
                  <w14:solidFill>
                    <w14:schemeClr w14:val="accent5"/>
                  </w14:solidFill>
                </w14:textFill>
              </w:rPr>
              <w:t>＜0.001</w:t>
            </w:r>
          </w:p>
        </w:tc>
        <w:tc>
          <w:tcPr>
            <w:tcW w:w="1027"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i w:val="0"/>
                <w:iCs w:val="0"/>
                <w:color w:val="4472C4" w:themeColor="accent5"/>
                <w:kern w:val="0"/>
                <w:sz w:val="18"/>
                <w:szCs w:val="18"/>
                <w:u w:val="none"/>
                <w:lang w:val="en-US" w:eastAsia="zh-CN" w:bidi="ar"/>
                <w14:textFill>
                  <w14:solidFill>
                    <w14:schemeClr w14:val="accent5"/>
                  </w14:solidFill>
                </w14:textFill>
              </w:rPr>
              <w:t>1.002 (1.000, 1.004)</w:t>
            </w:r>
          </w:p>
        </w:tc>
        <w:tc>
          <w:tcPr>
            <w:tcW w:w="374"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i w:val="0"/>
                <w:iCs w:val="0"/>
                <w:color w:val="4472C4" w:themeColor="accent5"/>
                <w:kern w:val="0"/>
                <w:sz w:val="18"/>
                <w:szCs w:val="18"/>
                <w:u w:val="none"/>
                <w:lang w:val="en-US" w:eastAsia="zh-CN" w:bidi="ar"/>
                <w14:textFill>
                  <w14:solidFill>
                    <w14:schemeClr w14:val="accent5"/>
                  </w14:solidFill>
                </w14:textFill>
              </w:rPr>
              <w:t>0.019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573"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PM</w:t>
            </w:r>
            <w:r>
              <w:rPr>
                <w:rFonts w:hint="default" w:ascii="Times New Roman" w:hAnsi="Times New Roman" w:eastAsia="等线" w:cs="Times New Roman"/>
                <w:i w:val="0"/>
                <w:iCs w:val="0"/>
                <w:color w:val="000000"/>
                <w:kern w:val="0"/>
                <w:sz w:val="18"/>
                <w:szCs w:val="18"/>
                <w:u w:val="none"/>
                <w:vertAlign w:val="subscript"/>
                <w:lang w:val="en-US" w:eastAsia="zh-CN" w:bidi="ar"/>
              </w:rPr>
              <w:t>2.5</w:t>
            </w:r>
          </w:p>
        </w:tc>
        <w:tc>
          <w:tcPr>
            <w:tcW w:w="1026"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1.002 (1.000, 1.005)</w:t>
            </w:r>
          </w:p>
        </w:tc>
        <w:tc>
          <w:tcPr>
            <w:tcW w:w="484"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0.102</w:t>
            </w:r>
          </w:p>
        </w:tc>
        <w:tc>
          <w:tcPr>
            <w:tcW w:w="1027"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1.002 (0.999, 1.005)</w:t>
            </w:r>
          </w:p>
        </w:tc>
        <w:tc>
          <w:tcPr>
            <w:tcW w:w="485"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0.242</w:t>
            </w:r>
          </w:p>
        </w:tc>
        <w:tc>
          <w:tcPr>
            <w:tcW w:w="1027"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1.001 (0.998, 1.004)</w:t>
            </w:r>
          </w:p>
        </w:tc>
        <w:tc>
          <w:tcPr>
            <w:tcW w:w="374"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0.645</w:t>
            </w:r>
          </w:p>
        </w:tc>
      </w:tr>
    </w:tbl>
    <w:p>
      <w:pPr>
        <w:numPr>
          <w:ilvl w:val="0"/>
          <w:numId w:val="0"/>
        </w:numPr>
        <w:spacing w:line="240" w:lineRule="auto"/>
        <w:jc w:val="both"/>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Crude model: unadjusted;</w:t>
      </w:r>
    </w:p>
    <w:p>
      <w:pPr>
        <w:numPr>
          <w:ilvl w:val="0"/>
          <w:numId w:val="0"/>
        </w:numPr>
        <w:spacing w:line="240" w:lineRule="auto"/>
        <w:jc w:val="both"/>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Model 1: adjusted for demographic variables (age, sex, residence, education level, marital status);</w:t>
      </w:r>
    </w:p>
    <w:p>
      <w:pPr>
        <w:numPr>
          <w:ilvl w:val="0"/>
          <w:numId w:val="0"/>
        </w:numPr>
        <w:spacing w:line="240" w:lineRule="auto"/>
        <w:jc w:val="both"/>
        <w:rPr>
          <w:rFonts w:hint="default" w:ascii="Times New Roman" w:hAnsi="Times New Roman" w:cs="Times New Roman"/>
          <w:sz w:val="24"/>
          <w:szCs w:val="24"/>
          <w:lang w:val="en-US" w:eastAsia="zh-CN"/>
        </w:rPr>
      </w:pPr>
      <w:r>
        <w:rPr>
          <w:rFonts w:hint="default" w:ascii="Times New Roman" w:hAnsi="Times New Roman" w:cs="Times New Roman"/>
          <w:sz w:val="21"/>
          <w:szCs w:val="21"/>
          <w:lang w:val="en-US" w:eastAsia="zh-CN"/>
        </w:rPr>
        <w:t>Model 2: further adjusted for lifestyle factors (smoking, drinking, social activities), chronic conditions (hypertension, diabetes), and body mass index (BMI).</w:t>
      </w:r>
    </w:p>
    <w:p>
      <w:pPr>
        <w:numPr>
          <w:ilvl w:val="0"/>
          <w:numId w:val="0"/>
        </w:numPr>
        <w:spacing w:line="480" w:lineRule="auto"/>
        <w:jc w:val="both"/>
        <w:rPr>
          <w:rFonts w:hint="default" w:ascii="Times New Roman" w:hAnsi="Times New Roman" w:cs="Times New Roman"/>
          <w:b/>
          <w:bCs/>
          <w:sz w:val="24"/>
          <w:szCs w:val="24"/>
          <w:lang w:val="en-US" w:eastAsia="zh-CN"/>
        </w:rPr>
      </w:pPr>
    </w:p>
    <w:p>
      <w:pPr>
        <w:numPr>
          <w:ilvl w:val="0"/>
          <w:numId w:val="0"/>
        </w:numPr>
        <w:spacing w:line="480" w:lineRule="auto"/>
        <w:jc w:val="left"/>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3.3 Air pollutant exposure and risk of cardiac events</w:t>
      </w:r>
    </w:p>
    <w:p>
      <w:pPr>
        <w:numPr>
          <w:ilvl w:val="0"/>
          <w:numId w:val="0"/>
        </w:numPr>
        <w:spacing w:line="480" w:lineRule="auto"/>
        <w:jc w:val="left"/>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During follow-up, Cox regression analyses revealed significant positive associations of PM₁₀, PM₂.₅, and PM₁ exposures with cardiac event risk, which remained robust after full adjustment (HR = 1.223, 1.151, and 1.108, respectively; all P &lt; 0.001). NO₂ was also positively associated, though with a smaller effect (HR = 1.106, P &lt; 0.001), while O₃ showed no significant association in any model (</w:t>
      </w:r>
      <w:r>
        <w:rPr>
          <w:rFonts w:hint="default" w:ascii="Times New Roman" w:hAnsi="Times New Roman" w:cs="Times New Roman"/>
          <w:b/>
          <w:bCs/>
          <w:sz w:val="24"/>
          <w:szCs w:val="24"/>
          <w:lang w:val="en-US" w:eastAsia="zh-CN"/>
        </w:rPr>
        <w:t>Table 3</w:t>
      </w:r>
      <w:r>
        <w:rPr>
          <w:rFonts w:hint="default" w:ascii="Times New Roman" w:hAnsi="Times New Roman" w:cs="Times New Roman"/>
          <w:sz w:val="24"/>
          <w:szCs w:val="24"/>
          <w:lang w:val="en-US" w:eastAsia="zh-CN"/>
        </w:rPr>
        <w:t>).For interpretability, we additionally expressed effect sizes per 10 μg/m³ increase; estimates were directionally consistent with the 1-SD scaling (Supplementary Table S</w:t>
      </w:r>
      <w:r>
        <w:rPr>
          <w:rFonts w:hint="eastAsia" w:ascii="Times New Roman" w:hAnsi="Times New Roman" w:cs="Times New Roman"/>
          <w:sz w:val="24"/>
          <w:szCs w:val="24"/>
          <w:lang w:val="en-US" w:eastAsia="zh-CN"/>
        </w:rPr>
        <w:t>10</w:t>
      </w:r>
      <w:r>
        <w:rPr>
          <w:rFonts w:hint="default" w:ascii="Times New Roman" w:hAnsi="Times New Roman" w:cs="Times New Roman"/>
          <w:sz w:val="24"/>
          <w:szCs w:val="24"/>
          <w:lang w:val="en-US" w:eastAsia="zh-CN"/>
        </w:rPr>
        <w:t>).</w:t>
      </w:r>
    </w:p>
    <w:p>
      <w:pPr>
        <w:numPr>
          <w:ilvl w:val="0"/>
          <w:numId w:val="0"/>
        </w:numPr>
        <w:spacing w:line="480" w:lineRule="auto"/>
        <w:jc w:val="left"/>
        <w:rPr>
          <w:rFonts w:hint="default" w:ascii="Times New Roman" w:hAnsi="Times New Roman" w:cs="Times New Roman"/>
          <w:sz w:val="24"/>
          <w:szCs w:val="24"/>
          <w:lang w:val="en-US" w:eastAsia="zh-CN"/>
        </w:rPr>
      </w:pPr>
    </w:p>
    <w:p>
      <w:pPr>
        <w:numPr>
          <w:ilvl w:val="0"/>
          <w:numId w:val="0"/>
        </w:numPr>
        <w:spacing w:line="240" w:lineRule="auto"/>
        <w:jc w:val="center"/>
        <w:rPr>
          <w:rFonts w:hint="default" w:ascii="Times New Roman" w:hAnsi="Times New Roman" w:cs="Times New Roman"/>
          <w:sz w:val="24"/>
          <w:szCs w:val="24"/>
          <w:lang w:val="en-US" w:eastAsia="zh-CN"/>
        </w:rPr>
      </w:pPr>
      <w:r>
        <w:rPr>
          <w:rFonts w:hint="default" w:ascii="Times New Roman" w:hAnsi="Times New Roman" w:cs="Times New Roman"/>
          <w:b/>
          <w:bCs/>
          <w:sz w:val="24"/>
          <w:szCs w:val="24"/>
          <w:lang w:val="en-US" w:eastAsia="zh-CN"/>
        </w:rPr>
        <w:t>Table 3</w:t>
      </w:r>
      <w:r>
        <w:rPr>
          <w:rFonts w:hint="default" w:ascii="Times New Roman" w:hAnsi="Times New Roman" w:cs="Times New Roman"/>
          <w:sz w:val="24"/>
          <w:szCs w:val="24"/>
          <w:lang w:val="en-US" w:eastAsia="zh-CN"/>
        </w:rPr>
        <w:t>. Cox regression analysis of standardized air pollutant exposure and risk of cardiac events</w:t>
      </w:r>
    </w:p>
    <w:tbl>
      <w:tblPr>
        <w:tblStyle w:val="4"/>
        <w:tblW w:w="4998" w:type="pct"/>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47"/>
        <w:gridCol w:w="1686"/>
        <w:gridCol w:w="838"/>
        <w:gridCol w:w="1686"/>
        <w:gridCol w:w="838"/>
        <w:gridCol w:w="1686"/>
        <w:gridCol w:w="838"/>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529" w:type="pct"/>
            <w:vMerge w:val="restar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sz w:val="18"/>
                <w:szCs w:val="18"/>
                <w:u w:val="none"/>
              </w:rPr>
            </w:pPr>
            <w:r>
              <w:rPr>
                <w:rFonts w:hint="default" w:ascii="Times New Roman" w:hAnsi="Times New Roman" w:eastAsia="等线" w:cs="Times New Roman"/>
                <w:b/>
                <w:bCs/>
                <w:i w:val="0"/>
                <w:iCs w:val="0"/>
                <w:color w:val="000000"/>
                <w:kern w:val="0"/>
                <w:sz w:val="18"/>
                <w:szCs w:val="18"/>
                <w:u w:val="none"/>
                <w:lang w:val="en-US" w:eastAsia="zh-CN" w:bidi="ar"/>
              </w:rPr>
              <w:t>Exposure</w:t>
            </w:r>
          </w:p>
        </w:tc>
        <w:tc>
          <w:tcPr>
            <w:tcW w:w="985" w:type="pct"/>
            <w:tcBorders>
              <w:bottom w:val="single" w:color="auto" w:sz="6"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sz w:val="18"/>
                <w:szCs w:val="18"/>
                <w:u w:val="none"/>
              </w:rPr>
            </w:pPr>
            <w:r>
              <w:rPr>
                <w:rFonts w:hint="default" w:ascii="Times New Roman" w:hAnsi="Times New Roman" w:eastAsia="等线" w:cs="Times New Roman"/>
                <w:b/>
                <w:bCs/>
                <w:i w:val="0"/>
                <w:iCs w:val="0"/>
                <w:color w:val="000000"/>
                <w:kern w:val="0"/>
                <w:sz w:val="18"/>
                <w:szCs w:val="18"/>
                <w:u w:val="none"/>
                <w:lang w:val="en-US" w:eastAsia="zh-CN" w:bidi="ar"/>
              </w:rPr>
              <w:t>Model 1</w:t>
            </w:r>
          </w:p>
        </w:tc>
        <w:tc>
          <w:tcPr>
            <w:tcW w:w="504" w:type="pct"/>
            <w:vMerge w:val="restart"/>
            <w:tcBorders>
              <w:bottom w:val="single" w:color="auto" w:sz="6"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sz w:val="18"/>
                <w:szCs w:val="18"/>
                <w:u w:val="none"/>
              </w:rPr>
            </w:pPr>
            <w:r>
              <w:rPr>
                <w:rFonts w:hint="default" w:ascii="Times New Roman" w:hAnsi="Times New Roman" w:eastAsia="等线" w:cs="Times New Roman"/>
                <w:b/>
                <w:bCs/>
                <w:i/>
                <w:iCs/>
                <w:color w:val="000000"/>
                <w:kern w:val="0"/>
                <w:sz w:val="18"/>
                <w:szCs w:val="18"/>
                <w:u w:val="none"/>
                <w:lang w:val="en-US" w:eastAsia="zh-CN" w:bidi="ar"/>
              </w:rPr>
              <w:t>P</w:t>
            </w:r>
          </w:p>
        </w:tc>
        <w:tc>
          <w:tcPr>
            <w:tcW w:w="985" w:type="pct"/>
            <w:tcBorders>
              <w:bottom w:val="single" w:color="auto" w:sz="6"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sz w:val="18"/>
                <w:szCs w:val="18"/>
                <w:u w:val="none"/>
              </w:rPr>
            </w:pPr>
            <w:r>
              <w:rPr>
                <w:rFonts w:hint="default" w:ascii="Times New Roman" w:hAnsi="Times New Roman" w:eastAsia="等线" w:cs="Times New Roman"/>
                <w:b/>
                <w:bCs/>
                <w:i w:val="0"/>
                <w:iCs w:val="0"/>
                <w:color w:val="000000"/>
                <w:kern w:val="0"/>
                <w:sz w:val="18"/>
                <w:szCs w:val="18"/>
                <w:u w:val="none"/>
                <w:lang w:val="en-US" w:eastAsia="zh-CN" w:bidi="ar"/>
              </w:rPr>
              <w:t>Model 2</w:t>
            </w:r>
          </w:p>
        </w:tc>
        <w:tc>
          <w:tcPr>
            <w:tcW w:w="504" w:type="pct"/>
            <w:vMerge w:val="restart"/>
            <w:tcBorders>
              <w:bottom w:val="single" w:color="auto" w:sz="6"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sz w:val="18"/>
                <w:szCs w:val="18"/>
                <w:u w:val="none"/>
              </w:rPr>
            </w:pPr>
            <w:r>
              <w:rPr>
                <w:rFonts w:hint="default" w:ascii="Times New Roman" w:hAnsi="Times New Roman" w:eastAsia="等线" w:cs="Times New Roman"/>
                <w:b/>
                <w:bCs/>
                <w:i/>
                <w:iCs/>
                <w:color w:val="000000"/>
                <w:kern w:val="0"/>
                <w:sz w:val="18"/>
                <w:szCs w:val="18"/>
                <w:u w:val="none"/>
                <w:lang w:val="en-US" w:eastAsia="zh-CN" w:bidi="ar"/>
              </w:rPr>
              <w:t>P</w:t>
            </w:r>
          </w:p>
        </w:tc>
        <w:tc>
          <w:tcPr>
            <w:tcW w:w="985" w:type="pct"/>
            <w:tcBorders>
              <w:bottom w:val="single" w:color="auto" w:sz="6"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sz w:val="18"/>
                <w:szCs w:val="18"/>
                <w:u w:val="none"/>
              </w:rPr>
            </w:pPr>
            <w:r>
              <w:rPr>
                <w:rFonts w:hint="default" w:ascii="Times New Roman" w:hAnsi="Times New Roman" w:eastAsia="等线" w:cs="Times New Roman"/>
                <w:b/>
                <w:bCs/>
                <w:i w:val="0"/>
                <w:iCs w:val="0"/>
                <w:color w:val="000000"/>
                <w:kern w:val="0"/>
                <w:sz w:val="18"/>
                <w:szCs w:val="18"/>
                <w:u w:val="none"/>
                <w:lang w:val="en-US" w:eastAsia="zh-CN" w:bidi="ar"/>
              </w:rPr>
              <w:t>Model 3</w:t>
            </w:r>
          </w:p>
        </w:tc>
        <w:tc>
          <w:tcPr>
            <w:tcW w:w="504" w:type="pct"/>
            <w:vMerge w:val="restar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b/>
                <w:bCs/>
                <w:i/>
                <w:iCs/>
                <w:color w:val="000000"/>
                <w:sz w:val="18"/>
                <w:szCs w:val="18"/>
                <w:u w:val="none"/>
              </w:rPr>
            </w:pPr>
            <w:r>
              <w:rPr>
                <w:rFonts w:hint="default" w:ascii="Times New Roman" w:hAnsi="Times New Roman" w:eastAsia="等线" w:cs="Times New Roman"/>
                <w:b/>
                <w:bCs/>
                <w:i/>
                <w:iCs/>
                <w:color w:val="000000"/>
                <w:kern w:val="0"/>
                <w:sz w:val="18"/>
                <w:szCs w:val="18"/>
                <w:u w:val="none"/>
                <w:lang w:val="en-US" w:eastAsia="zh-CN" w:bidi="ar"/>
              </w:rPr>
              <w:t>P</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529" w:type="pct"/>
            <w:vMerge w:val="continue"/>
            <w:tcBorders>
              <w:bottom w:val="single" w:color="auto" w:sz="6" w:space="0"/>
              <w:tl2br w:val="nil"/>
              <w:tr2bl w:val="nil"/>
            </w:tcBorders>
            <w:shd w:val="clear" w:color="auto" w:fill="auto"/>
            <w:noWrap/>
            <w:vAlign w:val="center"/>
          </w:tcPr>
          <w:p>
            <w:pPr>
              <w:jc w:val="center"/>
              <w:rPr>
                <w:rFonts w:hint="default" w:ascii="Times New Roman" w:hAnsi="Times New Roman" w:eastAsia="等线" w:cs="Times New Roman"/>
                <w:b/>
                <w:bCs/>
                <w:i w:val="0"/>
                <w:iCs w:val="0"/>
                <w:color w:val="000000"/>
                <w:sz w:val="18"/>
                <w:szCs w:val="18"/>
                <w:u w:val="none"/>
              </w:rPr>
            </w:pPr>
          </w:p>
        </w:tc>
        <w:tc>
          <w:tcPr>
            <w:tcW w:w="985" w:type="pct"/>
            <w:tcBorders>
              <w:top w:val="single" w:color="auto" w:sz="6" w:space="0"/>
              <w:bottom w:val="single" w:color="auto" w:sz="6" w:space="0"/>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sz w:val="18"/>
                <w:szCs w:val="18"/>
                <w:u w:val="none"/>
              </w:rPr>
            </w:pPr>
            <w:r>
              <w:rPr>
                <w:rFonts w:hint="default" w:ascii="Times New Roman" w:hAnsi="Times New Roman" w:eastAsia="等线" w:cs="Times New Roman"/>
                <w:b/>
                <w:bCs/>
                <w:i/>
                <w:iCs/>
                <w:color w:val="000000"/>
                <w:kern w:val="0"/>
                <w:sz w:val="18"/>
                <w:szCs w:val="18"/>
                <w:u w:val="none"/>
                <w:lang w:val="en-US" w:eastAsia="zh-CN" w:bidi="ar"/>
              </w:rPr>
              <w:t>HR</w:t>
            </w:r>
            <w:r>
              <w:rPr>
                <w:rFonts w:hint="default" w:ascii="Times New Roman" w:hAnsi="Times New Roman" w:eastAsia="等线" w:cs="Times New Roman"/>
                <w:b/>
                <w:bCs/>
                <w:i w:val="0"/>
                <w:iCs w:val="0"/>
                <w:color w:val="000000"/>
                <w:kern w:val="0"/>
                <w:sz w:val="18"/>
                <w:szCs w:val="18"/>
                <w:u w:val="none"/>
                <w:lang w:val="en-US" w:eastAsia="zh-CN" w:bidi="ar"/>
              </w:rPr>
              <w:t>(95%</w:t>
            </w:r>
            <w:r>
              <w:rPr>
                <w:rFonts w:hint="default" w:ascii="Times New Roman" w:hAnsi="Times New Roman" w:eastAsia="等线" w:cs="Times New Roman"/>
                <w:b/>
                <w:bCs/>
                <w:i/>
                <w:iCs/>
                <w:color w:val="000000"/>
                <w:kern w:val="0"/>
                <w:sz w:val="18"/>
                <w:szCs w:val="18"/>
                <w:u w:val="none"/>
                <w:lang w:val="en-US" w:eastAsia="zh-CN" w:bidi="ar"/>
              </w:rPr>
              <w:t>CI</w:t>
            </w:r>
            <w:r>
              <w:rPr>
                <w:rFonts w:hint="default" w:ascii="Times New Roman" w:hAnsi="Times New Roman" w:eastAsia="等线" w:cs="Times New Roman"/>
                <w:b/>
                <w:bCs/>
                <w:i w:val="0"/>
                <w:iCs w:val="0"/>
                <w:color w:val="000000"/>
                <w:kern w:val="0"/>
                <w:sz w:val="18"/>
                <w:szCs w:val="18"/>
                <w:u w:val="none"/>
                <w:lang w:val="en-US" w:eastAsia="zh-CN" w:bidi="ar"/>
              </w:rPr>
              <w:t>)</w:t>
            </w:r>
          </w:p>
        </w:tc>
        <w:tc>
          <w:tcPr>
            <w:tcW w:w="504" w:type="pct"/>
            <w:vMerge w:val="continue"/>
            <w:tcBorders>
              <w:top w:val="single" w:color="auto" w:sz="6" w:space="0"/>
              <w:bottom w:val="single" w:color="auto" w:sz="6" w:space="0"/>
              <w:tl2br w:val="nil"/>
              <w:tr2bl w:val="nil"/>
            </w:tcBorders>
            <w:shd w:val="clear" w:color="auto" w:fill="auto"/>
            <w:noWrap/>
            <w:vAlign w:val="center"/>
          </w:tcPr>
          <w:p>
            <w:pPr>
              <w:jc w:val="center"/>
              <w:rPr>
                <w:rFonts w:hint="default" w:ascii="Times New Roman" w:hAnsi="Times New Roman" w:eastAsia="等线" w:cs="Times New Roman"/>
                <w:b/>
                <w:bCs/>
                <w:i w:val="0"/>
                <w:iCs w:val="0"/>
                <w:color w:val="000000"/>
                <w:sz w:val="18"/>
                <w:szCs w:val="18"/>
                <w:u w:val="none"/>
              </w:rPr>
            </w:pPr>
          </w:p>
        </w:tc>
        <w:tc>
          <w:tcPr>
            <w:tcW w:w="985" w:type="pct"/>
            <w:tcBorders>
              <w:top w:val="single" w:color="auto" w:sz="6" w:space="0"/>
              <w:bottom w:val="single" w:color="auto" w:sz="6" w:space="0"/>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sz w:val="18"/>
                <w:szCs w:val="18"/>
                <w:u w:val="none"/>
              </w:rPr>
            </w:pPr>
            <w:r>
              <w:rPr>
                <w:rFonts w:hint="default" w:ascii="Times New Roman" w:hAnsi="Times New Roman" w:eastAsia="等线" w:cs="Times New Roman"/>
                <w:b/>
                <w:bCs/>
                <w:i/>
                <w:iCs/>
                <w:color w:val="000000"/>
                <w:kern w:val="0"/>
                <w:sz w:val="18"/>
                <w:szCs w:val="18"/>
                <w:u w:val="none"/>
                <w:lang w:val="en-US" w:eastAsia="zh-CN" w:bidi="ar"/>
              </w:rPr>
              <w:t>HR</w:t>
            </w:r>
            <w:r>
              <w:rPr>
                <w:rFonts w:hint="default" w:ascii="Times New Roman" w:hAnsi="Times New Roman" w:eastAsia="等线" w:cs="Times New Roman"/>
                <w:b/>
                <w:bCs/>
                <w:i w:val="0"/>
                <w:iCs w:val="0"/>
                <w:color w:val="000000"/>
                <w:kern w:val="0"/>
                <w:sz w:val="18"/>
                <w:szCs w:val="18"/>
                <w:u w:val="none"/>
                <w:lang w:val="en-US" w:eastAsia="zh-CN" w:bidi="ar"/>
              </w:rPr>
              <w:t>(95%</w:t>
            </w:r>
            <w:r>
              <w:rPr>
                <w:rFonts w:hint="default" w:ascii="Times New Roman" w:hAnsi="Times New Roman" w:eastAsia="等线" w:cs="Times New Roman"/>
                <w:b/>
                <w:bCs/>
                <w:i/>
                <w:iCs/>
                <w:color w:val="000000"/>
                <w:kern w:val="0"/>
                <w:sz w:val="18"/>
                <w:szCs w:val="18"/>
                <w:u w:val="none"/>
                <w:lang w:val="en-US" w:eastAsia="zh-CN" w:bidi="ar"/>
              </w:rPr>
              <w:t>CI</w:t>
            </w:r>
            <w:r>
              <w:rPr>
                <w:rFonts w:hint="default" w:ascii="Times New Roman" w:hAnsi="Times New Roman" w:eastAsia="等线" w:cs="Times New Roman"/>
                <w:b/>
                <w:bCs/>
                <w:i w:val="0"/>
                <w:iCs w:val="0"/>
                <w:color w:val="000000"/>
                <w:kern w:val="0"/>
                <w:sz w:val="18"/>
                <w:szCs w:val="18"/>
                <w:u w:val="none"/>
                <w:lang w:val="en-US" w:eastAsia="zh-CN" w:bidi="ar"/>
              </w:rPr>
              <w:t>)</w:t>
            </w:r>
          </w:p>
        </w:tc>
        <w:tc>
          <w:tcPr>
            <w:tcW w:w="504" w:type="pct"/>
            <w:vMerge w:val="continue"/>
            <w:tcBorders>
              <w:top w:val="single" w:color="auto" w:sz="6" w:space="0"/>
              <w:bottom w:val="single" w:color="auto" w:sz="6" w:space="0"/>
              <w:tl2br w:val="nil"/>
              <w:tr2bl w:val="nil"/>
            </w:tcBorders>
            <w:shd w:val="clear" w:color="auto" w:fill="auto"/>
            <w:noWrap/>
            <w:vAlign w:val="center"/>
          </w:tcPr>
          <w:p>
            <w:pPr>
              <w:jc w:val="center"/>
              <w:rPr>
                <w:rFonts w:hint="default" w:ascii="Times New Roman" w:hAnsi="Times New Roman" w:eastAsia="等线" w:cs="Times New Roman"/>
                <w:b/>
                <w:bCs/>
                <w:i w:val="0"/>
                <w:iCs w:val="0"/>
                <w:color w:val="000000"/>
                <w:sz w:val="18"/>
                <w:szCs w:val="18"/>
                <w:u w:val="none"/>
              </w:rPr>
            </w:pPr>
          </w:p>
        </w:tc>
        <w:tc>
          <w:tcPr>
            <w:tcW w:w="985" w:type="pct"/>
            <w:tcBorders>
              <w:top w:val="single" w:color="auto" w:sz="6" w:space="0"/>
              <w:bottom w:val="single" w:color="auto" w:sz="6" w:space="0"/>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sz w:val="18"/>
                <w:szCs w:val="18"/>
                <w:u w:val="none"/>
              </w:rPr>
            </w:pPr>
            <w:r>
              <w:rPr>
                <w:rFonts w:hint="default" w:ascii="Times New Roman" w:hAnsi="Times New Roman" w:eastAsia="等线" w:cs="Times New Roman"/>
                <w:b/>
                <w:bCs/>
                <w:i/>
                <w:iCs/>
                <w:color w:val="000000"/>
                <w:kern w:val="0"/>
                <w:sz w:val="18"/>
                <w:szCs w:val="18"/>
                <w:u w:val="none"/>
                <w:lang w:val="en-US" w:eastAsia="zh-CN" w:bidi="ar"/>
              </w:rPr>
              <w:t>HR</w:t>
            </w:r>
            <w:r>
              <w:rPr>
                <w:rFonts w:hint="default" w:ascii="Times New Roman" w:hAnsi="Times New Roman" w:eastAsia="等线" w:cs="Times New Roman"/>
                <w:b/>
                <w:bCs/>
                <w:i w:val="0"/>
                <w:iCs w:val="0"/>
                <w:color w:val="000000"/>
                <w:kern w:val="0"/>
                <w:sz w:val="18"/>
                <w:szCs w:val="18"/>
                <w:u w:val="none"/>
                <w:lang w:val="en-US" w:eastAsia="zh-CN" w:bidi="ar"/>
              </w:rPr>
              <w:t>(95%</w:t>
            </w:r>
            <w:r>
              <w:rPr>
                <w:rFonts w:hint="default" w:ascii="Times New Roman" w:hAnsi="Times New Roman" w:eastAsia="等线" w:cs="Times New Roman"/>
                <w:b/>
                <w:bCs/>
                <w:i/>
                <w:iCs/>
                <w:color w:val="000000"/>
                <w:kern w:val="0"/>
                <w:sz w:val="18"/>
                <w:szCs w:val="18"/>
                <w:u w:val="none"/>
                <w:lang w:val="en-US" w:eastAsia="zh-CN" w:bidi="ar"/>
              </w:rPr>
              <w:t>CI</w:t>
            </w:r>
            <w:r>
              <w:rPr>
                <w:rFonts w:hint="default" w:ascii="Times New Roman" w:hAnsi="Times New Roman" w:eastAsia="等线" w:cs="Times New Roman"/>
                <w:b/>
                <w:bCs/>
                <w:i w:val="0"/>
                <w:iCs w:val="0"/>
                <w:color w:val="000000"/>
                <w:kern w:val="0"/>
                <w:sz w:val="18"/>
                <w:szCs w:val="18"/>
                <w:u w:val="none"/>
                <w:lang w:val="en-US" w:eastAsia="zh-CN" w:bidi="ar"/>
              </w:rPr>
              <w:t>)</w:t>
            </w:r>
          </w:p>
        </w:tc>
        <w:tc>
          <w:tcPr>
            <w:tcW w:w="504" w:type="pct"/>
            <w:vMerge w:val="continue"/>
            <w:tcBorders>
              <w:bottom w:val="single" w:color="auto" w:sz="6" w:space="0"/>
              <w:tl2br w:val="nil"/>
              <w:tr2bl w:val="nil"/>
            </w:tcBorders>
            <w:shd w:val="clear" w:color="auto" w:fill="auto"/>
            <w:noWrap/>
            <w:vAlign w:val="center"/>
          </w:tcPr>
          <w:p>
            <w:pPr>
              <w:jc w:val="center"/>
              <w:rPr>
                <w:rFonts w:hint="default" w:ascii="Times New Roman" w:hAnsi="Times New Roman" w:eastAsia="等线" w:cs="Times New Roman"/>
                <w:b/>
                <w:bCs/>
                <w:i w:val="0"/>
                <w:iCs w:val="0"/>
                <w:color w:val="000000"/>
                <w:sz w:val="18"/>
                <w:szCs w:val="18"/>
                <w:u w:val="none"/>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938" w:type="dxa"/>
            <w:tcBorders>
              <w:top w:val="single" w:color="auto" w:sz="6"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NO</w:t>
            </w:r>
            <w:r>
              <w:rPr>
                <w:rFonts w:hint="default" w:ascii="Times New Roman" w:hAnsi="Times New Roman" w:eastAsia="等线" w:cs="Times New Roman"/>
                <w:i w:val="0"/>
                <w:iCs w:val="0"/>
                <w:color w:val="000000"/>
                <w:kern w:val="0"/>
                <w:sz w:val="18"/>
                <w:szCs w:val="18"/>
                <w:u w:val="none"/>
                <w:vertAlign w:val="subscript"/>
                <w:lang w:val="en-US" w:eastAsia="zh-CN" w:bidi="ar"/>
              </w:rPr>
              <w:t>2</w:t>
            </w:r>
          </w:p>
        </w:tc>
        <w:tc>
          <w:tcPr>
            <w:tcW w:w="985" w:type="pct"/>
            <w:tcBorders>
              <w:top w:val="single" w:color="auto" w:sz="6"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1.143 (1.086, 1.203)</w:t>
            </w:r>
          </w:p>
        </w:tc>
        <w:tc>
          <w:tcPr>
            <w:tcW w:w="504" w:type="pct"/>
            <w:tcBorders>
              <w:top w:val="single" w:color="auto" w:sz="6"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&lt;0.001</w:t>
            </w:r>
          </w:p>
        </w:tc>
        <w:tc>
          <w:tcPr>
            <w:tcW w:w="985" w:type="pct"/>
            <w:tcBorders>
              <w:top w:val="single" w:color="auto" w:sz="6"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1.147 (1.090, 1.208)</w:t>
            </w:r>
          </w:p>
        </w:tc>
        <w:tc>
          <w:tcPr>
            <w:tcW w:w="504" w:type="pct"/>
            <w:tcBorders>
              <w:top w:val="single" w:color="auto" w:sz="6"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&lt;0.001</w:t>
            </w:r>
          </w:p>
        </w:tc>
        <w:tc>
          <w:tcPr>
            <w:tcW w:w="985" w:type="pct"/>
            <w:tcBorders>
              <w:top w:val="single" w:color="auto" w:sz="6"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1.106 (1.049, 1.166)</w:t>
            </w:r>
          </w:p>
        </w:tc>
        <w:tc>
          <w:tcPr>
            <w:tcW w:w="504" w:type="pct"/>
            <w:tcBorders>
              <w:top w:val="single" w:color="auto" w:sz="6"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938"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O</w:t>
            </w:r>
            <w:r>
              <w:rPr>
                <w:rFonts w:hint="default" w:ascii="Times New Roman" w:hAnsi="Times New Roman" w:eastAsia="等线" w:cs="Times New Roman"/>
                <w:i w:val="0"/>
                <w:iCs w:val="0"/>
                <w:color w:val="000000"/>
                <w:kern w:val="0"/>
                <w:sz w:val="18"/>
                <w:szCs w:val="18"/>
                <w:u w:val="none"/>
                <w:vertAlign w:val="subscript"/>
                <w:lang w:val="en-US" w:eastAsia="zh-CN" w:bidi="ar"/>
              </w:rPr>
              <w:t>3</w:t>
            </w:r>
          </w:p>
        </w:tc>
        <w:tc>
          <w:tcPr>
            <w:tcW w:w="985"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0.977 (0.927, 1.029)</w:t>
            </w:r>
          </w:p>
        </w:tc>
        <w:tc>
          <w:tcPr>
            <w:tcW w:w="504"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0.375</w:t>
            </w:r>
          </w:p>
        </w:tc>
        <w:tc>
          <w:tcPr>
            <w:tcW w:w="985"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0.974 (0.924, 1.026)</w:t>
            </w:r>
          </w:p>
        </w:tc>
        <w:tc>
          <w:tcPr>
            <w:tcW w:w="504"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0.319</w:t>
            </w:r>
          </w:p>
        </w:tc>
        <w:tc>
          <w:tcPr>
            <w:tcW w:w="985"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0.957 (0.908, 1.009)</w:t>
            </w:r>
          </w:p>
        </w:tc>
        <w:tc>
          <w:tcPr>
            <w:tcW w:w="504"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0.103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938"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PM</w:t>
            </w:r>
            <w:r>
              <w:rPr>
                <w:rFonts w:hint="default" w:ascii="Times New Roman" w:hAnsi="Times New Roman" w:eastAsia="等线" w:cs="Times New Roman"/>
                <w:i w:val="0"/>
                <w:iCs w:val="0"/>
                <w:color w:val="000000"/>
                <w:kern w:val="0"/>
                <w:sz w:val="18"/>
                <w:szCs w:val="18"/>
                <w:u w:val="none"/>
                <w:vertAlign w:val="subscript"/>
                <w:lang w:val="en-US" w:eastAsia="zh-CN" w:bidi="ar"/>
              </w:rPr>
              <w:t>1</w:t>
            </w:r>
          </w:p>
        </w:tc>
        <w:tc>
          <w:tcPr>
            <w:tcW w:w="985"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1.140 (1.082, 1.201)</w:t>
            </w:r>
          </w:p>
        </w:tc>
        <w:tc>
          <w:tcPr>
            <w:tcW w:w="504"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&lt;0.001</w:t>
            </w:r>
          </w:p>
        </w:tc>
        <w:tc>
          <w:tcPr>
            <w:tcW w:w="985"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1.140 (1.081, 1.202)</w:t>
            </w:r>
          </w:p>
        </w:tc>
        <w:tc>
          <w:tcPr>
            <w:tcW w:w="504"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&lt;0.001</w:t>
            </w:r>
          </w:p>
        </w:tc>
        <w:tc>
          <w:tcPr>
            <w:tcW w:w="985"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1.108 (1.050, 1.170)</w:t>
            </w:r>
          </w:p>
        </w:tc>
        <w:tc>
          <w:tcPr>
            <w:tcW w:w="504"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938"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PM</w:t>
            </w:r>
            <w:r>
              <w:rPr>
                <w:rFonts w:hint="default" w:ascii="Times New Roman" w:hAnsi="Times New Roman" w:eastAsia="等线" w:cs="Times New Roman"/>
                <w:i w:val="0"/>
                <w:iCs w:val="0"/>
                <w:color w:val="000000"/>
                <w:kern w:val="0"/>
                <w:sz w:val="18"/>
                <w:szCs w:val="18"/>
                <w:u w:val="none"/>
                <w:vertAlign w:val="subscript"/>
                <w:lang w:val="en-US" w:eastAsia="zh-CN" w:bidi="ar"/>
              </w:rPr>
              <w:t>10</w:t>
            </w:r>
          </w:p>
        </w:tc>
        <w:tc>
          <w:tcPr>
            <w:tcW w:w="985"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1.251 (1.192, 1.313)</w:t>
            </w:r>
          </w:p>
        </w:tc>
        <w:tc>
          <w:tcPr>
            <w:tcW w:w="504"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&lt;0.001</w:t>
            </w:r>
          </w:p>
        </w:tc>
        <w:tc>
          <w:tcPr>
            <w:tcW w:w="985"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1.256 (1.197, 1.319)</w:t>
            </w:r>
          </w:p>
        </w:tc>
        <w:tc>
          <w:tcPr>
            <w:tcW w:w="504"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&lt;0.001</w:t>
            </w:r>
          </w:p>
        </w:tc>
        <w:tc>
          <w:tcPr>
            <w:tcW w:w="985"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1.223 (1.163, 1.285)</w:t>
            </w:r>
          </w:p>
        </w:tc>
        <w:tc>
          <w:tcPr>
            <w:tcW w:w="504"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938" w:type="dxa"/>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PM</w:t>
            </w:r>
            <w:r>
              <w:rPr>
                <w:rFonts w:hint="default" w:ascii="Times New Roman" w:hAnsi="Times New Roman" w:eastAsia="等线" w:cs="Times New Roman"/>
                <w:i w:val="0"/>
                <w:iCs w:val="0"/>
                <w:color w:val="000000"/>
                <w:kern w:val="0"/>
                <w:sz w:val="18"/>
                <w:szCs w:val="18"/>
                <w:u w:val="none"/>
                <w:vertAlign w:val="subscript"/>
                <w:lang w:val="en-US" w:eastAsia="zh-CN" w:bidi="ar"/>
              </w:rPr>
              <w:t>2.5</w:t>
            </w:r>
          </w:p>
        </w:tc>
        <w:tc>
          <w:tcPr>
            <w:tcW w:w="985"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1.183 (1.122, 1.247)</w:t>
            </w:r>
          </w:p>
        </w:tc>
        <w:tc>
          <w:tcPr>
            <w:tcW w:w="504"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&lt;0.001</w:t>
            </w:r>
          </w:p>
        </w:tc>
        <w:tc>
          <w:tcPr>
            <w:tcW w:w="985"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1.184 (1.123, 1.248)</w:t>
            </w:r>
          </w:p>
        </w:tc>
        <w:tc>
          <w:tcPr>
            <w:tcW w:w="504"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&lt;0.001</w:t>
            </w:r>
          </w:p>
        </w:tc>
        <w:tc>
          <w:tcPr>
            <w:tcW w:w="985"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1.151 (1.090, 1.215)</w:t>
            </w:r>
          </w:p>
        </w:tc>
        <w:tc>
          <w:tcPr>
            <w:tcW w:w="504" w:type="pct"/>
            <w:tcBorders>
              <w:tl2br w:val="nil"/>
              <w:tr2bl w:val="nil"/>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&lt;0.001</w:t>
            </w:r>
          </w:p>
        </w:tc>
      </w:tr>
    </w:tbl>
    <w:p>
      <w:pPr>
        <w:numPr>
          <w:ilvl w:val="0"/>
          <w:numId w:val="0"/>
        </w:numPr>
        <w:spacing w:line="240" w:lineRule="auto"/>
        <w:jc w:val="left"/>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Model 1: unadjusted;</w:t>
      </w:r>
    </w:p>
    <w:p>
      <w:pPr>
        <w:numPr>
          <w:ilvl w:val="0"/>
          <w:numId w:val="0"/>
        </w:numPr>
        <w:spacing w:line="240" w:lineRule="auto"/>
        <w:jc w:val="left"/>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Model 2: adjusted for sex and age;</w:t>
      </w:r>
    </w:p>
    <w:p>
      <w:pPr>
        <w:numPr>
          <w:ilvl w:val="0"/>
          <w:numId w:val="0"/>
        </w:numPr>
        <w:spacing w:line="240" w:lineRule="auto"/>
        <w:jc w:val="left"/>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Model 3: further adjusted for BMI, smoking, sleep duration, systolic blood pressure, diastolic blood pressure, waist circumference, residence, education level, marital status, hypertension, type 2 diabetes, and alcohol consumption.</w:t>
      </w:r>
    </w:p>
    <w:p>
      <w:pPr>
        <w:numPr>
          <w:ilvl w:val="0"/>
          <w:numId w:val="0"/>
        </w:numPr>
        <w:spacing w:line="240" w:lineRule="auto"/>
        <w:jc w:val="left"/>
        <w:rPr>
          <w:rFonts w:hint="default" w:ascii="Times New Roman" w:hAnsi="Times New Roman" w:cs="Times New Roman"/>
          <w:sz w:val="21"/>
          <w:szCs w:val="21"/>
          <w:lang w:val="en-US" w:eastAsia="zh-CN"/>
        </w:rPr>
      </w:pPr>
    </w:p>
    <w:p>
      <w:pPr>
        <w:numPr>
          <w:ilvl w:val="0"/>
          <w:numId w:val="0"/>
        </w:numPr>
        <w:spacing w:line="480" w:lineRule="auto"/>
        <w:jc w:val="left"/>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3.4 Single- and multi-pollutant analyses of air pollution and risk of cardiac events</w:t>
      </w:r>
    </w:p>
    <w:p>
      <w:pPr>
        <w:numPr>
          <w:ilvl w:val="0"/>
          <w:numId w:val="0"/>
        </w:numPr>
        <w:spacing w:line="480" w:lineRule="auto"/>
        <w:jc w:val="left"/>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The results indicated that, in multi-pollutant Cox regression models, PM₂.₅ and PM₁₀ were consistently positively associated with the risk of cardiac events, with hazard ratios ranging from 1.065 to 1.110 for PM₂.₅ and from 1.084 to 1.088 for PM₁₀ (both</w:t>
      </w:r>
      <w:r>
        <w:rPr>
          <w:rFonts w:hint="default" w:ascii="Times New Roman" w:hAnsi="Times New Roman" w:cs="Times New Roman"/>
          <w:i/>
          <w:iCs/>
          <w:sz w:val="24"/>
          <w:szCs w:val="24"/>
          <w:lang w:val="en-US" w:eastAsia="zh-CN"/>
        </w:rPr>
        <w:t xml:space="preserve"> P</w:t>
      </w:r>
      <w:r>
        <w:rPr>
          <w:rFonts w:hint="default" w:ascii="Times New Roman" w:hAnsi="Times New Roman" w:cs="Times New Roman"/>
          <w:sz w:val="24"/>
          <w:szCs w:val="24"/>
          <w:lang w:val="en-US" w:eastAsia="zh-CN"/>
        </w:rPr>
        <w:t xml:space="preserve"> &lt; 0.05). O₃ generally showed an inverse association across models, with the lowest estimate observed when jointly adjusted for NO₂ (</w:t>
      </w:r>
      <w:r>
        <w:rPr>
          <w:rFonts w:hint="default" w:ascii="Times New Roman" w:hAnsi="Times New Roman" w:cs="Times New Roman"/>
          <w:i/>
          <w:iCs/>
          <w:sz w:val="24"/>
          <w:szCs w:val="24"/>
          <w:lang w:val="en-US" w:eastAsia="zh-CN"/>
        </w:rPr>
        <w:t>HR</w:t>
      </w:r>
      <w:r>
        <w:rPr>
          <w:rFonts w:hint="default" w:ascii="Times New Roman" w:hAnsi="Times New Roman" w:cs="Times New Roman"/>
          <w:sz w:val="24"/>
          <w:szCs w:val="24"/>
          <w:lang w:val="en-US" w:eastAsia="zh-CN"/>
        </w:rPr>
        <w:t xml:space="preserve"> = 0.779, 95% </w:t>
      </w:r>
      <w:r>
        <w:rPr>
          <w:rFonts w:hint="default" w:ascii="Times New Roman" w:hAnsi="Times New Roman" w:cs="Times New Roman"/>
          <w:i/>
          <w:iCs/>
          <w:sz w:val="24"/>
          <w:szCs w:val="24"/>
          <w:lang w:val="en-US" w:eastAsia="zh-CN"/>
        </w:rPr>
        <w:t>CI</w:t>
      </w:r>
      <w:r>
        <w:rPr>
          <w:rFonts w:hint="default" w:ascii="Times New Roman" w:hAnsi="Times New Roman" w:cs="Times New Roman"/>
          <w:sz w:val="24"/>
          <w:szCs w:val="24"/>
          <w:lang w:val="en-US" w:eastAsia="zh-CN"/>
        </w:rPr>
        <w:t xml:space="preserve">: 0.700–0.867, </w:t>
      </w:r>
      <w:r>
        <w:rPr>
          <w:rFonts w:hint="default" w:ascii="Times New Roman" w:hAnsi="Times New Roman" w:cs="Times New Roman"/>
          <w:i/>
          <w:iCs/>
          <w:sz w:val="24"/>
          <w:szCs w:val="24"/>
          <w:lang w:val="en-US" w:eastAsia="zh-CN"/>
        </w:rPr>
        <w:t>P</w:t>
      </w:r>
      <w:r>
        <w:rPr>
          <w:rFonts w:hint="default" w:ascii="Times New Roman" w:hAnsi="Times New Roman" w:cs="Times New Roman"/>
          <w:sz w:val="24"/>
          <w:szCs w:val="24"/>
          <w:lang w:val="en-US" w:eastAsia="zh-CN"/>
        </w:rPr>
        <w:t xml:space="preserve"> &lt; 0.001). In contrast, the results for NO₂ were less consistent: it demonstrated a significant positive association when modeled together with O₃ (</w:t>
      </w:r>
      <w:r>
        <w:rPr>
          <w:rFonts w:hint="default" w:ascii="Times New Roman" w:hAnsi="Times New Roman" w:cs="Times New Roman"/>
          <w:i/>
          <w:iCs/>
          <w:sz w:val="24"/>
          <w:szCs w:val="24"/>
          <w:lang w:val="en-US" w:eastAsia="zh-CN"/>
        </w:rPr>
        <w:t>HR</w:t>
      </w:r>
      <w:r>
        <w:rPr>
          <w:rFonts w:hint="default" w:ascii="Times New Roman" w:hAnsi="Times New Roman" w:cs="Times New Roman"/>
          <w:sz w:val="24"/>
          <w:szCs w:val="24"/>
          <w:lang w:val="en-US" w:eastAsia="zh-CN"/>
        </w:rPr>
        <w:t xml:space="preserve"> = 1.216, </w:t>
      </w:r>
      <w:r>
        <w:rPr>
          <w:rFonts w:hint="default" w:ascii="Times New Roman" w:hAnsi="Times New Roman" w:cs="Times New Roman"/>
          <w:i/>
          <w:iCs/>
          <w:sz w:val="24"/>
          <w:szCs w:val="24"/>
          <w:lang w:val="en-US" w:eastAsia="zh-CN"/>
        </w:rPr>
        <w:t>P</w:t>
      </w:r>
      <w:r>
        <w:rPr>
          <w:rFonts w:hint="default" w:ascii="Times New Roman" w:hAnsi="Times New Roman" w:cs="Times New Roman"/>
          <w:sz w:val="24"/>
          <w:szCs w:val="24"/>
          <w:lang w:val="en-US" w:eastAsia="zh-CN"/>
        </w:rPr>
        <w:t xml:space="preserve"> &lt; 0.001), but was not significant when included alongside particulate matter (</w:t>
      </w:r>
      <w:r>
        <w:rPr>
          <w:rFonts w:hint="default" w:ascii="Times New Roman" w:hAnsi="Times New Roman" w:cs="Times New Roman"/>
          <w:i/>
          <w:iCs/>
          <w:sz w:val="24"/>
          <w:szCs w:val="24"/>
          <w:lang w:val="en-US" w:eastAsia="zh-CN"/>
        </w:rPr>
        <w:t>P</w:t>
      </w:r>
      <w:r>
        <w:rPr>
          <w:rFonts w:hint="default" w:ascii="Times New Roman" w:hAnsi="Times New Roman" w:cs="Times New Roman"/>
          <w:sz w:val="24"/>
          <w:szCs w:val="24"/>
          <w:lang w:val="en-US" w:eastAsia="zh-CN"/>
        </w:rPr>
        <w:t xml:space="preserve"> &gt; 0.05) (Table 4).</w:t>
      </w:r>
    </w:p>
    <w:p>
      <w:pPr>
        <w:numPr>
          <w:ilvl w:val="0"/>
          <w:numId w:val="0"/>
        </w:numPr>
        <w:spacing w:line="480" w:lineRule="auto"/>
        <w:jc w:val="left"/>
        <w:rPr>
          <w:rFonts w:hint="default" w:ascii="Times New Roman" w:hAnsi="Times New Roman" w:cs="Times New Roman"/>
          <w:sz w:val="24"/>
          <w:szCs w:val="24"/>
          <w:lang w:val="en-US" w:eastAsia="zh-CN"/>
        </w:rPr>
      </w:pPr>
    </w:p>
    <w:p>
      <w:pPr>
        <w:numPr>
          <w:ilvl w:val="0"/>
          <w:numId w:val="0"/>
        </w:numPr>
        <w:spacing w:line="240" w:lineRule="auto"/>
        <w:jc w:val="center"/>
        <w:rPr>
          <w:rFonts w:hint="default" w:ascii="Times New Roman" w:hAnsi="Times New Roman" w:cs="Times New Roman"/>
          <w:sz w:val="24"/>
          <w:szCs w:val="24"/>
          <w:lang w:val="en-US" w:eastAsia="zh-CN"/>
        </w:rPr>
      </w:pPr>
      <w:r>
        <w:rPr>
          <w:rFonts w:hint="default" w:ascii="Times New Roman" w:hAnsi="Times New Roman" w:cs="Times New Roman"/>
          <w:b/>
          <w:bCs/>
          <w:sz w:val="24"/>
          <w:szCs w:val="24"/>
          <w:lang w:val="en-US" w:eastAsia="zh-CN"/>
        </w:rPr>
        <w:t>Table 4</w:t>
      </w:r>
      <w:r>
        <w:rPr>
          <w:rFonts w:hint="default" w:ascii="Times New Roman" w:hAnsi="Times New Roman" w:cs="Times New Roman"/>
          <w:sz w:val="24"/>
          <w:szCs w:val="24"/>
          <w:lang w:val="en-US" w:eastAsia="zh-CN"/>
        </w:rPr>
        <w:t>.Independent and combined effects of ambient air pollutants on the risk of cardiac events</w:t>
      </w:r>
    </w:p>
    <w:tbl>
      <w:tblPr>
        <w:tblStyle w:val="4"/>
        <w:tblW w:w="4998" w:type="pct"/>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19"/>
        <w:gridCol w:w="1788"/>
        <w:gridCol w:w="1687"/>
        <w:gridCol w:w="1914"/>
        <w:gridCol w:w="1511"/>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950" w:type="pct"/>
            <w:tcBorders>
              <w:bottom w:val="single" w:color="auto" w:sz="6" w:space="0"/>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sz w:val="18"/>
                <w:szCs w:val="18"/>
                <w:u w:val="none"/>
              </w:rPr>
            </w:pPr>
            <w:r>
              <w:rPr>
                <w:rFonts w:hint="default" w:ascii="Times New Roman" w:hAnsi="Times New Roman" w:eastAsia="等线" w:cs="Times New Roman"/>
                <w:b/>
                <w:bCs/>
                <w:i w:val="0"/>
                <w:iCs w:val="0"/>
                <w:color w:val="000000"/>
                <w:kern w:val="0"/>
                <w:sz w:val="18"/>
                <w:szCs w:val="18"/>
                <w:u w:val="none"/>
                <w:lang w:val="en-US" w:eastAsia="zh-CN" w:bidi="ar"/>
              </w:rPr>
              <w:t>Primary pollutant</w:t>
            </w:r>
          </w:p>
        </w:tc>
        <w:tc>
          <w:tcPr>
            <w:tcW w:w="1049" w:type="pct"/>
            <w:tcBorders>
              <w:bottom w:val="single" w:color="auto" w:sz="6" w:space="0"/>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sz w:val="18"/>
                <w:szCs w:val="18"/>
                <w:u w:val="none"/>
              </w:rPr>
            </w:pPr>
            <w:r>
              <w:rPr>
                <w:rFonts w:hint="default" w:ascii="Times New Roman" w:hAnsi="Times New Roman" w:eastAsia="等线" w:cs="Times New Roman"/>
                <w:b/>
                <w:bCs/>
                <w:i w:val="0"/>
                <w:iCs w:val="0"/>
                <w:color w:val="000000"/>
                <w:kern w:val="0"/>
                <w:sz w:val="18"/>
                <w:szCs w:val="18"/>
                <w:u w:val="none"/>
                <w:lang w:val="en-US" w:eastAsia="zh-CN" w:bidi="ar"/>
              </w:rPr>
              <w:t>Model combination</w:t>
            </w:r>
          </w:p>
        </w:tc>
        <w:tc>
          <w:tcPr>
            <w:tcW w:w="990" w:type="pct"/>
            <w:tcBorders>
              <w:bottom w:val="single" w:color="auto" w:sz="6" w:space="0"/>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sz w:val="18"/>
                <w:szCs w:val="18"/>
                <w:u w:val="none"/>
              </w:rPr>
            </w:pPr>
            <w:r>
              <w:rPr>
                <w:rFonts w:hint="default" w:ascii="Times New Roman" w:hAnsi="Times New Roman" w:eastAsia="等线" w:cs="Times New Roman"/>
                <w:b/>
                <w:bCs/>
                <w:i w:val="0"/>
                <w:iCs w:val="0"/>
                <w:color w:val="000000"/>
                <w:kern w:val="0"/>
                <w:sz w:val="18"/>
                <w:szCs w:val="18"/>
                <w:u w:val="none"/>
                <w:lang w:val="en-US" w:eastAsia="zh-CN" w:bidi="ar"/>
              </w:rPr>
              <w:t>Included pollutant</w:t>
            </w:r>
          </w:p>
        </w:tc>
        <w:tc>
          <w:tcPr>
            <w:tcW w:w="1123" w:type="pct"/>
            <w:tcBorders>
              <w:bottom w:val="single" w:color="auto" w:sz="6" w:space="0"/>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sz w:val="18"/>
                <w:szCs w:val="18"/>
                <w:u w:val="none"/>
              </w:rPr>
            </w:pPr>
            <w:r>
              <w:rPr>
                <w:rFonts w:hint="default" w:ascii="Times New Roman" w:hAnsi="Times New Roman" w:eastAsia="等线" w:cs="Times New Roman"/>
                <w:b/>
                <w:bCs/>
                <w:i/>
                <w:iCs/>
                <w:color w:val="000000"/>
                <w:kern w:val="0"/>
                <w:sz w:val="18"/>
                <w:szCs w:val="18"/>
                <w:u w:val="none"/>
                <w:lang w:val="en-US" w:eastAsia="zh-CN" w:bidi="ar"/>
              </w:rPr>
              <w:t>HR</w:t>
            </w:r>
            <w:r>
              <w:rPr>
                <w:rFonts w:hint="default" w:ascii="Times New Roman" w:hAnsi="Times New Roman" w:eastAsia="等线" w:cs="Times New Roman"/>
                <w:b/>
                <w:bCs/>
                <w:i w:val="0"/>
                <w:iCs w:val="0"/>
                <w:color w:val="000000"/>
                <w:kern w:val="0"/>
                <w:sz w:val="18"/>
                <w:szCs w:val="18"/>
                <w:u w:val="none"/>
                <w:lang w:val="en-US" w:eastAsia="zh-CN" w:bidi="ar"/>
              </w:rPr>
              <w:t xml:space="preserve"> (95% </w:t>
            </w:r>
            <w:r>
              <w:rPr>
                <w:rFonts w:hint="default" w:ascii="Times New Roman" w:hAnsi="Times New Roman" w:eastAsia="等线" w:cs="Times New Roman"/>
                <w:b/>
                <w:bCs/>
                <w:i/>
                <w:iCs/>
                <w:color w:val="000000"/>
                <w:kern w:val="0"/>
                <w:sz w:val="18"/>
                <w:szCs w:val="18"/>
                <w:u w:val="none"/>
                <w:lang w:val="en-US" w:eastAsia="zh-CN" w:bidi="ar"/>
              </w:rPr>
              <w:t>CI</w:t>
            </w:r>
            <w:r>
              <w:rPr>
                <w:rFonts w:hint="default" w:ascii="Times New Roman" w:hAnsi="Times New Roman" w:eastAsia="等线" w:cs="Times New Roman"/>
                <w:b/>
                <w:bCs/>
                <w:i w:val="0"/>
                <w:iCs w:val="0"/>
                <w:color w:val="000000"/>
                <w:kern w:val="0"/>
                <w:sz w:val="18"/>
                <w:szCs w:val="18"/>
                <w:u w:val="none"/>
                <w:lang w:val="en-US" w:eastAsia="zh-CN" w:bidi="ar"/>
              </w:rPr>
              <w:t>)</w:t>
            </w:r>
          </w:p>
        </w:tc>
        <w:tc>
          <w:tcPr>
            <w:tcW w:w="886" w:type="pct"/>
            <w:tcBorders>
              <w:bottom w:val="single" w:color="auto" w:sz="6" w:space="0"/>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000000"/>
                <w:sz w:val="18"/>
                <w:szCs w:val="18"/>
                <w:u w:val="none"/>
              </w:rPr>
            </w:pPr>
            <w:r>
              <w:rPr>
                <w:rFonts w:hint="default" w:ascii="Times New Roman" w:hAnsi="Times New Roman" w:eastAsia="等线" w:cs="Times New Roman"/>
                <w:b/>
                <w:bCs/>
                <w:i/>
                <w:iCs/>
                <w:color w:val="000000"/>
                <w:kern w:val="0"/>
                <w:sz w:val="18"/>
                <w:szCs w:val="18"/>
                <w:u w:val="none"/>
                <w:lang w:val="en-US" w:eastAsia="zh-CN" w:bidi="ar"/>
              </w:rPr>
              <w:t>P</w:t>
            </w:r>
            <w:r>
              <w:rPr>
                <w:rFonts w:hint="default" w:ascii="Times New Roman" w:hAnsi="Times New Roman" w:eastAsia="等线" w:cs="Times New Roman"/>
                <w:b/>
                <w:bCs/>
                <w:i w:val="0"/>
                <w:iCs w:val="0"/>
                <w:color w:val="000000"/>
                <w:kern w:val="0"/>
                <w:sz w:val="18"/>
                <w:szCs w:val="18"/>
                <w:u w:val="none"/>
                <w:lang w:val="en-US" w:eastAsia="zh-CN" w:bidi="ar"/>
              </w:rPr>
              <w:t>-value</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950" w:type="pct"/>
            <w:tcBorders>
              <w:top w:val="single" w:color="auto" w:sz="6" w:space="0"/>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PM₂.₅</w:t>
            </w:r>
          </w:p>
        </w:tc>
        <w:tc>
          <w:tcPr>
            <w:tcW w:w="1049" w:type="pct"/>
            <w:tcBorders>
              <w:top w:val="single" w:color="auto" w:sz="6" w:space="0"/>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 NO₂</w:t>
            </w:r>
          </w:p>
        </w:tc>
        <w:tc>
          <w:tcPr>
            <w:tcW w:w="990" w:type="pct"/>
            <w:tcBorders>
              <w:top w:val="single" w:color="auto" w:sz="6" w:space="0"/>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PM₂.₅</w:t>
            </w:r>
          </w:p>
        </w:tc>
        <w:tc>
          <w:tcPr>
            <w:tcW w:w="1123" w:type="pct"/>
            <w:tcBorders>
              <w:top w:val="single" w:color="auto" w:sz="6" w:space="0"/>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1.110 (1.052, 1.171)</w:t>
            </w:r>
          </w:p>
        </w:tc>
        <w:tc>
          <w:tcPr>
            <w:tcW w:w="886" w:type="pct"/>
            <w:tcBorders>
              <w:top w:val="single" w:color="auto" w:sz="6" w:space="0"/>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950"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sz w:val="18"/>
                <w:szCs w:val="18"/>
                <w:u w:val="none"/>
              </w:rPr>
            </w:pPr>
          </w:p>
        </w:tc>
        <w:tc>
          <w:tcPr>
            <w:tcW w:w="1049"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sz w:val="18"/>
                <w:szCs w:val="18"/>
                <w:u w:val="none"/>
              </w:rPr>
            </w:pPr>
          </w:p>
        </w:tc>
        <w:tc>
          <w:tcPr>
            <w:tcW w:w="99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NO₂</w:t>
            </w:r>
          </w:p>
        </w:tc>
        <w:tc>
          <w:tcPr>
            <w:tcW w:w="1123"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0.964 (0.878, 1.058)</w:t>
            </w:r>
          </w:p>
        </w:tc>
        <w:tc>
          <w:tcPr>
            <w:tcW w:w="886"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0.44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950"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sz w:val="18"/>
                <w:szCs w:val="18"/>
                <w:u w:val="none"/>
              </w:rPr>
            </w:pPr>
          </w:p>
        </w:tc>
        <w:tc>
          <w:tcPr>
            <w:tcW w:w="1049"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 O₃</w:t>
            </w:r>
          </w:p>
        </w:tc>
        <w:tc>
          <w:tcPr>
            <w:tcW w:w="99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PM₂.₅</w:t>
            </w:r>
          </w:p>
        </w:tc>
        <w:tc>
          <w:tcPr>
            <w:tcW w:w="1123"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1.104 (1.068, 1.141)</w:t>
            </w:r>
          </w:p>
        </w:tc>
        <w:tc>
          <w:tcPr>
            <w:tcW w:w="886"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950"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sz w:val="18"/>
                <w:szCs w:val="18"/>
                <w:u w:val="none"/>
              </w:rPr>
            </w:pPr>
          </w:p>
        </w:tc>
        <w:tc>
          <w:tcPr>
            <w:tcW w:w="1049"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sz w:val="18"/>
                <w:szCs w:val="18"/>
                <w:u w:val="none"/>
              </w:rPr>
            </w:pPr>
          </w:p>
        </w:tc>
        <w:tc>
          <w:tcPr>
            <w:tcW w:w="99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O₃</w:t>
            </w:r>
          </w:p>
        </w:tc>
        <w:tc>
          <w:tcPr>
            <w:tcW w:w="1123"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0.865 (0.789, 0.948)</w:t>
            </w:r>
          </w:p>
        </w:tc>
        <w:tc>
          <w:tcPr>
            <w:tcW w:w="886"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0.002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950"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sz w:val="18"/>
                <w:szCs w:val="18"/>
                <w:u w:val="none"/>
              </w:rPr>
            </w:pPr>
          </w:p>
        </w:tc>
        <w:tc>
          <w:tcPr>
            <w:tcW w:w="1049"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 O₃ + NO₂</w:t>
            </w:r>
          </w:p>
        </w:tc>
        <w:tc>
          <w:tcPr>
            <w:tcW w:w="99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PM₂.₅</w:t>
            </w:r>
          </w:p>
        </w:tc>
        <w:tc>
          <w:tcPr>
            <w:tcW w:w="1123"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1.065 (1.004, 1.130)</w:t>
            </w:r>
          </w:p>
        </w:tc>
        <w:tc>
          <w:tcPr>
            <w:tcW w:w="886"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0.036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950"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sz w:val="18"/>
                <w:szCs w:val="18"/>
                <w:u w:val="none"/>
              </w:rPr>
            </w:pPr>
          </w:p>
        </w:tc>
        <w:tc>
          <w:tcPr>
            <w:tcW w:w="1049"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sz w:val="18"/>
                <w:szCs w:val="18"/>
                <w:u w:val="none"/>
              </w:rPr>
            </w:pPr>
          </w:p>
        </w:tc>
        <w:tc>
          <w:tcPr>
            <w:tcW w:w="99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O₃</w:t>
            </w:r>
          </w:p>
        </w:tc>
        <w:tc>
          <w:tcPr>
            <w:tcW w:w="1123"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0.820 (0.730, 0.921)</w:t>
            </w:r>
          </w:p>
        </w:tc>
        <w:tc>
          <w:tcPr>
            <w:tcW w:w="886"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950"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sz w:val="18"/>
                <w:szCs w:val="18"/>
                <w:u w:val="none"/>
              </w:rPr>
            </w:pPr>
          </w:p>
        </w:tc>
        <w:tc>
          <w:tcPr>
            <w:tcW w:w="1049"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sz w:val="18"/>
                <w:szCs w:val="18"/>
                <w:u w:val="none"/>
              </w:rPr>
            </w:pPr>
          </w:p>
        </w:tc>
        <w:tc>
          <w:tcPr>
            <w:tcW w:w="99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NO₂</w:t>
            </w:r>
          </w:p>
        </w:tc>
        <w:tc>
          <w:tcPr>
            <w:tcW w:w="1123"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1.093 (0.969, 1.233)</w:t>
            </w:r>
          </w:p>
        </w:tc>
        <w:tc>
          <w:tcPr>
            <w:tcW w:w="886"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0.147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95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PM₁₀</w:t>
            </w:r>
          </w:p>
        </w:tc>
        <w:tc>
          <w:tcPr>
            <w:tcW w:w="1049"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 NO₂</w:t>
            </w:r>
          </w:p>
        </w:tc>
        <w:tc>
          <w:tcPr>
            <w:tcW w:w="99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PM₁₀</w:t>
            </w:r>
          </w:p>
        </w:tc>
        <w:tc>
          <w:tcPr>
            <w:tcW w:w="1123"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1.087 (1.066, 1.109)</w:t>
            </w:r>
          </w:p>
        </w:tc>
        <w:tc>
          <w:tcPr>
            <w:tcW w:w="886"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950"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sz w:val="18"/>
                <w:szCs w:val="18"/>
                <w:u w:val="none"/>
              </w:rPr>
            </w:pPr>
          </w:p>
        </w:tc>
        <w:tc>
          <w:tcPr>
            <w:tcW w:w="1049"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sz w:val="18"/>
                <w:szCs w:val="18"/>
                <w:u w:val="none"/>
              </w:rPr>
            </w:pPr>
          </w:p>
        </w:tc>
        <w:tc>
          <w:tcPr>
            <w:tcW w:w="99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NO₂</w:t>
            </w:r>
          </w:p>
        </w:tc>
        <w:tc>
          <w:tcPr>
            <w:tcW w:w="1123"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0.914 (0.851, 0.981)</w:t>
            </w:r>
          </w:p>
        </w:tc>
        <w:tc>
          <w:tcPr>
            <w:tcW w:w="886"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0.014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950"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sz w:val="18"/>
                <w:szCs w:val="18"/>
                <w:u w:val="none"/>
              </w:rPr>
            </w:pPr>
          </w:p>
        </w:tc>
        <w:tc>
          <w:tcPr>
            <w:tcW w:w="1049"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 O₃</w:t>
            </w:r>
          </w:p>
        </w:tc>
        <w:tc>
          <w:tcPr>
            <w:tcW w:w="99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PM₁₀</w:t>
            </w:r>
          </w:p>
        </w:tc>
        <w:tc>
          <w:tcPr>
            <w:tcW w:w="1123"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1.084 (1.066, 1.102)</w:t>
            </w:r>
          </w:p>
        </w:tc>
        <w:tc>
          <w:tcPr>
            <w:tcW w:w="886"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950"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sz w:val="18"/>
                <w:szCs w:val="18"/>
                <w:u w:val="none"/>
              </w:rPr>
            </w:pPr>
          </w:p>
        </w:tc>
        <w:tc>
          <w:tcPr>
            <w:tcW w:w="1049"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sz w:val="18"/>
                <w:szCs w:val="18"/>
                <w:u w:val="none"/>
              </w:rPr>
            </w:pPr>
          </w:p>
        </w:tc>
        <w:tc>
          <w:tcPr>
            <w:tcW w:w="99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O₃</w:t>
            </w:r>
          </w:p>
        </w:tc>
        <w:tc>
          <w:tcPr>
            <w:tcW w:w="1123"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0.802 (0.729, 0.882)</w:t>
            </w:r>
          </w:p>
        </w:tc>
        <w:tc>
          <w:tcPr>
            <w:tcW w:w="886"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950"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sz w:val="18"/>
                <w:szCs w:val="18"/>
                <w:u w:val="none"/>
              </w:rPr>
            </w:pPr>
          </w:p>
        </w:tc>
        <w:tc>
          <w:tcPr>
            <w:tcW w:w="1049"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 O₃ + NO₂</w:t>
            </w:r>
          </w:p>
        </w:tc>
        <w:tc>
          <w:tcPr>
            <w:tcW w:w="99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PM₁₀</w:t>
            </w:r>
          </w:p>
        </w:tc>
        <w:tc>
          <w:tcPr>
            <w:tcW w:w="1123"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1.088 (1.065, 1.111)</w:t>
            </w:r>
          </w:p>
        </w:tc>
        <w:tc>
          <w:tcPr>
            <w:tcW w:w="886"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950"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sz w:val="18"/>
                <w:szCs w:val="18"/>
                <w:u w:val="none"/>
              </w:rPr>
            </w:pPr>
          </w:p>
        </w:tc>
        <w:tc>
          <w:tcPr>
            <w:tcW w:w="1049"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sz w:val="18"/>
                <w:szCs w:val="18"/>
                <w:u w:val="none"/>
              </w:rPr>
            </w:pPr>
          </w:p>
        </w:tc>
        <w:tc>
          <w:tcPr>
            <w:tcW w:w="99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O₃</w:t>
            </w:r>
          </w:p>
        </w:tc>
        <w:tc>
          <w:tcPr>
            <w:tcW w:w="1123"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0.813 (0.732, 0.903)</w:t>
            </w:r>
          </w:p>
        </w:tc>
        <w:tc>
          <w:tcPr>
            <w:tcW w:w="886"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950"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sz w:val="18"/>
                <w:szCs w:val="18"/>
                <w:u w:val="none"/>
              </w:rPr>
            </w:pPr>
          </w:p>
        </w:tc>
        <w:tc>
          <w:tcPr>
            <w:tcW w:w="1049"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sz w:val="18"/>
                <w:szCs w:val="18"/>
                <w:u w:val="none"/>
              </w:rPr>
            </w:pPr>
          </w:p>
        </w:tc>
        <w:tc>
          <w:tcPr>
            <w:tcW w:w="99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NO₂</w:t>
            </w:r>
          </w:p>
        </w:tc>
        <w:tc>
          <w:tcPr>
            <w:tcW w:w="1123"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0.975 (0.899, 1.057)</w:t>
            </w:r>
          </w:p>
        </w:tc>
        <w:tc>
          <w:tcPr>
            <w:tcW w:w="886"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0.552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95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O₃</w:t>
            </w:r>
          </w:p>
        </w:tc>
        <w:tc>
          <w:tcPr>
            <w:tcW w:w="1049"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 NO₂</w:t>
            </w:r>
          </w:p>
        </w:tc>
        <w:tc>
          <w:tcPr>
            <w:tcW w:w="99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O₃</w:t>
            </w:r>
          </w:p>
        </w:tc>
        <w:tc>
          <w:tcPr>
            <w:tcW w:w="1123"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0.779 (0.700, 0.867)</w:t>
            </w:r>
          </w:p>
        </w:tc>
        <w:tc>
          <w:tcPr>
            <w:tcW w:w="886"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950"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sz w:val="18"/>
                <w:szCs w:val="18"/>
                <w:u w:val="none"/>
              </w:rPr>
            </w:pPr>
          </w:p>
        </w:tc>
        <w:tc>
          <w:tcPr>
            <w:tcW w:w="1049"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sz w:val="18"/>
                <w:szCs w:val="18"/>
                <w:u w:val="none"/>
              </w:rPr>
            </w:pPr>
          </w:p>
        </w:tc>
        <w:tc>
          <w:tcPr>
            <w:tcW w:w="99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NO₂</w:t>
            </w:r>
          </w:p>
        </w:tc>
        <w:tc>
          <w:tcPr>
            <w:tcW w:w="1123"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1.216 (1.138, 1.299)</w:t>
            </w:r>
          </w:p>
        </w:tc>
        <w:tc>
          <w:tcPr>
            <w:tcW w:w="886"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3" w:hRule="atLeast"/>
        </w:trPr>
        <w:tc>
          <w:tcPr>
            <w:tcW w:w="950"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sz w:val="18"/>
                <w:szCs w:val="18"/>
                <w:u w:val="none"/>
              </w:rPr>
            </w:pPr>
          </w:p>
        </w:tc>
        <w:tc>
          <w:tcPr>
            <w:tcW w:w="1049"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 PM₂.₅</w:t>
            </w:r>
          </w:p>
        </w:tc>
        <w:tc>
          <w:tcPr>
            <w:tcW w:w="99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O₃</w:t>
            </w:r>
          </w:p>
        </w:tc>
        <w:tc>
          <w:tcPr>
            <w:tcW w:w="1123"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0.865 (0.789, 0.948)</w:t>
            </w:r>
          </w:p>
        </w:tc>
        <w:tc>
          <w:tcPr>
            <w:tcW w:w="886"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0.002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3" w:hRule="atLeast"/>
        </w:trPr>
        <w:tc>
          <w:tcPr>
            <w:tcW w:w="950"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sz w:val="18"/>
                <w:szCs w:val="18"/>
                <w:u w:val="none"/>
              </w:rPr>
            </w:pPr>
          </w:p>
        </w:tc>
        <w:tc>
          <w:tcPr>
            <w:tcW w:w="1049"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sz w:val="18"/>
                <w:szCs w:val="18"/>
                <w:u w:val="none"/>
              </w:rPr>
            </w:pPr>
          </w:p>
        </w:tc>
        <w:tc>
          <w:tcPr>
            <w:tcW w:w="99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PM₂.₅</w:t>
            </w:r>
          </w:p>
        </w:tc>
        <w:tc>
          <w:tcPr>
            <w:tcW w:w="1123"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1.104 (1.068, 1.141)</w:t>
            </w:r>
          </w:p>
        </w:tc>
        <w:tc>
          <w:tcPr>
            <w:tcW w:w="886"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3" w:hRule="atLeast"/>
        </w:trPr>
        <w:tc>
          <w:tcPr>
            <w:tcW w:w="95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NO₂</w:t>
            </w:r>
          </w:p>
        </w:tc>
        <w:tc>
          <w:tcPr>
            <w:tcW w:w="1049"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 O₃</w:t>
            </w:r>
          </w:p>
        </w:tc>
        <w:tc>
          <w:tcPr>
            <w:tcW w:w="99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NO₂</w:t>
            </w:r>
          </w:p>
        </w:tc>
        <w:tc>
          <w:tcPr>
            <w:tcW w:w="1123"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1.216 (1.138, 1.299)</w:t>
            </w:r>
          </w:p>
        </w:tc>
        <w:tc>
          <w:tcPr>
            <w:tcW w:w="886"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3" w:hRule="atLeast"/>
        </w:trPr>
        <w:tc>
          <w:tcPr>
            <w:tcW w:w="950"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sz w:val="18"/>
                <w:szCs w:val="18"/>
                <w:u w:val="none"/>
              </w:rPr>
            </w:pPr>
          </w:p>
        </w:tc>
        <w:tc>
          <w:tcPr>
            <w:tcW w:w="1049"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sz w:val="18"/>
                <w:szCs w:val="18"/>
                <w:u w:val="none"/>
              </w:rPr>
            </w:pPr>
          </w:p>
        </w:tc>
        <w:tc>
          <w:tcPr>
            <w:tcW w:w="99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O₃</w:t>
            </w:r>
          </w:p>
        </w:tc>
        <w:tc>
          <w:tcPr>
            <w:tcW w:w="1123"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0.779 (0.700, 0.867)</w:t>
            </w:r>
          </w:p>
        </w:tc>
        <w:tc>
          <w:tcPr>
            <w:tcW w:w="886"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&lt;0.001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3" w:hRule="atLeast"/>
        </w:trPr>
        <w:tc>
          <w:tcPr>
            <w:tcW w:w="950"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sz w:val="18"/>
                <w:szCs w:val="18"/>
                <w:u w:val="none"/>
              </w:rPr>
            </w:pPr>
          </w:p>
        </w:tc>
        <w:tc>
          <w:tcPr>
            <w:tcW w:w="1049"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 PM₂.₅</w:t>
            </w:r>
          </w:p>
        </w:tc>
        <w:tc>
          <w:tcPr>
            <w:tcW w:w="99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NO₂</w:t>
            </w:r>
          </w:p>
        </w:tc>
        <w:tc>
          <w:tcPr>
            <w:tcW w:w="1123"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0.964 (0.878, 1.058)</w:t>
            </w:r>
          </w:p>
        </w:tc>
        <w:tc>
          <w:tcPr>
            <w:tcW w:w="886"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0.44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3" w:hRule="atLeast"/>
        </w:trPr>
        <w:tc>
          <w:tcPr>
            <w:tcW w:w="950"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sz w:val="18"/>
                <w:szCs w:val="18"/>
                <w:u w:val="none"/>
              </w:rPr>
            </w:pPr>
          </w:p>
        </w:tc>
        <w:tc>
          <w:tcPr>
            <w:tcW w:w="1049"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000000"/>
                <w:sz w:val="18"/>
                <w:szCs w:val="18"/>
                <w:u w:val="none"/>
              </w:rPr>
            </w:pPr>
          </w:p>
        </w:tc>
        <w:tc>
          <w:tcPr>
            <w:tcW w:w="99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PM₂.₅</w:t>
            </w:r>
          </w:p>
        </w:tc>
        <w:tc>
          <w:tcPr>
            <w:tcW w:w="1123"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1.110 (1.052, 1.171)</w:t>
            </w:r>
          </w:p>
        </w:tc>
        <w:tc>
          <w:tcPr>
            <w:tcW w:w="886"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000000"/>
                <w:sz w:val="18"/>
                <w:szCs w:val="18"/>
                <w:u w:val="none"/>
              </w:rPr>
            </w:pPr>
            <w:r>
              <w:rPr>
                <w:rFonts w:hint="default" w:ascii="Times New Roman" w:hAnsi="Times New Roman" w:eastAsia="等线" w:cs="Times New Roman"/>
                <w:i w:val="0"/>
                <w:iCs w:val="0"/>
                <w:color w:val="000000"/>
                <w:kern w:val="0"/>
                <w:sz w:val="18"/>
                <w:szCs w:val="18"/>
                <w:u w:val="none"/>
                <w:lang w:val="en-US" w:eastAsia="zh-CN" w:bidi="ar"/>
              </w:rPr>
              <w:t>&lt;0.001</w:t>
            </w:r>
          </w:p>
        </w:tc>
      </w:tr>
    </w:tbl>
    <w:p>
      <w:pPr>
        <w:numPr>
          <w:ilvl w:val="0"/>
          <w:numId w:val="0"/>
        </w:numPr>
        <w:spacing w:line="240" w:lineRule="auto"/>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All models were adjusted for the following covariates: age, sex, education level, marital status, smoking, alcohol consumption, social activities, body mass index (BMI), hypertension, type 2 diabetes, and region of residence.</w:t>
      </w:r>
    </w:p>
    <w:p>
      <w:pPr>
        <w:numPr>
          <w:ilvl w:val="0"/>
          <w:numId w:val="0"/>
        </w:numPr>
        <w:spacing w:line="480" w:lineRule="auto"/>
        <w:jc w:val="left"/>
        <w:rPr>
          <w:rFonts w:hint="default" w:ascii="Times New Roman" w:hAnsi="Times New Roman" w:eastAsia="宋体" w:cs="Times New Roman"/>
          <w:sz w:val="24"/>
          <w:szCs w:val="24"/>
        </w:rPr>
      </w:pPr>
    </w:p>
    <w:p>
      <w:pPr>
        <w:numPr>
          <w:ilvl w:val="0"/>
          <w:numId w:val="0"/>
        </w:numPr>
        <w:spacing w:line="480" w:lineRule="auto"/>
        <w:jc w:val="left"/>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3.5 Dose–response relationships between air pollutants and risk of cardiac events</w:t>
      </w:r>
    </w:p>
    <w:p>
      <w:pPr>
        <w:numPr>
          <w:ilvl w:val="0"/>
          <w:numId w:val="0"/>
        </w:numPr>
        <w:spacing w:line="480" w:lineRule="auto"/>
        <w:jc w:val="left"/>
        <w:rPr>
          <w:rFonts w:hint="default" w:ascii="Times New Roman" w:hAnsi="Times New Roman" w:eastAsia="宋体" w:cs="Times New Roman"/>
          <w:color w:val="C00000"/>
          <w:sz w:val="24"/>
          <w:szCs w:val="24"/>
        </w:rPr>
      </w:pPr>
      <w:r>
        <w:rPr>
          <w:rFonts w:hint="default" w:ascii="Times New Roman" w:hAnsi="Times New Roman" w:eastAsia="宋体" w:cs="Times New Roman"/>
          <w:color w:val="C00000"/>
          <w:sz w:val="24"/>
          <w:szCs w:val="24"/>
        </w:rPr>
        <w:t>Restricted cubic spline models demonstrated significant nonlinear positive associations of PM₁, PM₂.₅, and NO₂ with cardiac event risk (</w:t>
      </w:r>
      <w:r>
        <w:rPr>
          <w:rFonts w:hint="default" w:ascii="Times New Roman" w:hAnsi="Times New Roman" w:eastAsia="宋体" w:cs="Times New Roman"/>
          <w:i/>
          <w:iCs/>
          <w:color w:val="C00000"/>
          <w:sz w:val="24"/>
          <w:szCs w:val="24"/>
        </w:rPr>
        <w:t>P</w:t>
      </w:r>
      <w:r>
        <w:rPr>
          <w:rFonts w:hint="default" w:ascii="Times New Roman" w:hAnsi="Times New Roman" w:eastAsia="宋体" w:cs="Times New Roman"/>
          <w:color w:val="C00000"/>
          <w:sz w:val="24"/>
          <w:szCs w:val="24"/>
        </w:rPr>
        <w:t xml:space="preserve"> for overall &lt; 0.001; P for nonlinearity &lt; 0.001), with risk increasing steadily as concentrations rose. PM₁₀ showed a consistent linear positive association (</w:t>
      </w:r>
      <w:r>
        <w:rPr>
          <w:rFonts w:hint="default" w:ascii="Times New Roman" w:hAnsi="Times New Roman" w:eastAsia="宋体" w:cs="Times New Roman"/>
          <w:i/>
          <w:iCs/>
          <w:color w:val="C00000"/>
          <w:sz w:val="24"/>
          <w:szCs w:val="24"/>
        </w:rPr>
        <w:t xml:space="preserve">P </w:t>
      </w:r>
      <w:r>
        <w:rPr>
          <w:rFonts w:hint="default" w:ascii="Times New Roman" w:hAnsi="Times New Roman" w:eastAsia="宋体" w:cs="Times New Roman"/>
          <w:color w:val="C00000"/>
          <w:sz w:val="24"/>
          <w:szCs w:val="24"/>
        </w:rPr>
        <w:t xml:space="preserve">for overall &lt; 0.001; P for nonlinearity = 0.520). By contrast, O₃ displayed a significant nonlinear inverse association </w:t>
      </w:r>
      <w:r>
        <w:rPr>
          <w:rFonts w:hint="default" w:ascii="Times New Roman" w:hAnsi="Times New Roman" w:eastAsia="宋体" w:cs="Times New Roman"/>
          <w:i w:val="0"/>
          <w:iCs w:val="0"/>
          <w:color w:val="C00000"/>
          <w:sz w:val="24"/>
          <w:szCs w:val="24"/>
        </w:rPr>
        <w:t>(</w:t>
      </w:r>
      <w:r>
        <w:rPr>
          <w:rFonts w:hint="default" w:ascii="Times New Roman" w:hAnsi="Times New Roman" w:eastAsia="宋体" w:cs="Times New Roman"/>
          <w:i/>
          <w:iCs/>
          <w:color w:val="C00000"/>
          <w:sz w:val="24"/>
          <w:szCs w:val="24"/>
        </w:rPr>
        <w:t>P</w:t>
      </w:r>
      <w:r>
        <w:rPr>
          <w:rFonts w:hint="default" w:ascii="Times New Roman" w:hAnsi="Times New Roman" w:eastAsia="宋体" w:cs="Times New Roman"/>
          <w:color w:val="C00000"/>
          <w:sz w:val="24"/>
          <w:szCs w:val="24"/>
        </w:rPr>
        <w:t xml:space="preserve"> for overall = 0.001; P for nonlinearity = 0.001) (</w:t>
      </w:r>
      <w:r>
        <w:rPr>
          <w:rFonts w:hint="default" w:ascii="Times New Roman" w:hAnsi="Times New Roman" w:eastAsia="宋体" w:cs="Times New Roman"/>
          <w:b/>
          <w:bCs/>
          <w:color w:val="C00000"/>
          <w:sz w:val="24"/>
          <w:szCs w:val="24"/>
        </w:rPr>
        <w:t>Figure 3</w:t>
      </w:r>
      <w:r>
        <w:rPr>
          <w:rFonts w:hint="default" w:ascii="Times New Roman" w:hAnsi="Times New Roman" w:eastAsia="宋体" w:cs="Times New Roman"/>
          <w:color w:val="C00000"/>
          <w:sz w:val="24"/>
          <w:szCs w:val="24"/>
        </w:rPr>
        <w:t>).</w:t>
      </w:r>
    </w:p>
    <w:p>
      <w:pPr>
        <w:numPr>
          <w:ilvl w:val="0"/>
          <w:numId w:val="0"/>
        </w:numPr>
        <w:spacing w:line="480" w:lineRule="auto"/>
        <w:jc w:val="left"/>
        <w:rPr>
          <w:rFonts w:hint="default" w:ascii="Times New Roman" w:hAnsi="Times New Roman" w:cs="Times New Roman"/>
        </w:rPr>
      </w:pPr>
      <w:r>
        <w:rPr>
          <w:rFonts w:hint="default" w:ascii="Times New Roman" w:hAnsi="Times New Roman" w:cs="Times New Roman"/>
        </w:rPr>
        <w:drawing>
          <wp:inline distT="0" distB="0" distL="114300" distR="114300">
            <wp:extent cx="5269865" cy="2554605"/>
            <wp:effectExtent l="0" t="0" r="6985" b="762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7"/>
                    <a:stretch>
                      <a:fillRect/>
                    </a:stretch>
                  </pic:blipFill>
                  <pic:spPr>
                    <a:xfrm>
                      <a:off x="0" y="0"/>
                      <a:ext cx="5269865" cy="2554605"/>
                    </a:xfrm>
                    <a:prstGeom prst="rect">
                      <a:avLst/>
                    </a:prstGeom>
                    <a:noFill/>
                    <a:ln>
                      <a:noFill/>
                    </a:ln>
                  </pic:spPr>
                </pic:pic>
              </a:graphicData>
            </a:graphic>
          </wp:inline>
        </w:drawing>
      </w:r>
    </w:p>
    <w:p>
      <w:pPr>
        <w:numPr>
          <w:ilvl w:val="0"/>
          <w:numId w:val="0"/>
        </w:numPr>
        <w:spacing w:line="240" w:lineRule="auto"/>
        <w:jc w:val="left"/>
        <w:rPr>
          <w:rFonts w:hint="default" w:ascii="Times New Roman" w:hAnsi="Times New Roman" w:cs="Times New Roman"/>
        </w:rPr>
      </w:pPr>
      <w:r>
        <w:rPr>
          <w:rFonts w:hint="default" w:ascii="Times New Roman" w:hAnsi="Times New Roman" w:cs="Times New Roman"/>
        </w:rPr>
        <w:t>Models adjusted for age, sex, education level, marital status, smoking, alcohol consumption, BMI, hypertension, type 2 diabetes, and region of residence. The red line indicates estimated hazard ratios (HRs), with pink shading denoting 95% confidence intervals.</w:t>
      </w:r>
    </w:p>
    <w:p>
      <w:pPr>
        <w:numPr>
          <w:ilvl w:val="0"/>
          <w:numId w:val="0"/>
        </w:numPr>
        <w:jc w:val="center"/>
        <w:rPr>
          <w:rFonts w:hint="default" w:ascii="Times New Roman" w:hAnsi="Times New Roman" w:cs="Times New Roman"/>
        </w:rPr>
      </w:pPr>
      <w:r>
        <w:rPr>
          <w:rFonts w:hint="default" w:ascii="Times New Roman" w:hAnsi="Times New Roman" w:cs="Times New Roman"/>
          <w:b/>
          <w:bCs/>
          <w:sz w:val="24"/>
          <w:szCs w:val="24"/>
          <w:lang w:val="en-US" w:eastAsia="zh-CN"/>
        </w:rPr>
        <w:t xml:space="preserve">Figure </w:t>
      </w:r>
      <w:r>
        <w:rPr>
          <w:rFonts w:hint="eastAsia" w:ascii="Times New Roman" w:hAnsi="Times New Roman" w:cs="Times New Roman"/>
          <w:b/>
          <w:bCs/>
          <w:sz w:val="24"/>
          <w:szCs w:val="24"/>
          <w:lang w:val="en-US" w:eastAsia="zh-CN"/>
        </w:rPr>
        <w:t>3</w:t>
      </w:r>
      <w:r>
        <w:rPr>
          <w:rFonts w:hint="default" w:ascii="Times New Roman" w:hAnsi="Times New Roman" w:cs="Times New Roman"/>
          <w:b/>
          <w:bCs/>
          <w:sz w:val="24"/>
          <w:szCs w:val="24"/>
          <w:lang w:val="en-US" w:eastAsia="zh-CN"/>
        </w:rPr>
        <w:t>.</w:t>
      </w:r>
      <w:r>
        <w:rPr>
          <w:rFonts w:hint="default" w:ascii="Times New Roman" w:hAnsi="Times New Roman" w:cs="Times New Roman"/>
          <w:sz w:val="24"/>
          <w:szCs w:val="24"/>
          <w:lang w:val="en-US" w:eastAsia="zh-CN"/>
        </w:rPr>
        <w:t xml:space="preserve"> Restricted cubic spline curves for the associations between air pollutant exposure and cardiovascular event risk.</w:t>
      </w:r>
    </w:p>
    <w:p>
      <w:pPr>
        <w:numPr>
          <w:ilvl w:val="0"/>
          <w:numId w:val="0"/>
        </w:numPr>
        <w:spacing w:line="480" w:lineRule="auto"/>
        <w:jc w:val="left"/>
        <w:rPr>
          <w:rFonts w:hint="default" w:ascii="Times New Roman" w:hAnsi="Times New Roman" w:cs="Times New Roman"/>
        </w:rPr>
      </w:pPr>
    </w:p>
    <w:p>
      <w:pPr>
        <w:numPr>
          <w:ilvl w:val="0"/>
          <w:numId w:val="0"/>
        </w:numPr>
        <w:spacing w:line="480" w:lineRule="auto"/>
        <w:jc w:val="left"/>
        <w:rPr>
          <w:rFonts w:hint="default" w:ascii="Times New Roman" w:hAnsi="Times New Roman" w:cs="Times New Roman"/>
          <w:b/>
          <w:bCs/>
          <w:color w:val="70AD47" w:themeColor="accent6"/>
          <w:sz w:val="24"/>
          <w:szCs w:val="24"/>
          <w:lang w:val="en-US" w:eastAsia="zh-CN"/>
          <w14:textFill>
            <w14:solidFill>
              <w14:schemeClr w14:val="accent6"/>
            </w14:solidFill>
          </w14:textFill>
        </w:rPr>
      </w:pPr>
      <w:r>
        <w:rPr>
          <w:rFonts w:hint="default" w:ascii="Times New Roman" w:hAnsi="Times New Roman" w:cs="Times New Roman"/>
          <w:b/>
          <w:bCs/>
          <w:color w:val="70AD47" w:themeColor="accent6"/>
          <w:sz w:val="24"/>
          <w:szCs w:val="24"/>
          <w:lang w:val="en-US" w:eastAsia="zh-CN"/>
          <w14:textFill>
            <w14:solidFill>
              <w14:schemeClr w14:val="accent6"/>
            </w14:solidFill>
          </w14:textFill>
        </w:rPr>
        <w:t>3.6 Subgroup and interaction analyses</w:t>
      </w:r>
    </w:p>
    <w:p>
      <w:pPr>
        <w:numPr>
          <w:ilvl w:val="0"/>
          <w:numId w:val="0"/>
        </w:numPr>
        <w:spacing w:line="480" w:lineRule="auto"/>
        <w:jc w:val="left"/>
        <w:rPr>
          <w:rFonts w:hint="default" w:ascii="Times New Roman" w:hAnsi="Times New Roman" w:cs="Times New Roman"/>
          <w:color w:val="70AD47" w:themeColor="accent6"/>
          <w:sz w:val="24"/>
          <w:szCs w:val="24"/>
          <w:lang w:val="en-US" w:eastAsia="zh-CN"/>
          <w14:textFill>
            <w14:solidFill>
              <w14:schemeClr w14:val="accent6"/>
            </w14:solidFill>
          </w14:textFill>
        </w:rPr>
      </w:pPr>
      <w:r>
        <w:rPr>
          <w:rFonts w:hint="default" w:ascii="Times New Roman" w:hAnsi="Times New Roman" w:cs="Times New Roman"/>
          <w:color w:val="70AD47" w:themeColor="accent6"/>
          <w:sz w:val="24"/>
          <w:szCs w:val="24"/>
          <w:lang w:val="en-US" w:eastAsia="zh-CN"/>
          <w14:textFill>
            <w14:solidFill>
              <w14:schemeClr w14:val="accent6"/>
            </w14:solidFill>
          </w14:textFill>
        </w:rPr>
        <w:t>Interactions between air pollutants and sex, educational level, and residential region were not statistically significant (P for interaction &gt; 0.05) (Table 5). Nevertheless, stratified analyses suggested that women, individuals with lower educational attainment, and rural residents had higher risk estimates associated with exposure to PM₁, PM₂.₅, and PM₁₀ compared with their respective reference groups (Supplementary Figure 1, Supplementary Table 2). Furthermore, in exploratory analyses, pollutant–pollutant interaction terms (PM₂.₅×NO₂, PM₂.₅×O₃, NO₂×O₃) reached statistical significance after FDR correction (Supplementary Table S</w:t>
      </w:r>
      <w:r>
        <w:rPr>
          <w:rFonts w:hint="eastAsia" w:ascii="Times New Roman" w:hAnsi="Times New Roman" w:cs="Times New Roman"/>
          <w:color w:val="70AD47" w:themeColor="accent6"/>
          <w:sz w:val="24"/>
          <w:szCs w:val="24"/>
          <w:lang w:val="en-US" w:eastAsia="zh-CN"/>
          <w14:textFill>
            <w14:solidFill>
              <w14:schemeClr w14:val="accent6"/>
            </w14:solidFill>
          </w14:textFill>
        </w:rPr>
        <w:t>10</w:t>
      </w:r>
      <w:r>
        <w:rPr>
          <w:rFonts w:hint="default" w:ascii="Times New Roman" w:hAnsi="Times New Roman" w:cs="Times New Roman"/>
          <w:color w:val="70AD47" w:themeColor="accent6"/>
          <w:sz w:val="24"/>
          <w:szCs w:val="24"/>
          <w:lang w:val="en-US" w:eastAsia="zh-CN"/>
          <w14:textFill>
            <w14:solidFill>
              <w14:schemeClr w14:val="accent6"/>
            </w14:solidFill>
          </w14:textFill>
        </w:rPr>
        <w:t>); however, the corresponding hazard ratios were extremely close to unity (e.g., 1.001–1.002).</w:t>
      </w:r>
    </w:p>
    <w:p>
      <w:pPr>
        <w:numPr>
          <w:ilvl w:val="0"/>
          <w:numId w:val="0"/>
        </w:numPr>
        <w:spacing w:line="480" w:lineRule="auto"/>
        <w:jc w:val="left"/>
        <w:rPr>
          <w:rFonts w:hint="default" w:ascii="Times New Roman" w:hAnsi="Times New Roman" w:cs="Times New Roman"/>
          <w:sz w:val="24"/>
          <w:szCs w:val="24"/>
          <w:lang w:val="en-US" w:eastAsia="zh-CN"/>
        </w:rPr>
      </w:pPr>
    </w:p>
    <w:p>
      <w:pPr>
        <w:numPr>
          <w:ilvl w:val="0"/>
          <w:numId w:val="0"/>
        </w:numPr>
        <w:spacing w:line="240" w:lineRule="auto"/>
        <w:jc w:val="center"/>
        <w:rPr>
          <w:rFonts w:hint="default" w:ascii="Times New Roman" w:hAnsi="Times New Roman" w:cs="Times New Roman"/>
          <w:sz w:val="24"/>
          <w:szCs w:val="24"/>
          <w:lang w:val="en-US" w:eastAsia="zh-CN"/>
        </w:rPr>
      </w:pPr>
      <w:r>
        <w:rPr>
          <w:rFonts w:hint="default" w:ascii="Times New Roman" w:hAnsi="Times New Roman" w:cs="Times New Roman"/>
          <w:b/>
          <w:bCs/>
          <w:sz w:val="24"/>
          <w:szCs w:val="24"/>
          <w:lang w:val="en-US" w:eastAsia="zh-CN"/>
        </w:rPr>
        <w:t>Table 5</w:t>
      </w:r>
      <w:r>
        <w:rPr>
          <w:rFonts w:hint="default" w:ascii="Times New Roman" w:hAnsi="Times New Roman" w:cs="Times New Roman"/>
          <w:sz w:val="24"/>
          <w:szCs w:val="24"/>
          <w:lang w:val="en-US" w:eastAsia="zh-CN"/>
        </w:rPr>
        <w:t>. Subgroup and interaction analyses of air pollutant exposure and risk of cardiac events</w:t>
      </w:r>
    </w:p>
    <w:tbl>
      <w:tblPr>
        <w:tblStyle w:val="4"/>
        <w:tblW w:w="4998" w:type="pct"/>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316"/>
        <w:gridCol w:w="1945"/>
        <w:gridCol w:w="2165"/>
        <w:gridCol w:w="2093"/>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1359" w:type="pct"/>
            <w:tcBorders>
              <w:bottom w:val="single" w:color="auto" w:sz="6" w:space="0"/>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b/>
                <w:bCs/>
                <w:i w:val="0"/>
                <w:iCs w:val="0"/>
                <w:color w:val="4472C4" w:themeColor="accent5"/>
                <w:kern w:val="0"/>
                <w:sz w:val="18"/>
                <w:szCs w:val="18"/>
                <w:u w:val="none"/>
                <w:lang w:val="en-US" w:eastAsia="zh-CN" w:bidi="ar"/>
                <w14:textFill>
                  <w14:solidFill>
                    <w14:schemeClr w14:val="accent5"/>
                  </w14:solidFill>
                </w14:textFill>
              </w:rPr>
              <w:t>Subgroup</w:t>
            </w:r>
          </w:p>
        </w:tc>
        <w:tc>
          <w:tcPr>
            <w:tcW w:w="1141" w:type="pct"/>
            <w:tcBorders>
              <w:bottom w:val="single" w:color="auto" w:sz="6" w:space="0"/>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b/>
                <w:bCs/>
                <w:i w:val="0"/>
                <w:iCs w:val="0"/>
                <w:color w:val="4472C4" w:themeColor="accent5"/>
                <w:kern w:val="0"/>
                <w:sz w:val="18"/>
                <w:szCs w:val="18"/>
                <w:u w:val="none"/>
                <w:lang w:val="en-US" w:eastAsia="zh-CN" w:bidi="ar"/>
                <w14:textFill>
                  <w14:solidFill>
                    <w14:schemeClr w14:val="accent5"/>
                  </w14:solidFill>
                </w14:textFill>
              </w:rPr>
              <w:t xml:space="preserve">PM₁ </w:t>
            </w:r>
            <w:r>
              <w:rPr>
                <w:rFonts w:hint="default" w:ascii="Times New Roman" w:hAnsi="Times New Roman" w:eastAsia="等线" w:cs="Times New Roman"/>
                <w:b/>
                <w:bCs/>
                <w:i/>
                <w:iCs/>
                <w:color w:val="4472C4" w:themeColor="accent5"/>
                <w:kern w:val="0"/>
                <w:sz w:val="18"/>
                <w:szCs w:val="18"/>
                <w:u w:val="none"/>
                <w:lang w:val="en-US" w:eastAsia="zh-CN" w:bidi="ar"/>
                <w14:textFill>
                  <w14:solidFill>
                    <w14:schemeClr w14:val="accent5"/>
                  </w14:solidFill>
                </w14:textFill>
              </w:rPr>
              <w:t xml:space="preserve">HR </w:t>
            </w:r>
            <w:r>
              <w:rPr>
                <w:rFonts w:hint="default" w:ascii="Times New Roman" w:hAnsi="Times New Roman" w:eastAsia="等线" w:cs="Times New Roman"/>
                <w:b/>
                <w:bCs/>
                <w:i w:val="0"/>
                <w:iCs w:val="0"/>
                <w:color w:val="4472C4" w:themeColor="accent5"/>
                <w:kern w:val="0"/>
                <w:sz w:val="18"/>
                <w:szCs w:val="18"/>
                <w:u w:val="none"/>
                <w:lang w:val="en-US" w:eastAsia="zh-CN" w:bidi="ar"/>
                <w14:textFill>
                  <w14:solidFill>
                    <w14:schemeClr w14:val="accent5"/>
                  </w14:solidFill>
                </w14:textFill>
              </w:rPr>
              <w:t xml:space="preserve">(95% </w:t>
            </w:r>
            <w:r>
              <w:rPr>
                <w:rFonts w:hint="default" w:ascii="Times New Roman" w:hAnsi="Times New Roman" w:eastAsia="等线" w:cs="Times New Roman"/>
                <w:b/>
                <w:bCs/>
                <w:i/>
                <w:iCs/>
                <w:color w:val="4472C4" w:themeColor="accent5"/>
                <w:kern w:val="0"/>
                <w:sz w:val="18"/>
                <w:szCs w:val="18"/>
                <w:u w:val="none"/>
                <w:lang w:val="en-US" w:eastAsia="zh-CN" w:bidi="ar"/>
                <w14:textFill>
                  <w14:solidFill>
                    <w14:schemeClr w14:val="accent5"/>
                  </w14:solidFill>
                </w14:textFill>
              </w:rPr>
              <w:t>CI</w:t>
            </w:r>
            <w:r>
              <w:rPr>
                <w:rFonts w:hint="default" w:ascii="Times New Roman" w:hAnsi="Times New Roman" w:eastAsia="等线" w:cs="Times New Roman"/>
                <w:b/>
                <w:bCs/>
                <w:i w:val="0"/>
                <w:iCs w:val="0"/>
                <w:color w:val="4472C4" w:themeColor="accent5"/>
                <w:kern w:val="0"/>
                <w:sz w:val="18"/>
                <w:szCs w:val="18"/>
                <w:u w:val="none"/>
                <w:lang w:val="en-US" w:eastAsia="zh-CN" w:bidi="ar"/>
                <w14:textFill>
                  <w14:solidFill>
                    <w14:schemeClr w14:val="accent5"/>
                  </w14:solidFill>
                </w14:textFill>
              </w:rPr>
              <w:t>)</w:t>
            </w:r>
          </w:p>
        </w:tc>
        <w:tc>
          <w:tcPr>
            <w:tcW w:w="1270" w:type="pct"/>
            <w:tcBorders>
              <w:bottom w:val="single" w:color="auto" w:sz="6" w:space="0"/>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b/>
                <w:bCs/>
                <w:i w:val="0"/>
                <w:iCs w:val="0"/>
                <w:color w:val="4472C4" w:themeColor="accent5"/>
                <w:kern w:val="0"/>
                <w:sz w:val="18"/>
                <w:szCs w:val="18"/>
                <w:u w:val="none"/>
                <w:lang w:val="en-US" w:eastAsia="zh-CN" w:bidi="ar"/>
                <w14:textFill>
                  <w14:solidFill>
                    <w14:schemeClr w14:val="accent5"/>
                  </w14:solidFill>
                </w14:textFill>
              </w:rPr>
              <w:t xml:space="preserve">PM₂.₅ </w:t>
            </w:r>
            <w:r>
              <w:rPr>
                <w:rFonts w:hint="default" w:ascii="Times New Roman" w:hAnsi="Times New Roman" w:eastAsia="等线" w:cs="Times New Roman"/>
                <w:b/>
                <w:bCs/>
                <w:i/>
                <w:iCs/>
                <w:color w:val="4472C4" w:themeColor="accent5"/>
                <w:kern w:val="0"/>
                <w:sz w:val="18"/>
                <w:szCs w:val="18"/>
                <w:u w:val="none"/>
                <w:lang w:val="en-US" w:eastAsia="zh-CN" w:bidi="ar"/>
                <w14:textFill>
                  <w14:solidFill>
                    <w14:schemeClr w14:val="accent5"/>
                  </w14:solidFill>
                </w14:textFill>
              </w:rPr>
              <w:t>HR</w:t>
            </w:r>
            <w:r>
              <w:rPr>
                <w:rFonts w:hint="default" w:ascii="Times New Roman" w:hAnsi="Times New Roman" w:eastAsia="等线" w:cs="Times New Roman"/>
                <w:b/>
                <w:bCs/>
                <w:i w:val="0"/>
                <w:iCs w:val="0"/>
                <w:color w:val="4472C4" w:themeColor="accent5"/>
                <w:kern w:val="0"/>
                <w:sz w:val="18"/>
                <w:szCs w:val="18"/>
                <w:u w:val="none"/>
                <w:lang w:val="en-US" w:eastAsia="zh-CN" w:bidi="ar"/>
                <w14:textFill>
                  <w14:solidFill>
                    <w14:schemeClr w14:val="accent5"/>
                  </w14:solidFill>
                </w14:textFill>
              </w:rPr>
              <w:t xml:space="preserve"> (95% </w:t>
            </w:r>
            <w:r>
              <w:rPr>
                <w:rFonts w:hint="default" w:ascii="Times New Roman" w:hAnsi="Times New Roman" w:eastAsia="等线" w:cs="Times New Roman"/>
                <w:b/>
                <w:bCs/>
                <w:i/>
                <w:iCs/>
                <w:color w:val="4472C4" w:themeColor="accent5"/>
                <w:kern w:val="0"/>
                <w:sz w:val="18"/>
                <w:szCs w:val="18"/>
                <w:u w:val="none"/>
                <w:lang w:val="en-US" w:eastAsia="zh-CN" w:bidi="ar"/>
                <w14:textFill>
                  <w14:solidFill>
                    <w14:schemeClr w14:val="accent5"/>
                  </w14:solidFill>
                </w14:textFill>
              </w:rPr>
              <w:t>CI</w:t>
            </w:r>
            <w:r>
              <w:rPr>
                <w:rFonts w:hint="default" w:ascii="Times New Roman" w:hAnsi="Times New Roman" w:eastAsia="等线" w:cs="Times New Roman"/>
                <w:b/>
                <w:bCs/>
                <w:i w:val="0"/>
                <w:iCs w:val="0"/>
                <w:color w:val="4472C4" w:themeColor="accent5"/>
                <w:kern w:val="0"/>
                <w:sz w:val="18"/>
                <w:szCs w:val="18"/>
                <w:u w:val="none"/>
                <w:lang w:val="en-US" w:eastAsia="zh-CN" w:bidi="ar"/>
                <w14:textFill>
                  <w14:solidFill>
                    <w14:schemeClr w14:val="accent5"/>
                  </w14:solidFill>
                </w14:textFill>
              </w:rPr>
              <w:t>)</w:t>
            </w:r>
          </w:p>
        </w:tc>
        <w:tc>
          <w:tcPr>
            <w:tcW w:w="1228" w:type="pct"/>
            <w:tcBorders>
              <w:bottom w:val="single" w:color="auto" w:sz="6" w:space="0"/>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b/>
                <w:bCs/>
                <w:i w:val="0"/>
                <w:iCs w:val="0"/>
                <w:color w:val="4472C4" w:themeColor="accent5"/>
                <w:kern w:val="0"/>
                <w:sz w:val="18"/>
                <w:szCs w:val="18"/>
                <w:u w:val="none"/>
                <w:lang w:val="en-US" w:eastAsia="zh-CN" w:bidi="ar"/>
                <w14:textFill>
                  <w14:solidFill>
                    <w14:schemeClr w14:val="accent5"/>
                  </w14:solidFill>
                </w14:textFill>
              </w:rPr>
              <w:t xml:space="preserve">PM₁₀ </w:t>
            </w:r>
            <w:r>
              <w:rPr>
                <w:rFonts w:hint="default" w:ascii="Times New Roman" w:hAnsi="Times New Roman" w:eastAsia="等线" w:cs="Times New Roman"/>
                <w:b/>
                <w:bCs/>
                <w:i/>
                <w:iCs/>
                <w:color w:val="4472C4" w:themeColor="accent5"/>
                <w:kern w:val="0"/>
                <w:sz w:val="18"/>
                <w:szCs w:val="18"/>
                <w:u w:val="none"/>
                <w:lang w:val="en-US" w:eastAsia="zh-CN" w:bidi="ar"/>
                <w14:textFill>
                  <w14:solidFill>
                    <w14:schemeClr w14:val="accent5"/>
                  </w14:solidFill>
                </w14:textFill>
              </w:rPr>
              <w:t>HR</w:t>
            </w:r>
            <w:r>
              <w:rPr>
                <w:rFonts w:hint="default" w:ascii="Times New Roman" w:hAnsi="Times New Roman" w:eastAsia="等线" w:cs="Times New Roman"/>
                <w:b/>
                <w:bCs/>
                <w:i w:val="0"/>
                <w:iCs w:val="0"/>
                <w:color w:val="4472C4" w:themeColor="accent5"/>
                <w:kern w:val="0"/>
                <w:sz w:val="18"/>
                <w:szCs w:val="18"/>
                <w:u w:val="none"/>
                <w:lang w:val="en-US" w:eastAsia="zh-CN" w:bidi="ar"/>
                <w14:textFill>
                  <w14:solidFill>
                    <w14:schemeClr w14:val="accent5"/>
                  </w14:solidFill>
                </w14:textFill>
              </w:rPr>
              <w:t xml:space="preserve"> (95% </w:t>
            </w:r>
            <w:r>
              <w:rPr>
                <w:rFonts w:hint="default" w:ascii="Times New Roman" w:hAnsi="Times New Roman" w:eastAsia="等线" w:cs="Times New Roman"/>
                <w:b/>
                <w:bCs/>
                <w:i/>
                <w:iCs/>
                <w:color w:val="4472C4" w:themeColor="accent5"/>
                <w:kern w:val="0"/>
                <w:sz w:val="18"/>
                <w:szCs w:val="18"/>
                <w:u w:val="none"/>
                <w:lang w:val="en-US" w:eastAsia="zh-CN" w:bidi="ar"/>
                <w14:textFill>
                  <w14:solidFill>
                    <w14:schemeClr w14:val="accent5"/>
                  </w14:solidFill>
                </w14:textFill>
              </w:rPr>
              <w:t>CI</w:t>
            </w:r>
            <w:r>
              <w:rPr>
                <w:rFonts w:hint="default" w:ascii="Times New Roman" w:hAnsi="Times New Roman" w:eastAsia="等线" w:cs="Times New Roman"/>
                <w:b/>
                <w:bCs/>
                <w:i w:val="0"/>
                <w:iCs w:val="0"/>
                <w:color w:val="4472C4" w:themeColor="accent5"/>
                <w:kern w:val="0"/>
                <w:sz w:val="18"/>
                <w:szCs w:val="18"/>
                <w:u w:val="none"/>
                <w:lang w:val="en-US" w:eastAsia="zh-CN" w:bidi="ar"/>
                <w14:textFill>
                  <w14:solidFill>
                    <w14:schemeClr w14:val="accent5"/>
                  </w14:solidFill>
                </w14:textFill>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8" w:hRule="atLeast"/>
        </w:trPr>
        <w:tc>
          <w:tcPr>
            <w:tcW w:w="1359" w:type="pct"/>
            <w:tcBorders>
              <w:top w:val="single" w:color="auto" w:sz="6" w:space="0"/>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b/>
                <w:bCs/>
                <w:i w:val="0"/>
                <w:iCs w:val="0"/>
                <w:color w:val="4472C4" w:themeColor="accent5"/>
                <w:kern w:val="0"/>
                <w:sz w:val="18"/>
                <w:szCs w:val="18"/>
                <w:u w:val="none"/>
                <w:lang w:val="en-US" w:eastAsia="zh-CN" w:bidi="ar"/>
                <w14:textFill>
                  <w14:solidFill>
                    <w14:schemeClr w14:val="accent5"/>
                  </w14:solidFill>
                </w14:textFill>
              </w:rPr>
              <w:t>Gender</w:t>
            </w:r>
          </w:p>
        </w:tc>
        <w:tc>
          <w:tcPr>
            <w:tcW w:w="1141" w:type="pct"/>
            <w:tcBorders>
              <w:top w:val="single" w:color="auto" w:sz="6" w:space="0"/>
              <w:tl2br w:val="nil"/>
              <w:tr2bl w:val="nil"/>
            </w:tcBorders>
            <w:shd w:val="clear" w:color="auto" w:fill="auto"/>
            <w:vAlign w:val="center"/>
          </w:tcPr>
          <w:p>
            <w:pPr>
              <w:jc w:val="center"/>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p>
        </w:tc>
        <w:tc>
          <w:tcPr>
            <w:tcW w:w="1270" w:type="pct"/>
            <w:tcBorders>
              <w:top w:val="single" w:color="auto" w:sz="6" w:space="0"/>
              <w:tl2br w:val="nil"/>
              <w:tr2bl w:val="nil"/>
            </w:tcBorders>
            <w:shd w:val="clear" w:color="auto" w:fill="auto"/>
            <w:vAlign w:val="center"/>
          </w:tcPr>
          <w:p>
            <w:pPr>
              <w:jc w:val="center"/>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p>
        </w:tc>
        <w:tc>
          <w:tcPr>
            <w:tcW w:w="1228" w:type="pct"/>
            <w:tcBorders>
              <w:top w:val="single" w:color="auto" w:sz="6" w:space="0"/>
              <w:tl2br w:val="nil"/>
              <w:tr2bl w:val="nil"/>
            </w:tcBorders>
            <w:shd w:val="clear" w:color="auto" w:fill="auto"/>
            <w:vAlign w:val="center"/>
          </w:tcPr>
          <w:p>
            <w:pPr>
              <w:jc w:val="center"/>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1359"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i w:val="0"/>
                <w:iCs w:val="0"/>
                <w:color w:val="4472C4" w:themeColor="accent5"/>
                <w:kern w:val="0"/>
                <w:sz w:val="18"/>
                <w:szCs w:val="18"/>
                <w:u w:val="none"/>
                <w:lang w:val="en-US" w:eastAsia="zh-CN" w:bidi="ar"/>
                <w14:textFill>
                  <w14:solidFill>
                    <w14:schemeClr w14:val="accent5"/>
                  </w14:solidFill>
                </w14:textFill>
              </w:rPr>
              <w:t>Male</w:t>
            </w:r>
          </w:p>
        </w:tc>
        <w:tc>
          <w:tcPr>
            <w:tcW w:w="1141"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i w:val="0"/>
                <w:iCs w:val="0"/>
                <w:color w:val="4472C4" w:themeColor="accent5"/>
                <w:kern w:val="0"/>
                <w:sz w:val="18"/>
                <w:szCs w:val="18"/>
                <w:u w:val="none"/>
                <w:lang w:val="en-US" w:eastAsia="zh-CN" w:bidi="ar"/>
                <w14:textFill>
                  <w14:solidFill>
                    <w14:schemeClr w14:val="accent5"/>
                  </w14:solidFill>
                </w14:textFill>
              </w:rPr>
              <w:t>1.084 (0.998, 1.179)</w:t>
            </w:r>
          </w:p>
        </w:tc>
        <w:tc>
          <w:tcPr>
            <w:tcW w:w="127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i w:val="0"/>
                <w:iCs w:val="0"/>
                <w:color w:val="4472C4" w:themeColor="accent5"/>
                <w:kern w:val="0"/>
                <w:sz w:val="18"/>
                <w:szCs w:val="18"/>
                <w:u w:val="none"/>
                <w:lang w:val="en-US" w:eastAsia="zh-CN" w:bidi="ar"/>
                <w14:textFill>
                  <w14:solidFill>
                    <w14:schemeClr w14:val="accent5"/>
                  </w14:solidFill>
                </w14:textFill>
              </w:rPr>
              <w:t>1.118 (1.028, 1.216)</w:t>
            </w:r>
          </w:p>
        </w:tc>
        <w:tc>
          <w:tcPr>
            <w:tcW w:w="1228"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i w:val="0"/>
                <w:iCs w:val="0"/>
                <w:color w:val="4472C4" w:themeColor="accent5"/>
                <w:kern w:val="0"/>
                <w:sz w:val="18"/>
                <w:szCs w:val="18"/>
                <w:u w:val="none"/>
                <w:lang w:val="en-US" w:eastAsia="zh-CN" w:bidi="ar"/>
                <w14:textFill>
                  <w14:solidFill>
                    <w14:schemeClr w14:val="accent5"/>
                  </w14:solidFill>
                </w14:textFill>
              </w:rPr>
              <w:t>1.180 (1.090, 1.278)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1359"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i w:val="0"/>
                <w:iCs w:val="0"/>
                <w:color w:val="4472C4" w:themeColor="accent5"/>
                <w:kern w:val="0"/>
                <w:sz w:val="18"/>
                <w:szCs w:val="18"/>
                <w:u w:val="none"/>
                <w:lang w:val="en-US" w:eastAsia="zh-CN" w:bidi="ar"/>
                <w14:textFill>
                  <w14:solidFill>
                    <w14:schemeClr w14:val="accent5"/>
                  </w14:solidFill>
                </w14:textFill>
              </w:rPr>
              <w:t>Female</w:t>
            </w:r>
          </w:p>
        </w:tc>
        <w:tc>
          <w:tcPr>
            <w:tcW w:w="1141"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i w:val="0"/>
                <w:iCs w:val="0"/>
                <w:color w:val="4472C4" w:themeColor="accent5"/>
                <w:kern w:val="0"/>
                <w:sz w:val="18"/>
                <w:szCs w:val="18"/>
                <w:u w:val="none"/>
                <w:lang w:val="en-US" w:eastAsia="zh-CN" w:bidi="ar"/>
                <w14:textFill>
                  <w14:solidFill>
                    <w14:schemeClr w14:val="accent5"/>
                  </w14:solidFill>
                </w14:textFill>
              </w:rPr>
              <w:t>1.126 (1.051, 1.206)</w:t>
            </w:r>
          </w:p>
        </w:tc>
        <w:tc>
          <w:tcPr>
            <w:tcW w:w="127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i w:val="0"/>
                <w:iCs w:val="0"/>
                <w:color w:val="4472C4" w:themeColor="accent5"/>
                <w:kern w:val="0"/>
                <w:sz w:val="18"/>
                <w:szCs w:val="18"/>
                <w:u w:val="none"/>
                <w:lang w:val="en-US" w:eastAsia="zh-CN" w:bidi="ar"/>
                <w14:textFill>
                  <w14:solidFill>
                    <w14:schemeClr w14:val="accent5"/>
                  </w14:solidFill>
                </w14:textFill>
              </w:rPr>
              <w:t>1.174 (1.096, 1.258)</w:t>
            </w:r>
          </w:p>
        </w:tc>
        <w:tc>
          <w:tcPr>
            <w:tcW w:w="1228"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i w:val="0"/>
                <w:iCs w:val="0"/>
                <w:color w:val="4472C4" w:themeColor="accent5"/>
                <w:kern w:val="0"/>
                <w:sz w:val="18"/>
                <w:szCs w:val="18"/>
                <w:u w:val="none"/>
                <w:lang w:val="en-US" w:eastAsia="zh-CN" w:bidi="ar"/>
                <w14:textFill>
                  <w14:solidFill>
                    <w14:schemeClr w14:val="accent5"/>
                  </w14:solidFill>
                </w14:textFill>
              </w:rPr>
              <w:t>1.249 (1.173, 1.329)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1359"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iCs/>
                <w:color w:val="4472C4" w:themeColor="accent5"/>
                <w:sz w:val="18"/>
                <w:szCs w:val="18"/>
                <w:u w:val="none"/>
                <w14:textFill>
                  <w14:solidFill>
                    <w14:schemeClr w14:val="accent5"/>
                  </w14:solidFill>
                </w14:textFill>
              </w:rPr>
            </w:pPr>
            <w:r>
              <w:rPr>
                <w:rFonts w:hint="default" w:ascii="Times New Roman" w:hAnsi="Times New Roman" w:eastAsia="等线" w:cs="Times New Roman"/>
                <w:i/>
                <w:iCs/>
                <w:color w:val="4472C4" w:themeColor="accent5"/>
                <w:kern w:val="0"/>
                <w:sz w:val="18"/>
                <w:szCs w:val="18"/>
                <w:u w:val="none"/>
                <w:lang w:val="en-US" w:eastAsia="zh-CN" w:bidi="ar"/>
                <w14:textFill>
                  <w14:solidFill>
                    <w14:schemeClr w14:val="accent5"/>
                  </w14:solidFill>
                </w14:textFill>
              </w:rPr>
              <w:t>P for interaction</w:t>
            </w:r>
          </w:p>
        </w:tc>
        <w:tc>
          <w:tcPr>
            <w:tcW w:w="1141"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i w:val="0"/>
                <w:iCs w:val="0"/>
                <w:color w:val="4472C4" w:themeColor="accent5"/>
                <w:kern w:val="0"/>
                <w:sz w:val="18"/>
                <w:szCs w:val="18"/>
                <w:u w:val="none"/>
                <w:lang w:val="en-US" w:eastAsia="zh-CN" w:bidi="ar"/>
                <w14:textFill>
                  <w14:solidFill>
                    <w14:schemeClr w14:val="accent5"/>
                  </w14:solidFill>
                </w14:textFill>
              </w:rPr>
              <w:t>0.495</w:t>
            </w:r>
          </w:p>
        </w:tc>
        <w:tc>
          <w:tcPr>
            <w:tcW w:w="127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i w:val="0"/>
                <w:iCs w:val="0"/>
                <w:color w:val="4472C4" w:themeColor="accent5"/>
                <w:kern w:val="0"/>
                <w:sz w:val="18"/>
                <w:szCs w:val="18"/>
                <w:u w:val="none"/>
                <w:lang w:val="en-US" w:eastAsia="zh-CN" w:bidi="ar"/>
                <w14:textFill>
                  <w14:solidFill>
                    <w14:schemeClr w14:val="accent5"/>
                  </w14:solidFill>
                </w14:textFill>
              </w:rPr>
              <w:t>0.376</w:t>
            </w:r>
          </w:p>
        </w:tc>
        <w:tc>
          <w:tcPr>
            <w:tcW w:w="1228"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i w:val="0"/>
                <w:iCs w:val="0"/>
                <w:color w:val="4472C4" w:themeColor="accent5"/>
                <w:kern w:val="0"/>
                <w:sz w:val="18"/>
                <w:szCs w:val="18"/>
                <w:u w:val="none"/>
                <w:lang w:val="en-US" w:eastAsia="zh-CN" w:bidi="ar"/>
                <w14:textFill>
                  <w14:solidFill>
                    <w14:schemeClr w14:val="accent5"/>
                  </w14:solidFill>
                </w14:textFill>
              </w:rPr>
              <w:t>0.270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8" w:hRule="atLeast"/>
        </w:trPr>
        <w:tc>
          <w:tcPr>
            <w:tcW w:w="1359"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b/>
                <w:bCs/>
                <w:i w:val="0"/>
                <w:iCs w:val="0"/>
                <w:color w:val="4472C4" w:themeColor="accent5"/>
                <w:kern w:val="0"/>
                <w:sz w:val="18"/>
                <w:szCs w:val="18"/>
                <w:u w:val="none"/>
                <w:lang w:val="en-US" w:eastAsia="zh-CN" w:bidi="ar"/>
                <w14:textFill>
                  <w14:solidFill>
                    <w14:schemeClr w14:val="accent5"/>
                  </w14:solidFill>
                </w14:textFill>
              </w:rPr>
              <w:t>Age</w:t>
            </w:r>
          </w:p>
        </w:tc>
        <w:tc>
          <w:tcPr>
            <w:tcW w:w="1141"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p>
        </w:tc>
        <w:tc>
          <w:tcPr>
            <w:tcW w:w="1270"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p>
        </w:tc>
        <w:tc>
          <w:tcPr>
            <w:tcW w:w="1228"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1359"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i w:val="0"/>
                <w:iCs w:val="0"/>
                <w:color w:val="4472C4" w:themeColor="accent5"/>
                <w:kern w:val="0"/>
                <w:sz w:val="18"/>
                <w:szCs w:val="18"/>
                <w:u w:val="none"/>
                <w:lang w:val="en-US" w:eastAsia="zh-CN" w:bidi="ar"/>
                <w14:textFill>
                  <w14:solidFill>
                    <w14:schemeClr w14:val="accent5"/>
                  </w14:solidFill>
                </w14:textFill>
              </w:rPr>
              <w:t>&lt;65</w:t>
            </w:r>
          </w:p>
        </w:tc>
        <w:tc>
          <w:tcPr>
            <w:tcW w:w="1141"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i w:val="0"/>
                <w:iCs w:val="0"/>
                <w:color w:val="4472C4" w:themeColor="accent5"/>
                <w:kern w:val="0"/>
                <w:sz w:val="18"/>
                <w:szCs w:val="18"/>
                <w:u w:val="none"/>
                <w:lang w:val="en-US" w:eastAsia="zh-CN" w:bidi="ar"/>
                <w14:textFill>
                  <w14:solidFill>
                    <w14:schemeClr w14:val="accent5"/>
                  </w14:solidFill>
                </w14:textFill>
              </w:rPr>
              <w:t>1.101 (1.014, 1.194)</w:t>
            </w:r>
          </w:p>
        </w:tc>
        <w:tc>
          <w:tcPr>
            <w:tcW w:w="127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i w:val="0"/>
                <w:iCs w:val="0"/>
                <w:color w:val="4472C4" w:themeColor="accent5"/>
                <w:kern w:val="0"/>
                <w:sz w:val="18"/>
                <w:szCs w:val="18"/>
                <w:u w:val="none"/>
                <w:lang w:val="en-US" w:eastAsia="zh-CN" w:bidi="ar"/>
                <w14:textFill>
                  <w14:solidFill>
                    <w14:schemeClr w14:val="accent5"/>
                  </w14:solidFill>
                </w14:textFill>
              </w:rPr>
              <w:t>1.154 (1.062, 1.253)</w:t>
            </w:r>
          </w:p>
        </w:tc>
        <w:tc>
          <w:tcPr>
            <w:tcW w:w="1228"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i w:val="0"/>
                <w:iCs w:val="0"/>
                <w:color w:val="4472C4" w:themeColor="accent5"/>
                <w:kern w:val="0"/>
                <w:sz w:val="18"/>
                <w:szCs w:val="18"/>
                <w:u w:val="none"/>
                <w:lang w:val="en-US" w:eastAsia="zh-CN" w:bidi="ar"/>
                <w14:textFill>
                  <w14:solidFill>
                    <w14:schemeClr w14:val="accent5"/>
                  </w14:solidFill>
                </w14:textFill>
              </w:rPr>
              <w:t>1.265 (1.171, 1.365)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1359"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i w:val="0"/>
                <w:iCs w:val="0"/>
                <w:color w:val="4472C4" w:themeColor="accent5"/>
                <w:kern w:val="0"/>
                <w:sz w:val="18"/>
                <w:szCs w:val="18"/>
                <w:u w:val="none"/>
                <w:lang w:val="en-US" w:eastAsia="zh-CN" w:bidi="ar"/>
                <w14:textFill>
                  <w14:solidFill>
                    <w14:schemeClr w14:val="accent5"/>
                  </w14:solidFill>
                </w14:textFill>
              </w:rPr>
              <w:t>≥65</w:t>
            </w:r>
          </w:p>
        </w:tc>
        <w:tc>
          <w:tcPr>
            <w:tcW w:w="1141"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i w:val="0"/>
                <w:iCs w:val="0"/>
                <w:color w:val="4472C4" w:themeColor="accent5"/>
                <w:kern w:val="0"/>
                <w:sz w:val="18"/>
                <w:szCs w:val="18"/>
                <w:u w:val="none"/>
                <w:lang w:val="en-US" w:eastAsia="zh-CN" w:bidi="ar"/>
                <w14:textFill>
                  <w14:solidFill>
                    <w14:schemeClr w14:val="accent5"/>
                  </w14:solidFill>
                </w14:textFill>
              </w:rPr>
              <w:t>1.104 (1.029, 1.184)</w:t>
            </w:r>
          </w:p>
        </w:tc>
        <w:tc>
          <w:tcPr>
            <w:tcW w:w="127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i w:val="0"/>
                <w:iCs w:val="0"/>
                <w:color w:val="4472C4" w:themeColor="accent5"/>
                <w:kern w:val="0"/>
                <w:sz w:val="18"/>
                <w:szCs w:val="18"/>
                <w:u w:val="none"/>
                <w:lang w:val="en-US" w:eastAsia="zh-CN" w:bidi="ar"/>
                <w14:textFill>
                  <w14:solidFill>
                    <w14:schemeClr w14:val="accent5"/>
                  </w14:solidFill>
                </w14:textFill>
              </w:rPr>
              <w:t>1.138 (1.061, 1.220)</w:t>
            </w:r>
          </w:p>
        </w:tc>
        <w:tc>
          <w:tcPr>
            <w:tcW w:w="1228"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i w:val="0"/>
                <w:iCs w:val="0"/>
                <w:color w:val="4472C4" w:themeColor="accent5"/>
                <w:kern w:val="0"/>
                <w:sz w:val="18"/>
                <w:szCs w:val="18"/>
                <w:u w:val="none"/>
                <w:lang w:val="en-US" w:eastAsia="zh-CN" w:bidi="ar"/>
                <w14:textFill>
                  <w14:solidFill>
                    <w14:schemeClr w14:val="accent5"/>
                  </w14:solidFill>
                </w14:textFill>
              </w:rPr>
              <w:t>1.182 (1.108, 1.261)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1359"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iCs/>
                <w:color w:val="4472C4" w:themeColor="accent5"/>
                <w:sz w:val="18"/>
                <w:szCs w:val="18"/>
                <w:u w:val="none"/>
                <w14:textFill>
                  <w14:solidFill>
                    <w14:schemeClr w14:val="accent5"/>
                  </w14:solidFill>
                </w14:textFill>
              </w:rPr>
            </w:pPr>
            <w:r>
              <w:rPr>
                <w:rFonts w:hint="default" w:ascii="Times New Roman" w:hAnsi="Times New Roman" w:eastAsia="等线" w:cs="Times New Roman"/>
                <w:i/>
                <w:iCs/>
                <w:color w:val="4472C4" w:themeColor="accent5"/>
                <w:kern w:val="0"/>
                <w:sz w:val="18"/>
                <w:szCs w:val="18"/>
                <w:u w:val="none"/>
                <w:lang w:val="en-US" w:eastAsia="zh-CN" w:bidi="ar"/>
                <w14:textFill>
                  <w14:solidFill>
                    <w14:schemeClr w14:val="accent5"/>
                  </w14:solidFill>
                </w14:textFill>
              </w:rPr>
              <w:t>P for interaction</w:t>
            </w:r>
          </w:p>
        </w:tc>
        <w:tc>
          <w:tcPr>
            <w:tcW w:w="1141"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i w:val="0"/>
                <w:iCs w:val="0"/>
                <w:color w:val="4472C4" w:themeColor="accent5"/>
                <w:kern w:val="0"/>
                <w:sz w:val="18"/>
                <w:szCs w:val="18"/>
                <w:u w:val="none"/>
                <w:lang w:val="en-US" w:eastAsia="zh-CN" w:bidi="ar"/>
                <w14:textFill>
                  <w14:solidFill>
                    <w14:schemeClr w14:val="accent5"/>
                  </w14:solidFill>
                </w14:textFill>
              </w:rPr>
              <w:t>0.961</w:t>
            </w:r>
          </w:p>
        </w:tc>
        <w:tc>
          <w:tcPr>
            <w:tcW w:w="127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i w:val="0"/>
                <w:iCs w:val="0"/>
                <w:color w:val="4472C4" w:themeColor="accent5"/>
                <w:kern w:val="0"/>
                <w:sz w:val="18"/>
                <w:szCs w:val="18"/>
                <w:u w:val="none"/>
                <w:lang w:val="en-US" w:eastAsia="zh-CN" w:bidi="ar"/>
                <w14:textFill>
                  <w14:solidFill>
                    <w14:schemeClr w14:val="accent5"/>
                  </w14:solidFill>
                </w14:textFill>
              </w:rPr>
              <w:t>0.795</w:t>
            </w:r>
          </w:p>
        </w:tc>
        <w:tc>
          <w:tcPr>
            <w:tcW w:w="1228"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i w:val="0"/>
                <w:iCs w:val="0"/>
                <w:color w:val="4472C4" w:themeColor="accent5"/>
                <w:kern w:val="0"/>
                <w:sz w:val="18"/>
                <w:szCs w:val="18"/>
                <w:u w:val="none"/>
                <w:lang w:val="en-US" w:eastAsia="zh-CN" w:bidi="ar"/>
                <w14:textFill>
                  <w14:solidFill>
                    <w14:schemeClr w14:val="accent5"/>
                  </w14:solidFill>
                </w14:textFill>
              </w:rPr>
              <w:t>0.185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8" w:hRule="atLeast"/>
        </w:trPr>
        <w:tc>
          <w:tcPr>
            <w:tcW w:w="1359"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b/>
                <w:bCs/>
                <w:i w:val="0"/>
                <w:iCs w:val="0"/>
                <w:color w:val="4472C4" w:themeColor="accent5"/>
                <w:kern w:val="0"/>
                <w:sz w:val="18"/>
                <w:szCs w:val="18"/>
                <w:u w:val="none"/>
                <w:lang w:val="en-US" w:eastAsia="zh-CN" w:bidi="ar"/>
                <w14:textFill>
                  <w14:solidFill>
                    <w14:schemeClr w14:val="accent5"/>
                  </w14:solidFill>
                </w14:textFill>
              </w:rPr>
              <w:t>Location</w:t>
            </w:r>
          </w:p>
        </w:tc>
        <w:tc>
          <w:tcPr>
            <w:tcW w:w="1141"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p>
        </w:tc>
        <w:tc>
          <w:tcPr>
            <w:tcW w:w="1270"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p>
        </w:tc>
        <w:tc>
          <w:tcPr>
            <w:tcW w:w="1228"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1359"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i w:val="0"/>
                <w:iCs w:val="0"/>
                <w:color w:val="4472C4" w:themeColor="accent5"/>
                <w:kern w:val="0"/>
                <w:sz w:val="18"/>
                <w:szCs w:val="18"/>
                <w:u w:val="none"/>
                <w:lang w:val="en-US" w:eastAsia="zh-CN" w:bidi="ar"/>
                <w14:textFill>
                  <w14:solidFill>
                    <w14:schemeClr w14:val="accent5"/>
                  </w14:solidFill>
                </w14:textFill>
              </w:rPr>
              <w:t>Urban</w:t>
            </w:r>
          </w:p>
        </w:tc>
        <w:tc>
          <w:tcPr>
            <w:tcW w:w="1141"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i w:val="0"/>
                <w:iCs w:val="0"/>
                <w:color w:val="4472C4" w:themeColor="accent5"/>
                <w:kern w:val="0"/>
                <w:sz w:val="18"/>
                <w:szCs w:val="18"/>
                <w:u w:val="none"/>
                <w:lang w:val="en-US" w:eastAsia="zh-CN" w:bidi="ar"/>
                <w14:textFill>
                  <w14:solidFill>
                    <w14:schemeClr w14:val="accent5"/>
                  </w14:solidFill>
                </w14:textFill>
              </w:rPr>
              <w:t>0.946 (0.758, 1.181)</w:t>
            </w:r>
          </w:p>
        </w:tc>
        <w:tc>
          <w:tcPr>
            <w:tcW w:w="127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i w:val="0"/>
                <w:iCs w:val="0"/>
                <w:color w:val="4472C4" w:themeColor="accent5"/>
                <w:kern w:val="0"/>
                <w:sz w:val="18"/>
                <w:szCs w:val="18"/>
                <w:u w:val="none"/>
                <w:lang w:val="en-US" w:eastAsia="zh-CN" w:bidi="ar"/>
                <w14:textFill>
                  <w14:solidFill>
                    <w14:schemeClr w14:val="accent5"/>
                  </w14:solidFill>
                </w14:textFill>
              </w:rPr>
              <w:t>1.024 (0.831, 1.261)</w:t>
            </w:r>
          </w:p>
        </w:tc>
        <w:tc>
          <w:tcPr>
            <w:tcW w:w="1228"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i w:val="0"/>
                <w:iCs w:val="0"/>
                <w:color w:val="4472C4" w:themeColor="accent5"/>
                <w:kern w:val="0"/>
                <w:sz w:val="18"/>
                <w:szCs w:val="18"/>
                <w:u w:val="none"/>
                <w:lang w:val="en-US" w:eastAsia="zh-CN" w:bidi="ar"/>
                <w14:textFill>
                  <w14:solidFill>
                    <w14:schemeClr w14:val="accent5"/>
                  </w14:solidFill>
                </w14:textFill>
              </w:rPr>
              <w:t>1.146 (1.003, 1.309)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1359"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i w:val="0"/>
                <w:iCs w:val="0"/>
                <w:color w:val="4472C4" w:themeColor="accent5"/>
                <w:kern w:val="0"/>
                <w:sz w:val="18"/>
                <w:szCs w:val="18"/>
                <w:u w:val="none"/>
                <w:lang w:val="en-US" w:eastAsia="zh-CN" w:bidi="ar"/>
                <w14:textFill>
                  <w14:solidFill>
                    <w14:schemeClr w14:val="accent5"/>
                  </w14:solidFill>
                </w14:textFill>
              </w:rPr>
              <w:t>Rural</w:t>
            </w:r>
          </w:p>
        </w:tc>
        <w:tc>
          <w:tcPr>
            <w:tcW w:w="1141"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i w:val="0"/>
                <w:iCs w:val="0"/>
                <w:color w:val="4472C4" w:themeColor="accent5"/>
                <w:kern w:val="0"/>
                <w:sz w:val="18"/>
                <w:szCs w:val="18"/>
                <w:u w:val="none"/>
                <w:lang w:val="en-US" w:eastAsia="zh-CN" w:bidi="ar"/>
                <w14:textFill>
                  <w14:solidFill>
                    <w14:schemeClr w14:val="accent5"/>
                  </w14:solidFill>
                </w14:textFill>
              </w:rPr>
              <w:t>1.120 (1.060, 1.184)</w:t>
            </w:r>
          </w:p>
        </w:tc>
        <w:tc>
          <w:tcPr>
            <w:tcW w:w="127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i w:val="0"/>
                <w:iCs w:val="0"/>
                <w:color w:val="4472C4" w:themeColor="accent5"/>
                <w:kern w:val="0"/>
                <w:sz w:val="18"/>
                <w:szCs w:val="18"/>
                <w:u w:val="none"/>
                <w:lang w:val="en-US" w:eastAsia="zh-CN" w:bidi="ar"/>
                <w14:textFill>
                  <w14:solidFill>
                    <w14:schemeClr w14:val="accent5"/>
                  </w14:solidFill>
                </w14:textFill>
              </w:rPr>
              <w:t>1.161 (1.099, 1.228)</w:t>
            </w:r>
          </w:p>
        </w:tc>
        <w:tc>
          <w:tcPr>
            <w:tcW w:w="1228"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i w:val="0"/>
                <w:iCs w:val="0"/>
                <w:color w:val="4472C4" w:themeColor="accent5"/>
                <w:kern w:val="0"/>
                <w:sz w:val="18"/>
                <w:szCs w:val="18"/>
                <w:u w:val="none"/>
                <w:lang w:val="en-US" w:eastAsia="zh-CN" w:bidi="ar"/>
                <w14:textFill>
                  <w14:solidFill>
                    <w14:schemeClr w14:val="accent5"/>
                  </w14:solidFill>
                </w14:textFill>
              </w:rPr>
              <w:t>1.236 (1.171, 1.304)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1359"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iCs/>
                <w:color w:val="4472C4" w:themeColor="accent5"/>
                <w:sz w:val="18"/>
                <w:szCs w:val="18"/>
                <w:u w:val="none"/>
                <w14:textFill>
                  <w14:solidFill>
                    <w14:schemeClr w14:val="accent5"/>
                  </w14:solidFill>
                </w14:textFill>
              </w:rPr>
            </w:pPr>
            <w:r>
              <w:rPr>
                <w:rFonts w:hint="default" w:ascii="Times New Roman" w:hAnsi="Times New Roman" w:eastAsia="等线" w:cs="Times New Roman"/>
                <w:i/>
                <w:iCs/>
                <w:color w:val="4472C4" w:themeColor="accent5"/>
                <w:kern w:val="0"/>
                <w:sz w:val="18"/>
                <w:szCs w:val="18"/>
                <w:u w:val="none"/>
                <w:lang w:val="en-US" w:eastAsia="zh-CN" w:bidi="ar"/>
                <w14:textFill>
                  <w14:solidFill>
                    <w14:schemeClr w14:val="accent5"/>
                  </w14:solidFill>
                </w14:textFill>
              </w:rPr>
              <w:t>P for interaction</w:t>
            </w:r>
          </w:p>
        </w:tc>
        <w:tc>
          <w:tcPr>
            <w:tcW w:w="1141"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i w:val="0"/>
                <w:iCs w:val="0"/>
                <w:color w:val="4472C4" w:themeColor="accent5"/>
                <w:kern w:val="0"/>
                <w:sz w:val="18"/>
                <w:szCs w:val="18"/>
                <w:u w:val="none"/>
                <w:lang w:val="en-US" w:eastAsia="zh-CN" w:bidi="ar"/>
                <w14:textFill>
                  <w14:solidFill>
                    <w14:schemeClr w14:val="accent5"/>
                  </w14:solidFill>
                </w14:textFill>
              </w:rPr>
              <w:t>0.144</w:t>
            </w:r>
          </w:p>
        </w:tc>
        <w:tc>
          <w:tcPr>
            <w:tcW w:w="127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i w:val="0"/>
                <w:iCs w:val="0"/>
                <w:color w:val="4472C4" w:themeColor="accent5"/>
                <w:kern w:val="0"/>
                <w:sz w:val="18"/>
                <w:szCs w:val="18"/>
                <w:u w:val="none"/>
                <w:lang w:val="en-US" w:eastAsia="zh-CN" w:bidi="ar"/>
                <w14:textFill>
                  <w14:solidFill>
                    <w14:schemeClr w14:val="accent5"/>
                  </w14:solidFill>
                </w14:textFill>
              </w:rPr>
              <w:t>0.249</w:t>
            </w:r>
          </w:p>
        </w:tc>
        <w:tc>
          <w:tcPr>
            <w:tcW w:w="1228"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i w:val="0"/>
                <w:iCs w:val="0"/>
                <w:color w:val="4472C4" w:themeColor="accent5"/>
                <w:kern w:val="0"/>
                <w:sz w:val="18"/>
                <w:szCs w:val="18"/>
                <w:u w:val="none"/>
                <w:lang w:val="en-US" w:eastAsia="zh-CN" w:bidi="ar"/>
                <w14:textFill>
                  <w14:solidFill>
                    <w14:schemeClr w14:val="accent5"/>
                  </w14:solidFill>
                </w14:textFill>
              </w:rPr>
              <w:t>0.290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1359"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b/>
                <w:bCs/>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b/>
                <w:bCs/>
                <w:i w:val="0"/>
                <w:iCs w:val="0"/>
                <w:color w:val="4472C4" w:themeColor="accent5"/>
                <w:kern w:val="0"/>
                <w:sz w:val="18"/>
                <w:szCs w:val="18"/>
                <w:u w:val="none"/>
                <w:lang w:val="en-US" w:eastAsia="zh-CN" w:bidi="ar"/>
                <w14:textFill>
                  <w14:solidFill>
                    <w14:schemeClr w14:val="accent5"/>
                  </w14:solidFill>
                </w14:textFill>
              </w:rPr>
              <w:t>Education</w:t>
            </w:r>
          </w:p>
        </w:tc>
        <w:tc>
          <w:tcPr>
            <w:tcW w:w="1141"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p>
        </w:tc>
        <w:tc>
          <w:tcPr>
            <w:tcW w:w="1270"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p>
        </w:tc>
        <w:tc>
          <w:tcPr>
            <w:tcW w:w="1228" w:type="pct"/>
            <w:tcBorders>
              <w:tl2br w:val="nil"/>
              <w:tr2bl w:val="nil"/>
            </w:tcBorders>
            <w:shd w:val="clear" w:color="auto" w:fill="auto"/>
            <w:vAlign w:val="center"/>
          </w:tcPr>
          <w:p>
            <w:pPr>
              <w:jc w:val="center"/>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1359"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i w:val="0"/>
                <w:iCs w:val="0"/>
                <w:color w:val="4472C4" w:themeColor="accent5"/>
                <w:kern w:val="0"/>
                <w:sz w:val="18"/>
                <w:szCs w:val="18"/>
                <w:u w:val="none"/>
                <w:lang w:val="en-US" w:eastAsia="zh-CN" w:bidi="ar"/>
                <w14:textFill>
                  <w14:solidFill>
                    <w14:schemeClr w14:val="accent5"/>
                  </w14:solidFill>
                </w14:textFill>
              </w:rPr>
              <w:t>Elementary or below</w:t>
            </w:r>
          </w:p>
        </w:tc>
        <w:tc>
          <w:tcPr>
            <w:tcW w:w="1141"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i w:val="0"/>
                <w:iCs w:val="0"/>
                <w:color w:val="4472C4" w:themeColor="accent5"/>
                <w:kern w:val="0"/>
                <w:sz w:val="18"/>
                <w:szCs w:val="18"/>
                <w:u w:val="none"/>
                <w:lang w:val="en-US" w:eastAsia="zh-CN" w:bidi="ar"/>
                <w14:textFill>
                  <w14:solidFill>
                    <w14:schemeClr w14:val="accent5"/>
                  </w14:solidFill>
                </w14:textFill>
              </w:rPr>
              <w:t>1.066 (0.971, 1.170)</w:t>
            </w:r>
          </w:p>
        </w:tc>
        <w:tc>
          <w:tcPr>
            <w:tcW w:w="127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i w:val="0"/>
                <w:iCs w:val="0"/>
                <w:color w:val="4472C4" w:themeColor="accent5"/>
                <w:kern w:val="0"/>
                <w:sz w:val="18"/>
                <w:szCs w:val="18"/>
                <w:u w:val="none"/>
                <w:lang w:val="en-US" w:eastAsia="zh-CN" w:bidi="ar"/>
                <w14:textFill>
                  <w14:solidFill>
                    <w14:schemeClr w14:val="accent5"/>
                  </w14:solidFill>
                </w14:textFill>
              </w:rPr>
              <w:t>1.108 (1.010, 1.215)</w:t>
            </w:r>
          </w:p>
        </w:tc>
        <w:tc>
          <w:tcPr>
            <w:tcW w:w="1228"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i w:val="0"/>
                <w:iCs w:val="0"/>
                <w:color w:val="4472C4" w:themeColor="accent5"/>
                <w:kern w:val="0"/>
                <w:sz w:val="18"/>
                <w:szCs w:val="18"/>
                <w:u w:val="none"/>
                <w:lang w:val="en-US" w:eastAsia="zh-CN" w:bidi="ar"/>
                <w14:textFill>
                  <w14:solidFill>
                    <w14:schemeClr w14:val="accent5"/>
                  </w14:solidFill>
                </w14:textFill>
              </w:rPr>
              <w:t>1.204 (1.095, 1.325)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1359"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i w:val="0"/>
                <w:iCs w:val="0"/>
                <w:color w:val="4472C4" w:themeColor="accent5"/>
                <w:kern w:val="0"/>
                <w:sz w:val="18"/>
                <w:szCs w:val="18"/>
                <w:u w:val="none"/>
                <w:lang w:val="en-US" w:eastAsia="zh-CN" w:bidi="ar"/>
                <w14:textFill>
                  <w14:solidFill>
                    <w14:schemeClr w14:val="accent5"/>
                  </w14:solidFill>
                </w14:textFill>
              </w:rPr>
              <w:t>Middle school</w:t>
            </w:r>
          </w:p>
        </w:tc>
        <w:tc>
          <w:tcPr>
            <w:tcW w:w="1141"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i w:val="0"/>
                <w:iCs w:val="0"/>
                <w:color w:val="4472C4" w:themeColor="accent5"/>
                <w:kern w:val="0"/>
                <w:sz w:val="18"/>
                <w:szCs w:val="18"/>
                <w:u w:val="none"/>
                <w:lang w:val="en-US" w:eastAsia="zh-CN" w:bidi="ar"/>
                <w14:textFill>
                  <w14:solidFill>
                    <w14:schemeClr w14:val="accent5"/>
                  </w14:solidFill>
                </w14:textFill>
              </w:rPr>
              <w:t>1.190 (1.091, 1.298)</w:t>
            </w:r>
          </w:p>
        </w:tc>
        <w:tc>
          <w:tcPr>
            <w:tcW w:w="127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i w:val="0"/>
                <w:iCs w:val="0"/>
                <w:color w:val="4472C4" w:themeColor="accent5"/>
                <w:kern w:val="0"/>
                <w:sz w:val="18"/>
                <w:szCs w:val="18"/>
                <w:u w:val="none"/>
                <w:lang w:val="en-US" w:eastAsia="zh-CN" w:bidi="ar"/>
                <w14:textFill>
                  <w14:solidFill>
                    <w14:schemeClr w14:val="accent5"/>
                  </w14:solidFill>
                </w14:textFill>
              </w:rPr>
              <w:t>1.238 (1.135, 1.351)</w:t>
            </w:r>
          </w:p>
        </w:tc>
        <w:tc>
          <w:tcPr>
            <w:tcW w:w="1228"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i w:val="0"/>
                <w:iCs w:val="0"/>
                <w:color w:val="4472C4" w:themeColor="accent5"/>
                <w:kern w:val="0"/>
                <w:sz w:val="18"/>
                <w:szCs w:val="18"/>
                <w:u w:val="none"/>
                <w:lang w:val="en-US" w:eastAsia="zh-CN" w:bidi="ar"/>
                <w14:textFill>
                  <w14:solidFill>
                    <w14:schemeClr w14:val="accent5"/>
                  </w14:solidFill>
                </w14:textFill>
              </w:rPr>
              <w:t>1.270 (1.181, 1.366)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1359"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i w:val="0"/>
                <w:iCs w:val="0"/>
                <w:color w:val="4472C4" w:themeColor="accent5"/>
                <w:kern w:val="0"/>
                <w:sz w:val="18"/>
                <w:szCs w:val="18"/>
                <w:u w:val="none"/>
                <w:lang w:val="en-US" w:eastAsia="zh-CN" w:bidi="ar"/>
                <w14:textFill>
                  <w14:solidFill>
                    <w14:schemeClr w14:val="accent5"/>
                  </w14:solidFill>
                </w14:textFill>
              </w:rPr>
              <w:t>High school or above</w:t>
            </w:r>
          </w:p>
        </w:tc>
        <w:tc>
          <w:tcPr>
            <w:tcW w:w="1141"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i w:val="0"/>
                <w:iCs w:val="0"/>
                <w:color w:val="4472C4" w:themeColor="accent5"/>
                <w:kern w:val="0"/>
                <w:sz w:val="18"/>
                <w:szCs w:val="18"/>
                <w:u w:val="none"/>
                <w:lang w:val="en-US" w:eastAsia="zh-CN" w:bidi="ar"/>
                <w14:textFill>
                  <w14:solidFill>
                    <w14:schemeClr w14:val="accent5"/>
                  </w14:solidFill>
                </w14:textFill>
              </w:rPr>
              <w:t>1.060 (0.962, 1.168)</w:t>
            </w:r>
          </w:p>
        </w:tc>
        <w:tc>
          <w:tcPr>
            <w:tcW w:w="127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i w:val="0"/>
                <w:iCs w:val="0"/>
                <w:color w:val="4472C4" w:themeColor="accent5"/>
                <w:kern w:val="0"/>
                <w:sz w:val="18"/>
                <w:szCs w:val="18"/>
                <w:u w:val="none"/>
                <w:lang w:val="en-US" w:eastAsia="zh-CN" w:bidi="ar"/>
                <w14:textFill>
                  <w14:solidFill>
                    <w14:schemeClr w14:val="accent5"/>
                  </w14:solidFill>
                </w14:textFill>
              </w:rPr>
              <w:t>1.095 (0.992, 1.210)</w:t>
            </w:r>
          </w:p>
        </w:tc>
        <w:tc>
          <w:tcPr>
            <w:tcW w:w="1228"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i w:val="0"/>
                <w:iCs w:val="0"/>
                <w:color w:val="4472C4" w:themeColor="accent5"/>
                <w:kern w:val="0"/>
                <w:sz w:val="18"/>
                <w:szCs w:val="18"/>
                <w:u w:val="none"/>
                <w:lang w:val="en-US" w:eastAsia="zh-CN" w:bidi="ar"/>
                <w14:textFill>
                  <w14:solidFill>
                    <w14:schemeClr w14:val="accent5"/>
                  </w14:solidFill>
                </w14:textFill>
              </w:rPr>
              <w:t>1.166 (1.064, 1.279)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3" w:hRule="atLeast"/>
        </w:trPr>
        <w:tc>
          <w:tcPr>
            <w:tcW w:w="1359"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iCs/>
                <w:color w:val="4472C4" w:themeColor="accent5"/>
                <w:sz w:val="18"/>
                <w:szCs w:val="18"/>
                <w:u w:val="none"/>
                <w14:textFill>
                  <w14:solidFill>
                    <w14:schemeClr w14:val="accent5"/>
                  </w14:solidFill>
                </w14:textFill>
              </w:rPr>
            </w:pPr>
            <w:r>
              <w:rPr>
                <w:rFonts w:hint="default" w:ascii="Times New Roman" w:hAnsi="Times New Roman" w:eastAsia="等线" w:cs="Times New Roman"/>
                <w:i/>
                <w:iCs/>
                <w:color w:val="4472C4" w:themeColor="accent5"/>
                <w:kern w:val="0"/>
                <w:sz w:val="18"/>
                <w:szCs w:val="18"/>
                <w:u w:val="none"/>
                <w:lang w:val="en-US" w:eastAsia="zh-CN" w:bidi="ar"/>
                <w14:textFill>
                  <w14:solidFill>
                    <w14:schemeClr w14:val="accent5"/>
                  </w14:solidFill>
                </w14:textFill>
              </w:rPr>
              <w:t>P for interaction</w:t>
            </w:r>
          </w:p>
        </w:tc>
        <w:tc>
          <w:tcPr>
            <w:tcW w:w="1141"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i w:val="0"/>
                <w:iCs w:val="0"/>
                <w:color w:val="4472C4" w:themeColor="accent5"/>
                <w:kern w:val="0"/>
                <w:sz w:val="18"/>
                <w:szCs w:val="18"/>
                <w:u w:val="none"/>
                <w:lang w:val="en-US" w:eastAsia="zh-CN" w:bidi="ar"/>
                <w14:textFill>
                  <w14:solidFill>
                    <w14:schemeClr w14:val="accent5"/>
                  </w14:solidFill>
                </w14:textFill>
              </w:rPr>
              <w:t>0.128</w:t>
            </w:r>
          </w:p>
        </w:tc>
        <w:tc>
          <w:tcPr>
            <w:tcW w:w="1270"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i w:val="0"/>
                <w:iCs w:val="0"/>
                <w:color w:val="4472C4" w:themeColor="accent5"/>
                <w:kern w:val="0"/>
                <w:sz w:val="18"/>
                <w:szCs w:val="18"/>
                <w:u w:val="none"/>
                <w:lang w:val="en-US" w:eastAsia="zh-CN" w:bidi="ar"/>
                <w14:textFill>
                  <w14:solidFill>
                    <w14:schemeClr w14:val="accent5"/>
                  </w14:solidFill>
                </w14:textFill>
              </w:rPr>
              <w:t>0.113</w:t>
            </w:r>
          </w:p>
        </w:tc>
        <w:tc>
          <w:tcPr>
            <w:tcW w:w="1228" w:type="pct"/>
            <w:tcBorders>
              <w:tl2br w:val="nil"/>
              <w:tr2bl w:val="nil"/>
            </w:tcBorders>
            <w:shd w:val="clear" w:color="auto" w:fill="auto"/>
            <w:vAlign w:val="center"/>
          </w:tcPr>
          <w:p>
            <w:pPr>
              <w:keepNext w:val="0"/>
              <w:keepLines w:val="0"/>
              <w:widowControl/>
              <w:suppressLineNumbers w:val="0"/>
              <w:jc w:val="center"/>
              <w:textAlignment w:val="bottom"/>
              <w:rPr>
                <w:rFonts w:hint="default" w:ascii="Times New Roman" w:hAnsi="Times New Roman" w:eastAsia="等线" w:cs="Times New Roman"/>
                <w:i w:val="0"/>
                <w:iCs w:val="0"/>
                <w:color w:val="4472C4" w:themeColor="accent5"/>
                <w:sz w:val="18"/>
                <w:szCs w:val="18"/>
                <w:u w:val="none"/>
                <w14:textFill>
                  <w14:solidFill>
                    <w14:schemeClr w14:val="accent5"/>
                  </w14:solidFill>
                </w14:textFill>
              </w:rPr>
            </w:pPr>
            <w:r>
              <w:rPr>
                <w:rFonts w:hint="default" w:ascii="Times New Roman" w:hAnsi="Times New Roman" w:eastAsia="等线" w:cs="Times New Roman"/>
                <w:i w:val="0"/>
                <w:iCs w:val="0"/>
                <w:color w:val="4472C4" w:themeColor="accent5"/>
                <w:kern w:val="0"/>
                <w:sz w:val="18"/>
                <w:szCs w:val="18"/>
                <w:u w:val="none"/>
                <w:lang w:val="en-US" w:eastAsia="zh-CN" w:bidi="ar"/>
                <w14:textFill>
                  <w14:solidFill>
                    <w14:schemeClr w14:val="accent5"/>
                  </w14:solidFill>
                </w14:textFill>
              </w:rPr>
              <w:t>0.344</w:t>
            </w:r>
          </w:p>
        </w:tc>
      </w:tr>
    </w:tbl>
    <w:p>
      <w:pPr>
        <w:numPr>
          <w:ilvl w:val="0"/>
          <w:numId w:val="0"/>
        </w:numPr>
        <w:spacing w:line="480" w:lineRule="auto"/>
        <w:jc w:val="both"/>
        <w:rPr>
          <w:rFonts w:hint="default" w:ascii="Times New Roman" w:hAnsi="Times New Roman" w:cs="Times New Roman"/>
          <w:sz w:val="24"/>
          <w:szCs w:val="24"/>
          <w:lang w:val="en-US" w:eastAsia="zh-CN"/>
        </w:rPr>
      </w:pPr>
    </w:p>
    <w:p>
      <w:pPr>
        <w:numPr>
          <w:ilvl w:val="0"/>
          <w:numId w:val="0"/>
        </w:numPr>
        <w:spacing w:line="480" w:lineRule="auto"/>
        <w:jc w:val="left"/>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3.7 Sensitivity Analysis</w:t>
      </w:r>
    </w:p>
    <w:p>
      <w:pPr>
        <w:numPr>
          <w:ilvl w:val="0"/>
          <w:numId w:val="0"/>
        </w:numPr>
        <w:spacing w:line="480" w:lineRule="auto"/>
        <w:jc w:val="left"/>
        <w:rPr>
          <w:rFonts w:hint="default" w:ascii="Times New Roman" w:hAnsi="Times New Roman" w:cs="Times New Roman"/>
          <w:color w:val="C00000"/>
          <w:sz w:val="24"/>
          <w:szCs w:val="24"/>
          <w:lang w:val="en-US" w:eastAsia="zh-CN"/>
        </w:rPr>
      </w:pPr>
      <w:r>
        <w:rPr>
          <w:rFonts w:hint="default" w:ascii="Times New Roman" w:hAnsi="Times New Roman" w:cs="Times New Roman"/>
          <w:color w:val="C00000"/>
          <w:sz w:val="24"/>
          <w:szCs w:val="24"/>
          <w:lang w:val="en-US" w:eastAsia="zh-CN"/>
        </w:rPr>
        <w:t>We conducted a series of sensitivity analyses to evaluate the robustness of the findings. Inclusion of both NO₂ and O₃ in multi-pollutant models did not materially change the associations of PM₂.₅ and PM₁₀ with cardiac event risk (Table S</w:t>
      </w:r>
      <w:r>
        <w:rPr>
          <w:rFonts w:hint="eastAsia" w:ascii="Times New Roman" w:hAnsi="Times New Roman" w:cs="Times New Roman"/>
          <w:color w:val="C00000"/>
          <w:sz w:val="24"/>
          <w:szCs w:val="24"/>
          <w:lang w:val="en-US" w:eastAsia="zh-CN"/>
        </w:rPr>
        <w:t>3</w:t>
      </w:r>
      <w:r>
        <w:rPr>
          <w:rFonts w:hint="default" w:ascii="Times New Roman" w:hAnsi="Times New Roman" w:cs="Times New Roman"/>
          <w:color w:val="C00000"/>
          <w:sz w:val="24"/>
          <w:szCs w:val="24"/>
          <w:lang w:val="en-US" w:eastAsia="zh-CN"/>
        </w:rPr>
        <w:t>). Ridge regression further confirmed that risk estimates for PM₂.₅ and PM₁₀ remained stable after accounting for multicollinearity, while the effect sizes of O₃ and NO₂ were comparable to those observed in the main models (Table S</w:t>
      </w:r>
      <w:r>
        <w:rPr>
          <w:rFonts w:hint="eastAsia" w:ascii="Times New Roman" w:hAnsi="Times New Roman" w:cs="Times New Roman"/>
          <w:color w:val="C00000"/>
          <w:sz w:val="24"/>
          <w:szCs w:val="24"/>
          <w:lang w:val="en-US" w:eastAsia="zh-CN"/>
        </w:rPr>
        <w:t>8</w:t>
      </w:r>
      <w:r>
        <w:rPr>
          <w:rFonts w:hint="default" w:ascii="Times New Roman" w:hAnsi="Times New Roman" w:cs="Times New Roman"/>
          <w:color w:val="C00000"/>
          <w:sz w:val="24"/>
          <w:szCs w:val="24"/>
          <w:lang w:val="en-US" w:eastAsia="zh-CN"/>
        </w:rPr>
        <w:t>). Collinearity diagnostics indicated moderate correlations among pollutants; however, all variance inflation factors (VIFs) in optimized models were below 5, suggesting that multicollinearity had no meaningful impact (Tables S</w:t>
      </w:r>
      <w:r>
        <w:rPr>
          <w:rFonts w:hint="eastAsia" w:ascii="Times New Roman" w:hAnsi="Times New Roman" w:cs="Times New Roman"/>
          <w:color w:val="C00000"/>
          <w:sz w:val="24"/>
          <w:szCs w:val="24"/>
          <w:lang w:val="en-US" w:eastAsia="zh-CN"/>
        </w:rPr>
        <w:t>5</w:t>
      </w:r>
      <w:r>
        <w:rPr>
          <w:rFonts w:hint="default" w:ascii="Times New Roman" w:hAnsi="Times New Roman" w:cs="Times New Roman"/>
          <w:color w:val="C00000"/>
          <w:sz w:val="24"/>
          <w:szCs w:val="24"/>
          <w:lang w:val="en-US" w:eastAsia="zh-CN"/>
        </w:rPr>
        <w:t xml:space="preserve"> and S</w:t>
      </w:r>
      <w:r>
        <w:rPr>
          <w:rFonts w:hint="eastAsia" w:ascii="Times New Roman" w:hAnsi="Times New Roman" w:cs="Times New Roman"/>
          <w:color w:val="C00000"/>
          <w:sz w:val="24"/>
          <w:szCs w:val="24"/>
          <w:lang w:val="en-US" w:eastAsia="zh-CN"/>
        </w:rPr>
        <w:t>9</w:t>
      </w:r>
      <w:r>
        <w:rPr>
          <w:rFonts w:hint="default" w:ascii="Times New Roman" w:hAnsi="Times New Roman" w:cs="Times New Roman"/>
          <w:color w:val="C00000"/>
          <w:sz w:val="24"/>
          <w:szCs w:val="24"/>
          <w:lang w:val="en-US" w:eastAsia="zh-CN"/>
        </w:rPr>
        <w:t>). Exclusion of extreme values, either through 1%/99% Winsorization or by omitting cities in the top and bottom 1% of mean exposures, did not materially affect PM₂.₅ estimates (Table S</w:t>
      </w:r>
      <w:r>
        <w:rPr>
          <w:rFonts w:hint="eastAsia" w:ascii="Times New Roman" w:hAnsi="Times New Roman" w:cs="Times New Roman"/>
          <w:color w:val="C00000"/>
          <w:sz w:val="24"/>
          <w:szCs w:val="24"/>
          <w:lang w:val="en-US" w:eastAsia="zh-CN"/>
        </w:rPr>
        <w:t>6</w:t>
      </w:r>
      <w:r>
        <w:rPr>
          <w:rFonts w:hint="default" w:ascii="Times New Roman" w:hAnsi="Times New Roman" w:cs="Times New Roman"/>
          <w:color w:val="C00000"/>
          <w:sz w:val="24"/>
          <w:szCs w:val="24"/>
          <w:lang w:val="en-US" w:eastAsia="zh-CN"/>
        </w:rPr>
        <w:t>). Results for PM₂.₅ and PM₁₀ were also consistent across alternative exposure windows, whereas estimates for O₃ showed some fluctuation but did not alter the overall interpretation (Table S</w:t>
      </w:r>
      <w:r>
        <w:rPr>
          <w:rFonts w:hint="eastAsia" w:ascii="Times New Roman" w:hAnsi="Times New Roman" w:cs="Times New Roman"/>
          <w:color w:val="C00000"/>
          <w:sz w:val="24"/>
          <w:szCs w:val="24"/>
          <w:lang w:val="en-US" w:eastAsia="zh-CN"/>
        </w:rPr>
        <w:t>4</w:t>
      </w:r>
      <w:r>
        <w:rPr>
          <w:rFonts w:hint="default" w:ascii="Times New Roman" w:hAnsi="Times New Roman" w:cs="Times New Roman"/>
          <w:color w:val="C00000"/>
          <w:sz w:val="24"/>
          <w:szCs w:val="24"/>
          <w:lang w:val="en-US" w:eastAsia="zh-CN"/>
        </w:rPr>
        <w:t>). Analyses applying city-clustered robust standard errors and city-level frailty models yielded similar conclusions (Table S</w:t>
      </w:r>
      <w:r>
        <w:rPr>
          <w:rFonts w:hint="eastAsia" w:ascii="Times New Roman" w:hAnsi="Times New Roman" w:cs="Times New Roman"/>
          <w:color w:val="C00000"/>
          <w:sz w:val="24"/>
          <w:szCs w:val="24"/>
          <w:lang w:val="en-US" w:eastAsia="zh-CN"/>
        </w:rPr>
        <w:t>7</w:t>
      </w:r>
      <w:r>
        <w:rPr>
          <w:rFonts w:hint="default" w:ascii="Times New Roman" w:hAnsi="Times New Roman" w:cs="Times New Roman"/>
          <w:color w:val="C00000"/>
          <w:sz w:val="24"/>
          <w:szCs w:val="24"/>
          <w:lang w:val="en-US" w:eastAsia="zh-CN"/>
        </w:rPr>
        <w:t>).</w:t>
      </w:r>
    </w:p>
    <w:p>
      <w:pPr>
        <w:widowControl w:val="0"/>
        <w:numPr>
          <w:ilvl w:val="0"/>
          <w:numId w:val="0"/>
        </w:numPr>
        <w:spacing w:line="480" w:lineRule="auto"/>
        <w:ind w:leftChars="0"/>
        <w:jc w:val="left"/>
        <w:rPr>
          <w:rFonts w:hint="default" w:ascii="Times New Roman" w:hAnsi="Times New Roman" w:cs="Times New Roman"/>
          <w:b/>
          <w:bCs/>
          <w:sz w:val="24"/>
          <w:szCs w:val="24"/>
          <w:lang w:val="en-US" w:eastAsia="zh-CN"/>
        </w:rPr>
      </w:pPr>
    </w:p>
    <w:p>
      <w:pPr>
        <w:widowControl w:val="0"/>
        <w:numPr>
          <w:ilvl w:val="0"/>
          <w:numId w:val="0"/>
        </w:numPr>
        <w:spacing w:line="480" w:lineRule="auto"/>
        <w:ind w:leftChars="0"/>
        <w:jc w:val="left"/>
        <w:rPr>
          <w:rFonts w:hint="default"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lang w:val="en-US" w:eastAsia="zh-CN"/>
        </w:rPr>
        <w:t>Discussion</w:t>
      </w:r>
    </w:p>
    <w:p>
      <w:pPr>
        <w:widowControl w:val="0"/>
        <w:numPr>
          <w:ilvl w:val="0"/>
          <w:numId w:val="0"/>
        </w:numPr>
        <w:spacing w:line="480" w:lineRule="auto"/>
        <w:jc w:val="left"/>
        <w:rPr>
          <w:rFonts w:hint="default" w:ascii="Times New Roman" w:hAnsi="Times New Roman" w:cs="Times New Roman"/>
          <w:color w:val="4472C4" w:themeColor="accent5"/>
          <w:sz w:val="24"/>
          <w:szCs w:val="24"/>
          <w:lang w:val="en-US" w:eastAsia="zh-CN"/>
          <w14:textFill>
            <w14:solidFill>
              <w14:schemeClr w14:val="accent5"/>
            </w14:solidFill>
          </w14:textFill>
        </w:rPr>
      </w:pPr>
      <w:r>
        <w:rPr>
          <w:rFonts w:hint="default" w:ascii="Times New Roman" w:hAnsi="Times New Roman" w:cs="Times New Roman"/>
          <w:color w:val="4472C4" w:themeColor="accent5"/>
          <w:sz w:val="24"/>
          <w:szCs w:val="24"/>
          <w:lang w:val="en-US" w:eastAsia="zh-CN"/>
          <w14:textFill>
            <w14:solidFill>
              <w14:schemeClr w14:val="accent5"/>
            </w14:solidFill>
          </w14:textFill>
        </w:rPr>
        <w:t xml:space="preserve">This study, drawing on a large sample of middle-aged and older adults from the CHARLS cohort, systematically examined the associations between multiple air pollutants and </w:t>
      </w:r>
      <w:r>
        <w:rPr>
          <w:rFonts w:hint="eastAsia" w:ascii="Times New Roman" w:hAnsi="Times New Roman" w:cs="Times New Roman"/>
          <w:color w:val="4472C4" w:themeColor="accent5"/>
          <w:sz w:val="24"/>
          <w:szCs w:val="24"/>
          <w:lang w:val="en-US" w:eastAsia="zh-CN"/>
          <w14:textFill>
            <w14:solidFill>
              <w14:schemeClr w14:val="accent5"/>
            </w14:solidFill>
          </w14:textFill>
        </w:rPr>
        <w:t>HD</w:t>
      </w:r>
      <w:r>
        <w:rPr>
          <w:rFonts w:hint="default" w:ascii="Times New Roman" w:hAnsi="Times New Roman" w:cs="Times New Roman"/>
          <w:color w:val="4472C4" w:themeColor="accent5"/>
          <w:sz w:val="24"/>
          <w:szCs w:val="24"/>
          <w:lang w:val="en-US" w:eastAsia="zh-CN"/>
          <w14:textFill>
            <w14:solidFill>
              <w14:schemeClr w14:val="accent5"/>
            </w14:solidFill>
          </w14:textFill>
        </w:rPr>
        <w:t xml:space="preserve"> risk. Particulate matter, including PM₁, PM₂.₅, and PM₁₀, was positively associated with cardiovascular events, and these associations remained robust across multi-pollutant models and sensitivity analyses, suggesting that particles of different sizes may exert consistent adverse effects on cardiovascular health. In the cross-sectional GLM analyses, the associations for PM₁₀ were relatively consistent across models; however, the effect size was minimal</w:t>
      </w:r>
      <w:r>
        <w:rPr>
          <w:rFonts w:hint="eastAsia" w:ascii="Times New Roman" w:hAnsi="Times New Roman" w:cs="Times New Roman"/>
          <w:color w:val="4472C4" w:themeColor="accent5"/>
          <w:sz w:val="24"/>
          <w:szCs w:val="24"/>
          <w:lang w:val="en-US" w:eastAsia="zh-CN"/>
          <w14:textFill>
            <w14:solidFill>
              <w14:schemeClr w14:val="accent5"/>
            </w14:solidFill>
          </w14:textFill>
        </w:rPr>
        <w:t xml:space="preserve"> </w:t>
      </w:r>
      <w:r>
        <w:rPr>
          <w:rFonts w:hint="default" w:ascii="Times New Roman" w:hAnsi="Times New Roman" w:cs="Times New Roman"/>
          <w:color w:val="4472C4" w:themeColor="accent5"/>
          <w:sz w:val="24"/>
          <w:szCs w:val="24"/>
          <w:lang w:val="en-US" w:eastAsia="zh-CN"/>
          <w14:textFill>
            <w14:solidFill>
              <w14:schemeClr w14:val="accent5"/>
            </w14:solidFill>
          </w14:textFill>
        </w:rPr>
        <w:t>and of limited clinical relevance.</w:t>
      </w:r>
    </w:p>
    <w:p>
      <w:pPr>
        <w:widowControl w:val="0"/>
        <w:numPr>
          <w:ilvl w:val="0"/>
          <w:numId w:val="0"/>
        </w:numPr>
        <w:spacing w:line="480" w:lineRule="auto"/>
        <w:jc w:val="left"/>
        <w:rPr>
          <w:rFonts w:hint="default" w:ascii="Times New Roman" w:hAnsi="Times New Roman" w:cs="Times New Roman"/>
          <w:sz w:val="24"/>
          <w:szCs w:val="24"/>
          <w:lang w:val="en-US" w:eastAsia="zh-CN"/>
        </w:rPr>
      </w:pPr>
    </w:p>
    <w:p>
      <w:pPr>
        <w:widowControl w:val="0"/>
        <w:numPr>
          <w:ilvl w:val="0"/>
          <w:numId w:val="0"/>
        </w:numPr>
        <w:spacing w:line="480" w:lineRule="auto"/>
        <w:jc w:val="left"/>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This finding is consistent with several international studies. A prospective analysis based on the UK Biobank reported that combined exposure to multiple air pollutants may increase the risk of HD, particularly heart failure, with PM₂.₅ and PM₁₀ identified as the main drivers [2</w:t>
      </w:r>
      <w:r>
        <w:rPr>
          <w:rFonts w:hint="eastAsia" w:ascii="Times New Roman" w:hAnsi="Times New Roman" w:cs="Times New Roman"/>
          <w:sz w:val="24"/>
          <w:szCs w:val="24"/>
          <w:lang w:val="en-US" w:eastAsia="zh-CN"/>
        </w:rPr>
        <w:t>6</w:t>
      </w:r>
      <w:r>
        <w:rPr>
          <w:rFonts w:hint="default" w:ascii="Times New Roman" w:hAnsi="Times New Roman" w:cs="Times New Roman"/>
          <w:sz w:val="24"/>
          <w:szCs w:val="24"/>
          <w:lang w:val="en-US" w:eastAsia="zh-CN"/>
        </w:rPr>
        <w:t>]. Similarly, systematic reviews and meta-analyses have consistently demonstrated significant associations between PM₂.₅ exposure and the incidence of heart failure [2</w:t>
      </w:r>
      <w:r>
        <w:rPr>
          <w:rFonts w:hint="eastAsia" w:ascii="Times New Roman" w:hAnsi="Times New Roman" w:cs="Times New Roman"/>
          <w:sz w:val="24"/>
          <w:szCs w:val="24"/>
          <w:lang w:val="en-US" w:eastAsia="zh-CN"/>
        </w:rPr>
        <w:t>7</w:t>
      </w:r>
      <w:r>
        <w:rPr>
          <w:rFonts w:hint="default" w:ascii="Times New Roman" w:hAnsi="Times New Roman" w:cs="Times New Roman"/>
          <w:sz w:val="24"/>
          <w:szCs w:val="24"/>
          <w:lang w:val="en-US" w:eastAsia="zh-CN"/>
        </w:rPr>
        <w:t>,2</w:t>
      </w:r>
      <w:r>
        <w:rPr>
          <w:rFonts w:hint="eastAsia" w:ascii="Times New Roman" w:hAnsi="Times New Roman" w:cs="Times New Roman"/>
          <w:sz w:val="24"/>
          <w:szCs w:val="24"/>
          <w:lang w:val="en-US" w:eastAsia="zh-CN"/>
        </w:rPr>
        <w:t>8</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29</w:t>
      </w:r>
      <w:r>
        <w:rPr>
          <w:rFonts w:hint="default" w:ascii="Times New Roman" w:hAnsi="Times New Roman" w:cs="Times New Roman"/>
          <w:sz w:val="24"/>
          <w:szCs w:val="24"/>
          <w:lang w:val="en-US" w:eastAsia="zh-CN"/>
        </w:rPr>
        <w:t xml:space="preserve">]. In the Chinese context, a study using data from the Global Burden of Disease database showed that PM₂.₅-related </w:t>
      </w:r>
      <w:r>
        <w:rPr>
          <w:rFonts w:hint="eastAsia" w:ascii="Times New Roman" w:hAnsi="Times New Roman" w:cs="Times New Roman"/>
          <w:sz w:val="24"/>
          <w:szCs w:val="24"/>
          <w:lang w:val="en-US" w:eastAsia="zh-CN"/>
        </w:rPr>
        <w:t>HD</w:t>
      </w:r>
      <w:r>
        <w:rPr>
          <w:rFonts w:hint="default" w:ascii="Times New Roman" w:hAnsi="Times New Roman" w:cs="Times New Roman"/>
          <w:sz w:val="24"/>
          <w:szCs w:val="24"/>
          <w:lang w:val="en-US" w:eastAsia="zh-CN"/>
        </w:rPr>
        <w:t xml:space="preserve"> mortality increased steadily between 1994 and 2019, with risks rising significantly with age [3</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 In South Korea, a nationwide cohort study found that long-term PM₂.₅ exposure was associated with higher HD mortality among middle-aged adults, with the strongest associations observed for heart failure–related deaths [3</w:t>
      </w:r>
      <w:r>
        <w:rPr>
          <w:rFonts w:hint="eastAsia" w:ascii="Times New Roman" w:hAnsi="Times New Roman" w:cs="Times New Roman"/>
          <w:sz w:val="24"/>
          <w:szCs w:val="24"/>
          <w:lang w:val="en-US" w:eastAsia="zh-CN"/>
        </w:rPr>
        <w:t>1</w:t>
      </w:r>
      <w:r>
        <w:rPr>
          <w:rFonts w:hint="default" w:ascii="Times New Roman" w:hAnsi="Times New Roman" w:cs="Times New Roman"/>
          <w:sz w:val="24"/>
          <w:szCs w:val="24"/>
          <w:lang w:val="en-US" w:eastAsia="zh-CN"/>
        </w:rPr>
        <w:t xml:space="preserve">]. Collectively, this body of evidence highlights the substantial public health burden of particulate matter pollution across diverse populations. </w:t>
      </w:r>
      <w:r>
        <w:rPr>
          <w:rFonts w:hint="default" w:ascii="Times New Roman" w:hAnsi="Times New Roman" w:cs="Times New Roman"/>
          <w:color w:val="70AD47" w:themeColor="accent6"/>
          <w:sz w:val="24"/>
          <w:szCs w:val="24"/>
          <w:lang w:val="en-US" w:eastAsia="zh-CN"/>
          <w14:textFill>
            <w14:solidFill>
              <w14:schemeClr w14:val="accent6"/>
            </w14:solidFill>
          </w14:textFill>
        </w:rPr>
        <w:t>In comparison, the present study not only confirmed the robustness of PM₂.₅ and PM₁₀ associations in a nationally representative Chinese sample, but also complements recent time-series evidence showing that short-term PM₁ exposure increases the risk of HD deaths, with approximately 5.7% of related deaths attributable to PM₁, and older adults being disproportionately affected [3</w:t>
      </w:r>
      <w:r>
        <w:rPr>
          <w:rFonts w:hint="eastAsia" w:ascii="Times New Roman" w:hAnsi="Times New Roman" w:cs="Times New Roman"/>
          <w:color w:val="70AD47" w:themeColor="accent6"/>
          <w:sz w:val="24"/>
          <w:szCs w:val="24"/>
          <w:lang w:val="en-US" w:eastAsia="zh-CN"/>
          <w14:textFill>
            <w14:solidFill>
              <w14:schemeClr w14:val="accent6"/>
            </w14:solidFill>
          </w14:textFill>
        </w:rPr>
        <w:t>2</w:t>
      </w:r>
      <w:r>
        <w:rPr>
          <w:rFonts w:hint="default" w:ascii="Times New Roman" w:hAnsi="Times New Roman" w:cs="Times New Roman"/>
          <w:color w:val="70AD47" w:themeColor="accent6"/>
          <w:sz w:val="24"/>
          <w:szCs w:val="24"/>
          <w:lang w:val="en-US" w:eastAsia="zh-CN"/>
          <w14:textFill>
            <w14:solidFill>
              <w14:schemeClr w14:val="accent6"/>
            </w14:solidFill>
          </w14:textFill>
        </w:rPr>
        <w:t>]. Taken together, these short-term and long-term findings suggest that PM₁ may play an important role in the development of HD.</w:t>
      </w:r>
    </w:p>
    <w:p>
      <w:pPr>
        <w:widowControl w:val="0"/>
        <w:numPr>
          <w:ilvl w:val="0"/>
          <w:numId w:val="0"/>
        </w:numPr>
        <w:spacing w:line="480" w:lineRule="auto"/>
        <w:jc w:val="left"/>
        <w:rPr>
          <w:rFonts w:hint="default" w:ascii="Times New Roman" w:hAnsi="Times New Roman" w:cs="Times New Roman"/>
          <w:sz w:val="24"/>
          <w:szCs w:val="24"/>
          <w:lang w:val="en-US" w:eastAsia="zh-CN"/>
        </w:rPr>
      </w:pPr>
    </w:p>
    <w:p>
      <w:pPr>
        <w:widowControl w:val="0"/>
        <w:numPr>
          <w:ilvl w:val="0"/>
          <w:numId w:val="0"/>
        </w:numPr>
        <w:spacing w:line="480" w:lineRule="auto"/>
        <w:jc w:val="left"/>
        <w:rPr>
          <w:rFonts w:hint="default" w:ascii="Times New Roman" w:hAnsi="Times New Roman" w:cs="Times New Roman"/>
          <w:color w:val="4472C4" w:themeColor="accent5"/>
          <w:sz w:val="24"/>
          <w:szCs w:val="24"/>
          <w:lang w:val="en-US" w:eastAsia="zh-CN"/>
          <w14:textFill>
            <w14:solidFill>
              <w14:schemeClr w14:val="accent5"/>
            </w14:solidFill>
          </w14:textFill>
        </w:rPr>
      </w:pPr>
      <w:r>
        <w:rPr>
          <w:rFonts w:hint="default" w:ascii="Times New Roman" w:hAnsi="Times New Roman" w:cs="Times New Roman"/>
          <w:color w:val="4472C4" w:themeColor="accent5"/>
          <w:sz w:val="24"/>
          <w:szCs w:val="24"/>
          <w:lang w:val="en-US" w:eastAsia="zh-CN"/>
          <w14:textFill>
            <w14:solidFill>
              <w14:schemeClr w14:val="accent5"/>
            </w14:solidFill>
          </w14:textFill>
        </w:rPr>
        <w:t>In contrast, the associations of NO₂ and O₃ were less consistent in this study. NO₂ was related to cardiac risk in single-pollutant models, but its effects were unstable in multi-pollutant models. Such inconsistencies were not observed in the European ELAPSE Project, which found that NO₂ remained associated with cardiovascular outcomes even at low concentrations and retained significance in multi-pollutant models [3</w:t>
      </w:r>
      <w:r>
        <w:rPr>
          <w:rFonts w:hint="eastAsia" w:ascii="Times New Roman" w:hAnsi="Times New Roman" w:cs="Times New Roman"/>
          <w:color w:val="4472C4" w:themeColor="accent5"/>
          <w:sz w:val="24"/>
          <w:szCs w:val="24"/>
          <w:lang w:val="en-US" w:eastAsia="zh-CN"/>
          <w14:textFill>
            <w14:solidFill>
              <w14:schemeClr w14:val="accent5"/>
            </w14:solidFill>
          </w14:textFill>
        </w:rPr>
        <w:t>3</w:t>
      </w:r>
      <w:r>
        <w:rPr>
          <w:rFonts w:hint="default" w:ascii="Times New Roman" w:hAnsi="Times New Roman" w:cs="Times New Roman"/>
          <w:color w:val="4472C4" w:themeColor="accent5"/>
          <w:sz w:val="24"/>
          <w:szCs w:val="24"/>
          <w:lang w:val="en-US" w:eastAsia="zh-CN"/>
          <w14:textFill>
            <w14:solidFill>
              <w14:schemeClr w14:val="accent5"/>
            </w14:solidFill>
          </w14:textFill>
        </w:rPr>
        <w:t>], suggesting that differences in exposure assessment and model specification may partly explain the divergent findings. Results for O₃ were likewise unstable, showing inverse associations in some models but a reversal of direction after adjustment for exposure windows. The ELAPSE Project also reported that associations between O₃ and mortality were substantially attenuated in multi-pollutant models [3</w:t>
      </w:r>
      <w:r>
        <w:rPr>
          <w:rFonts w:hint="eastAsia" w:ascii="Times New Roman" w:hAnsi="Times New Roman" w:cs="Times New Roman"/>
          <w:color w:val="4472C4" w:themeColor="accent5"/>
          <w:sz w:val="24"/>
          <w:szCs w:val="24"/>
          <w:lang w:val="en-US" w:eastAsia="zh-CN"/>
          <w14:textFill>
            <w14:solidFill>
              <w14:schemeClr w14:val="accent5"/>
            </w14:solidFill>
          </w14:textFill>
        </w:rPr>
        <w:t>3</w:t>
      </w:r>
      <w:r>
        <w:rPr>
          <w:rFonts w:hint="default" w:ascii="Times New Roman" w:hAnsi="Times New Roman" w:cs="Times New Roman"/>
          <w:color w:val="4472C4" w:themeColor="accent5"/>
          <w:sz w:val="24"/>
          <w:szCs w:val="24"/>
          <w:lang w:val="en-US" w:eastAsia="zh-CN"/>
          <w14:textFill>
            <w14:solidFill>
              <w14:schemeClr w14:val="accent5"/>
            </w14:solidFill>
          </w14:textFill>
        </w:rPr>
        <w:t>]. Additionally, a cross-sectional imaging study among healthy Canadian adults found that NO₂ was associated with reduced carotid wall volume (CWV), whereas O₃ was significantly associated with increased CWV [3</w:t>
      </w:r>
      <w:r>
        <w:rPr>
          <w:rFonts w:hint="eastAsia" w:ascii="Times New Roman" w:hAnsi="Times New Roman" w:cs="Times New Roman"/>
          <w:color w:val="4472C4" w:themeColor="accent5"/>
          <w:sz w:val="24"/>
          <w:szCs w:val="24"/>
          <w:lang w:val="en-US" w:eastAsia="zh-CN"/>
          <w14:textFill>
            <w14:solidFill>
              <w14:schemeClr w14:val="accent5"/>
            </w14:solidFill>
          </w14:textFill>
        </w:rPr>
        <w:t>4</w:t>
      </w:r>
      <w:r>
        <w:rPr>
          <w:rFonts w:hint="default" w:ascii="Times New Roman" w:hAnsi="Times New Roman" w:cs="Times New Roman"/>
          <w:color w:val="4472C4" w:themeColor="accent5"/>
          <w:sz w:val="24"/>
          <w:szCs w:val="24"/>
          <w:lang w:val="en-US" w:eastAsia="zh-CN"/>
          <w14:textFill>
            <w14:solidFill>
              <w14:schemeClr w14:val="accent5"/>
            </w14:solidFill>
          </w14:textFill>
        </w:rPr>
        <w:t>], suggesting that gaseous pollutants may affect subclinical atherosclerosis through complex biological pathways. Taken together, our findings and prior evidence suggest that the health effects of NO₂ and O₃ remain uncertain, highlighting the need for future investigations that incorporate more refined individual-level exposure assessments and optimized multi-pollutant modeling strategies. Notably, the inverse associations of O₃ observed in multi-pollutant models should not be construed as protective effects, but are more likely to represent artifacts driven by exposure correlation structures or model specifications.</w:t>
      </w:r>
    </w:p>
    <w:p>
      <w:pPr>
        <w:widowControl w:val="0"/>
        <w:numPr>
          <w:ilvl w:val="0"/>
          <w:numId w:val="0"/>
        </w:numPr>
        <w:spacing w:line="480" w:lineRule="auto"/>
        <w:jc w:val="left"/>
        <w:rPr>
          <w:rFonts w:hint="default" w:ascii="Times New Roman" w:hAnsi="Times New Roman" w:cs="Times New Roman"/>
          <w:sz w:val="24"/>
          <w:szCs w:val="24"/>
          <w:lang w:val="en-US" w:eastAsia="zh-CN"/>
        </w:rPr>
      </w:pPr>
    </w:p>
    <w:p>
      <w:pPr>
        <w:widowControl w:val="0"/>
        <w:numPr>
          <w:ilvl w:val="0"/>
          <w:numId w:val="0"/>
        </w:numPr>
        <w:spacing w:line="480" w:lineRule="auto"/>
        <w:jc w:val="left"/>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xml:space="preserve">Beyond epidemiological evidence, a growing body of reviews and experimental studies has elucidated the potential mechanisms linking air pollution to </w:t>
      </w:r>
      <w:r>
        <w:rPr>
          <w:rFonts w:hint="eastAsia" w:ascii="Times New Roman" w:hAnsi="Times New Roman" w:cs="Times New Roman"/>
          <w:sz w:val="24"/>
          <w:szCs w:val="24"/>
          <w:lang w:val="en-US" w:eastAsia="zh-CN"/>
        </w:rPr>
        <w:t>HD</w:t>
      </w:r>
      <w:r>
        <w:rPr>
          <w:rFonts w:hint="default" w:ascii="Times New Roman" w:hAnsi="Times New Roman" w:cs="Times New Roman"/>
          <w:sz w:val="24"/>
          <w:szCs w:val="24"/>
          <w:lang w:val="en-US" w:eastAsia="zh-CN"/>
        </w:rPr>
        <w:t>. Long-term PM₂.₅ exposure has been shown to elevate the risk of acute coronary syndrome, myocardial infarction, arrhythmias, and heart failure through oxidative stress, systemic inflammation, endothelial dysfunction, autonomic imbalance, and thrombogenesis [</w:t>
      </w:r>
      <w:r>
        <w:rPr>
          <w:rFonts w:hint="eastAsia" w:ascii="Times New Roman" w:hAnsi="Times New Roman" w:cs="Times New Roman"/>
          <w:sz w:val="24"/>
          <w:szCs w:val="24"/>
          <w:lang w:val="en-US" w:eastAsia="zh-CN"/>
        </w:rPr>
        <w:t>29</w:t>
      </w:r>
      <w:r>
        <w:rPr>
          <w:rFonts w:hint="default" w:ascii="Times New Roman" w:hAnsi="Times New Roman" w:cs="Times New Roman"/>
          <w:sz w:val="24"/>
          <w:szCs w:val="24"/>
          <w:lang w:val="en-US" w:eastAsia="zh-CN"/>
        </w:rPr>
        <w:t>,3</w:t>
      </w:r>
      <w:r>
        <w:rPr>
          <w:rFonts w:hint="eastAsia" w:ascii="Times New Roman" w:hAnsi="Times New Roman" w:cs="Times New Roman"/>
          <w:sz w:val="24"/>
          <w:szCs w:val="24"/>
          <w:lang w:val="en-US" w:eastAsia="zh-CN"/>
        </w:rPr>
        <w:t>5</w:t>
      </w:r>
      <w:r>
        <w:rPr>
          <w:rFonts w:hint="default" w:ascii="Times New Roman" w:hAnsi="Times New Roman" w:cs="Times New Roman"/>
          <w:sz w:val="24"/>
          <w:szCs w:val="24"/>
          <w:lang w:val="en-US" w:eastAsia="zh-CN"/>
        </w:rPr>
        <w:t>–3</w:t>
      </w:r>
      <w:r>
        <w:rPr>
          <w:rFonts w:hint="eastAsia" w:ascii="Times New Roman" w:hAnsi="Times New Roman" w:cs="Times New Roman"/>
          <w:sz w:val="24"/>
          <w:szCs w:val="24"/>
          <w:lang w:val="en-US" w:eastAsia="zh-CN"/>
        </w:rPr>
        <w:t>7</w:t>
      </w:r>
      <w:r>
        <w:rPr>
          <w:rFonts w:hint="default" w:ascii="Times New Roman" w:hAnsi="Times New Roman" w:cs="Times New Roman"/>
          <w:sz w:val="24"/>
          <w:szCs w:val="24"/>
          <w:lang w:val="en-US" w:eastAsia="zh-CN"/>
        </w:rPr>
        <w:t>]. Animal studies further demonstrate that chronic PM₂.₅ exposure induces myocardial structural damage and inflammatory responses, accompanied by increased expression of ICAM-1, CRP, and other inflammation-related proteins [3</w:t>
      </w:r>
      <w:r>
        <w:rPr>
          <w:rFonts w:hint="eastAsia" w:ascii="Times New Roman" w:hAnsi="Times New Roman" w:cs="Times New Roman"/>
          <w:sz w:val="24"/>
          <w:szCs w:val="24"/>
          <w:lang w:val="en-US" w:eastAsia="zh-CN"/>
        </w:rPr>
        <w:t>8</w:t>
      </w:r>
      <w:r>
        <w:rPr>
          <w:rFonts w:hint="default" w:ascii="Times New Roman" w:hAnsi="Times New Roman" w:cs="Times New Roman"/>
          <w:sz w:val="24"/>
          <w:szCs w:val="24"/>
          <w:lang w:val="en-US" w:eastAsia="zh-CN"/>
        </w:rPr>
        <w:t>]; nanoparticles may also deposit at vascular lesions, accelerating local inflammation and atherosclerosis [</w:t>
      </w:r>
      <w:r>
        <w:rPr>
          <w:rFonts w:hint="eastAsia" w:ascii="Times New Roman" w:hAnsi="Times New Roman" w:cs="Times New Roman"/>
          <w:sz w:val="24"/>
          <w:szCs w:val="24"/>
          <w:lang w:val="en-US" w:eastAsia="zh-CN"/>
        </w:rPr>
        <w:t>39</w:t>
      </w:r>
      <w:r>
        <w:rPr>
          <w:rFonts w:hint="default" w:ascii="Times New Roman" w:hAnsi="Times New Roman" w:cs="Times New Roman"/>
          <w:sz w:val="24"/>
          <w:szCs w:val="24"/>
          <w:lang w:val="en-US" w:eastAsia="zh-CN"/>
        </w:rPr>
        <w:t>]. At the molecular level, air pollution promotes reactive oxygen species (ROS) generation and activates key signaling pathways—including Toll-like receptors (TLRs), NF-κB, Nrf2, and the aryl hydrocarbon receptor (AhR)—thereby triggering inflammatory and oxidative stress responses [4</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–4</w:t>
      </w:r>
      <w:r>
        <w:rPr>
          <w:rFonts w:hint="eastAsia" w:ascii="Times New Roman" w:hAnsi="Times New Roman" w:cs="Times New Roman"/>
          <w:sz w:val="24"/>
          <w:szCs w:val="24"/>
          <w:lang w:val="en-US" w:eastAsia="zh-CN"/>
        </w:rPr>
        <w:t>3</w:t>
      </w:r>
      <w:r>
        <w:rPr>
          <w:rFonts w:hint="default" w:ascii="Times New Roman" w:hAnsi="Times New Roman" w:cs="Times New Roman"/>
          <w:sz w:val="24"/>
          <w:szCs w:val="24"/>
          <w:lang w:val="en-US" w:eastAsia="zh-CN"/>
        </w:rPr>
        <w:t>]. These processes impair vascular relaxation, reduce heart rate variability [4</w:t>
      </w:r>
      <w:r>
        <w:rPr>
          <w:rFonts w:hint="eastAsia" w:ascii="Times New Roman" w:hAnsi="Times New Roman" w:cs="Times New Roman"/>
          <w:sz w:val="24"/>
          <w:szCs w:val="24"/>
          <w:lang w:val="en-US" w:eastAsia="zh-CN"/>
        </w:rPr>
        <w:t>4</w:t>
      </w:r>
      <w:r>
        <w:rPr>
          <w:rFonts w:hint="default" w:ascii="Times New Roman" w:hAnsi="Times New Roman" w:cs="Times New Roman"/>
          <w:sz w:val="24"/>
          <w:szCs w:val="24"/>
          <w:lang w:val="en-US" w:eastAsia="zh-CN"/>
        </w:rPr>
        <w:t>], and are linked to catecholamine dysregulation and sympathetic activation [4</w:t>
      </w:r>
      <w:r>
        <w:rPr>
          <w:rFonts w:hint="eastAsia" w:ascii="Times New Roman" w:hAnsi="Times New Roman" w:cs="Times New Roman"/>
          <w:sz w:val="24"/>
          <w:szCs w:val="24"/>
          <w:lang w:val="en-US" w:eastAsia="zh-CN"/>
        </w:rPr>
        <w:t>5</w:t>
      </w:r>
      <w:r>
        <w:rPr>
          <w:rFonts w:hint="default" w:ascii="Times New Roman" w:hAnsi="Times New Roman" w:cs="Times New Roman"/>
          <w:sz w:val="24"/>
          <w:szCs w:val="24"/>
          <w:lang w:val="en-US" w:eastAsia="zh-CN"/>
        </w:rPr>
        <w:t>], ultimately heightening the risk of arrhythmia and thrombosis [3</w:t>
      </w:r>
      <w:r>
        <w:rPr>
          <w:rFonts w:hint="eastAsia" w:ascii="Times New Roman" w:hAnsi="Times New Roman" w:cs="Times New Roman"/>
          <w:sz w:val="24"/>
          <w:szCs w:val="24"/>
          <w:lang w:val="en-US" w:eastAsia="zh-CN"/>
        </w:rPr>
        <w:t>7</w:t>
      </w:r>
      <w:r>
        <w:rPr>
          <w:rFonts w:hint="default" w:ascii="Times New Roman" w:hAnsi="Times New Roman" w:cs="Times New Roman"/>
          <w:sz w:val="24"/>
          <w:szCs w:val="24"/>
          <w:lang w:val="en-US" w:eastAsia="zh-CN"/>
        </w:rPr>
        <w:t>,4</w:t>
      </w:r>
      <w:r>
        <w:rPr>
          <w:rFonts w:hint="eastAsia" w:ascii="Times New Roman" w:hAnsi="Times New Roman" w:cs="Times New Roman"/>
          <w:sz w:val="24"/>
          <w:szCs w:val="24"/>
          <w:lang w:val="en-US" w:eastAsia="zh-CN"/>
        </w:rPr>
        <w:t>6</w:t>
      </w:r>
      <w:r>
        <w:rPr>
          <w:rFonts w:hint="default" w:ascii="Times New Roman" w:hAnsi="Times New Roman" w:cs="Times New Roman"/>
          <w:sz w:val="24"/>
          <w:szCs w:val="24"/>
          <w:lang w:val="en-US" w:eastAsia="zh-CN"/>
        </w:rPr>
        <w:t>]. Additional mechanisms include impaired HDL functionality [4</w:t>
      </w:r>
      <w:r>
        <w:rPr>
          <w:rFonts w:hint="eastAsia" w:ascii="Times New Roman" w:hAnsi="Times New Roman" w:cs="Times New Roman"/>
          <w:sz w:val="24"/>
          <w:szCs w:val="24"/>
          <w:lang w:val="en-US" w:eastAsia="zh-CN"/>
        </w:rPr>
        <w:t>7</w:t>
      </w:r>
      <w:r>
        <w:rPr>
          <w:rFonts w:hint="default" w:ascii="Times New Roman" w:hAnsi="Times New Roman" w:cs="Times New Roman"/>
          <w:sz w:val="24"/>
          <w:szCs w:val="24"/>
          <w:lang w:val="en-US" w:eastAsia="zh-CN"/>
        </w:rPr>
        <w:t>], epigenetic modifications [4</w:t>
      </w:r>
      <w:r>
        <w:rPr>
          <w:rFonts w:hint="eastAsia" w:ascii="Times New Roman" w:hAnsi="Times New Roman" w:cs="Times New Roman"/>
          <w:sz w:val="24"/>
          <w:szCs w:val="24"/>
          <w:lang w:val="en-US" w:eastAsia="zh-CN"/>
        </w:rPr>
        <w:t>8</w:t>
      </w:r>
      <w:r>
        <w:rPr>
          <w:rFonts w:hint="default" w:ascii="Times New Roman" w:hAnsi="Times New Roman" w:cs="Times New Roman"/>
          <w:sz w:val="24"/>
          <w:szCs w:val="24"/>
          <w:lang w:val="en-US" w:eastAsia="zh-CN"/>
        </w:rPr>
        <w:t>], and immune activation, while emerging evidence suggests that oxidative and inflammatory pathways may also contribute to metabolic syndrome and arteriosclerosis [</w:t>
      </w:r>
      <w:r>
        <w:rPr>
          <w:rFonts w:hint="eastAsia" w:ascii="Times New Roman" w:hAnsi="Times New Roman" w:cs="Times New Roman"/>
          <w:sz w:val="24"/>
          <w:szCs w:val="24"/>
          <w:lang w:val="en-US" w:eastAsia="zh-CN"/>
        </w:rPr>
        <w:t>49</w:t>
      </w:r>
      <w:r>
        <w:rPr>
          <w:rFonts w:hint="default" w:ascii="Times New Roman" w:hAnsi="Times New Roman" w:cs="Times New Roman"/>
          <w:sz w:val="24"/>
          <w:szCs w:val="24"/>
          <w:lang w:val="en-US" w:eastAsia="zh-CN"/>
        </w:rPr>
        <w:t>,5</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 xml:space="preserve">]. Taken together, evidence from epidemiological, animal, and mechanistic studies strongly supports the role of particulate and gaseous pollutants in the development of </w:t>
      </w:r>
      <w:r>
        <w:rPr>
          <w:rFonts w:hint="eastAsia" w:ascii="Times New Roman" w:hAnsi="Times New Roman" w:cs="Times New Roman"/>
          <w:sz w:val="24"/>
          <w:szCs w:val="24"/>
          <w:lang w:val="en-US" w:eastAsia="zh-CN"/>
        </w:rPr>
        <w:t>HD</w:t>
      </w:r>
      <w:r>
        <w:rPr>
          <w:rFonts w:hint="default" w:ascii="Times New Roman" w:hAnsi="Times New Roman" w:cs="Times New Roman"/>
          <w:sz w:val="24"/>
          <w:szCs w:val="24"/>
          <w:lang w:val="en-US" w:eastAsia="zh-CN"/>
        </w:rPr>
        <w:t>, providing robust biological plausibility for the present findings.</w:t>
      </w:r>
    </w:p>
    <w:p>
      <w:pPr>
        <w:widowControl w:val="0"/>
        <w:numPr>
          <w:ilvl w:val="0"/>
          <w:numId w:val="0"/>
        </w:numPr>
        <w:spacing w:line="480" w:lineRule="auto"/>
        <w:jc w:val="left"/>
        <w:rPr>
          <w:rFonts w:hint="default" w:ascii="Times New Roman" w:hAnsi="Times New Roman" w:cs="Times New Roman"/>
          <w:sz w:val="24"/>
          <w:szCs w:val="24"/>
          <w:lang w:val="en-US" w:eastAsia="zh-CN"/>
        </w:rPr>
      </w:pPr>
    </w:p>
    <w:p>
      <w:pPr>
        <w:widowControl w:val="0"/>
        <w:numPr>
          <w:ilvl w:val="0"/>
          <w:numId w:val="0"/>
        </w:numPr>
        <w:spacing w:line="480" w:lineRule="auto"/>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4472C4" w:themeColor="accent5"/>
          <w:sz w:val="24"/>
          <w:szCs w:val="24"/>
          <w:lang w:val="en-US" w:eastAsia="zh-CN"/>
          <w14:textFill>
            <w14:solidFill>
              <w14:schemeClr w14:val="accent5"/>
            </w14:solidFill>
          </w14:textFill>
        </w:rPr>
        <w:t xml:space="preserve">Further subgroup analyses suggested that women, individuals with lower education, and rural residents were at relatively higher risk of </w:t>
      </w:r>
      <w:r>
        <w:rPr>
          <w:rFonts w:hint="eastAsia" w:ascii="Times New Roman" w:hAnsi="Times New Roman" w:cs="Times New Roman"/>
          <w:color w:val="4472C4" w:themeColor="accent5"/>
          <w:sz w:val="24"/>
          <w:szCs w:val="24"/>
          <w:lang w:val="en-US" w:eastAsia="zh-CN"/>
          <w14:textFill>
            <w14:solidFill>
              <w14:schemeClr w14:val="accent5"/>
            </w14:solidFill>
          </w14:textFill>
        </w:rPr>
        <w:t>HD</w:t>
      </w:r>
      <w:r>
        <w:rPr>
          <w:rFonts w:hint="default" w:ascii="Times New Roman" w:hAnsi="Times New Roman" w:cs="Times New Roman"/>
          <w:color w:val="4472C4" w:themeColor="accent5"/>
          <w:sz w:val="24"/>
          <w:szCs w:val="24"/>
          <w:lang w:val="en-US" w:eastAsia="zh-CN"/>
          <w14:textFill>
            <w14:solidFill>
              <w14:schemeClr w14:val="accent5"/>
            </w14:solidFill>
          </w14:textFill>
        </w:rPr>
        <w:t xml:space="preserve"> associated with PM exposure. Although the interaction effects were not statistically significant, these trends point to potential population susceptibility or differences in environmental exposure. Prior studies have shown that women may be more vulnerable to pollution-related damage through oxidative stress and one-carbon metabolic pathways [5</w:t>
      </w:r>
      <w:r>
        <w:rPr>
          <w:rFonts w:hint="eastAsia" w:ascii="Times New Roman" w:hAnsi="Times New Roman" w:cs="Times New Roman"/>
          <w:color w:val="4472C4" w:themeColor="accent5"/>
          <w:sz w:val="24"/>
          <w:szCs w:val="24"/>
          <w:lang w:val="en-US" w:eastAsia="zh-CN"/>
          <w14:textFill>
            <w14:solidFill>
              <w14:schemeClr w14:val="accent5"/>
            </w14:solidFill>
          </w14:textFill>
        </w:rPr>
        <w:t>1</w:t>
      </w:r>
      <w:r>
        <w:rPr>
          <w:rFonts w:hint="default" w:ascii="Times New Roman" w:hAnsi="Times New Roman" w:cs="Times New Roman"/>
          <w:color w:val="4472C4" w:themeColor="accent5"/>
          <w:sz w:val="24"/>
          <w:szCs w:val="24"/>
          <w:lang w:val="en-US" w:eastAsia="zh-CN"/>
          <w14:textFill>
            <w14:solidFill>
              <w14:schemeClr w14:val="accent5"/>
            </w14:solidFill>
          </w14:textFill>
        </w:rPr>
        <w:t xml:space="preserve">]; residents of areas with inadequate environmental governance or persistently high pollution levels experience greater risks of </w:t>
      </w:r>
      <w:r>
        <w:rPr>
          <w:rFonts w:hint="eastAsia" w:ascii="Times New Roman" w:hAnsi="Times New Roman" w:cs="Times New Roman"/>
          <w:color w:val="4472C4" w:themeColor="accent5"/>
          <w:sz w:val="24"/>
          <w:szCs w:val="24"/>
          <w:lang w:val="en-US" w:eastAsia="zh-CN"/>
          <w14:textFill>
            <w14:solidFill>
              <w14:schemeClr w14:val="accent5"/>
            </w14:solidFill>
          </w14:textFill>
        </w:rPr>
        <w:t>HD</w:t>
      </w:r>
      <w:r>
        <w:rPr>
          <w:rFonts w:hint="default" w:ascii="Times New Roman" w:hAnsi="Times New Roman" w:cs="Times New Roman"/>
          <w:color w:val="4472C4" w:themeColor="accent5"/>
          <w:sz w:val="24"/>
          <w:szCs w:val="24"/>
          <w:lang w:val="en-US" w:eastAsia="zh-CN"/>
          <w14:textFill>
            <w14:solidFill>
              <w14:schemeClr w14:val="accent5"/>
            </w14:solidFill>
          </w14:textFill>
        </w:rPr>
        <w:t xml:space="preserve"> [5</w:t>
      </w:r>
      <w:r>
        <w:rPr>
          <w:rFonts w:hint="eastAsia" w:ascii="Times New Roman" w:hAnsi="Times New Roman" w:cs="Times New Roman"/>
          <w:color w:val="4472C4" w:themeColor="accent5"/>
          <w:sz w:val="24"/>
          <w:szCs w:val="24"/>
          <w:lang w:val="en-US" w:eastAsia="zh-CN"/>
          <w14:textFill>
            <w14:solidFill>
              <w14:schemeClr w14:val="accent5"/>
            </w14:solidFill>
          </w14:textFill>
        </w:rPr>
        <w:t>2</w:t>
      </w:r>
      <w:r>
        <w:rPr>
          <w:rFonts w:hint="default" w:ascii="Times New Roman" w:hAnsi="Times New Roman" w:cs="Times New Roman"/>
          <w:color w:val="4472C4" w:themeColor="accent5"/>
          <w:sz w:val="24"/>
          <w:szCs w:val="24"/>
          <w:lang w:val="en-US" w:eastAsia="zh-CN"/>
          <w14:textFill>
            <w14:solidFill>
              <w14:schemeClr w14:val="accent5"/>
            </w14:solidFill>
          </w14:textFill>
        </w:rPr>
        <w:t>]; and those with lower education and socioeconomic status often have limited health literacy and protective awareness, amplifying the adverse effects of pollution [5</w:t>
      </w:r>
      <w:r>
        <w:rPr>
          <w:rFonts w:hint="eastAsia" w:ascii="Times New Roman" w:hAnsi="Times New Roman" w:cs="Times New Roman"/>
          <w:color w:val="4472C4" w:themeColor="accent5"/>
          <w:sz w:val="24"/>
          <w:szCs w:val="24"/>
          <w:lang w:val="en-US" w:eastAsia="zh-CN"/>
          <w14:textFill>
            <w14:solidFill>
              <w14:schemeClr w14:val="accent5"/>
            </w14:solidFill>
          </w14:textFill>
        </w:rPr>
        <w:t>3</w:t>
      </w:r>
      <w:r>
        <w:rPr>
          <w:rFonts w:hint="default" w:ascii="Times New Roman" w:hAnsi="Times New Roman" w:cs="Times New Roman"/>
          <w:color w:val="4472C4" w:themeColor="accent5"/>
          <w:sz w:val="24"/>
          <w:szCs w:val="24"/>
          <w:lang w:val="en-US" w:eastAsia="zh-CN"/>
          <w14:textFill>
            <w14:solidFill>
              <w14:schemeClr w14:val="accent5"/>
            </w14:solidFill>
          </w14:textFill>
        </w:rPr>
        <w:t xml:space="preserve">]. </w:t>
      </w:r>
      <w:r>
        <w:rPr>
          <w:rFonts w:hint="default" w:ascii="Times New Roman" w:hAnsi="Times New Roman" w:cs="Times New Roman"/>
          <w:color w:val="C00000"/>
          <w:sz w:val="24"/>
          <w:szCs w:val="24"/>
          <w:lang w:val="en-US" w:eastAsia="zh-CN"/>
        </w:rPr>
        <w:t xml:space="preserve">These findings align with the stratified trends observed in this study and underscore the importance of considering population susceptibility in air pollution control and </w:t>
      </w:r>
      <w:r>
        <w:rPr>
          <w:rFonts w:hint="eastAsia" w:ascii="Times New Roman" w:hAnsi="Times New Roman" w:cs="Times New Roman"/>
          <w:color w:val="C00000"/>
          <w:sz w:val="24"/>
          <w:szCs w:val="24"/>
          <w:lang w:val="en-US" w:eastAsia="zh-CN"/>
        </w:rPr>
        <w:t>CVD</w:t>
      </w:r>
      <w:r>
        <w:rPr>
          <w:rFonts w:hint="default" w:ascii="Times New Roman" w:hAnsi="Times New Roman" w:cs="Times New Roman"/>
          <w:color w:val="C00000"/>
          <w:sz w:val="24"/>
          <w:szCs w:val="24"/>
          <w:lang w:val="en-US" w:eastAsia="zh-CN"/>
        </w:rPr>
        <w:t xml:space="preserve"> prevention to enable more targeted public health interventions.</w:t>
      </w:r>
      <w:r>
        <w:rPr>
          <w:rFonts w:hint="eastAsia" w:ascii="Times New Roman" w:hAnsi="Times New Roman" w:cs="Times New Roman"/>
          <w:color w:val="C00000"/>
          <w:sz w:val="24"/>
          <w:szCs w:val="24"/>
          <w:lang w:val="en-US" w:eastAsia="zh-CN"/>
        </w:rPr>
        <w:t xml:space="preserve"> </w:t>
      </w:r>
      <w:r>
        <w:rPr>
          <w:rFonts w:hint="default" w:ascii="Times New Roman" w:hAnsi="Times New Roman" w:cs="Times New Roman"/>
          <w:color w:val="C00000"/>
          <w:sz w:val="24"/>
          <w:szCs w:val="24"/>
          <w:lang w:val="en-US" w:eastAsia="zh-CN"/>
        </w:rPr>
        <w:t xml:space="preserve">On this basis, strengthening the transition to clean energy, vehicle emission control, and industrial pollution regulation is essential to reduce long-term exposure in high-risk populations and to mitigate the burden of </w:t>
      </w:r>
      <w:r>
        <w:rPr>
          <w:rFonts w:hint="eastAsia" w:ascii="Times New Roman" w:hAnsi="Times New Roman" w:cs="Times New Roman"/>
          <w:color w:val="C00000"/>
          <w:sz w:val="24"/>
          <w:szCs w:val="24"/>
          <w:lang w:val="en-US" w:eastAsia="zh-CN"/>
        </w:rPr>
        <w:t>CVD</w:t>
      </w:r>
      <w:r>
        <w:rPr>
          <w:rFonts w:hint="default" w:ascii="Times New Roman" w:hAnsi="Times New Roman" w:cs="Times New Roman"/>
          <w:color w:val="C00000"/>
          <w:sz w:val="24"/>
          <w:szCs w:val="24"/>
          <w:lang w:val="en-US" w:eastAsia="zh-CN"/>
        </w:rPr>
        <w:t>.</w:t>
      </w:r>
      <w:r>
        <w:rPr>
          <w:rFonts w:hint="eastAsia" w:ascii="Times New Roman" w:hAnsi="Times New Roman" w:cs="Times New Roman"/>
          <w:color w:val="C00000"/>
          <w:sz w:val="24"/>
          <w:szCs w:val="24"/>
          <w:lang w:val="en-US" w:eastAsia="zh-CN"/>
        </w:rPr>
        <w:t xml:space="preserve"> </w:t>
      </w:r>
      <w:r>
        <w:rPr>
          <w:rFonts w:hint="default" w:ascii="Times New Roman" w:hAnsi="Times New Roman" w:cs="Times New Roman"/>
          <w:color w:val="4472C4" w:themeColor="accent5"/>
          <w:sz w:val="24"/>
          <w:szCs w:val="24"/>
          <w:lang w:val="en-US" w:eastAsia="zh-CN"/>
          <w14:textFill>
            <w14:solidFill>
              <w14:schemeClr w14:val="accent5"/>
            </w14:solidFill>
          </w14:textFill>
        </w:rPr>
        <w:t xml:space="preserve">Notably, a recent Chinese cohort study of more than 5.8 million participants confirmed the association between air pollution and </w:t>
      </w:r>
      <w:r>
        <w:rPr>
          <w:rFonts w:hint="eastAsia" w:ascii="Times New Roman" w:hAnsi="Times New Roman" w:cs="Times New Roman"/>
          <w:color w:val="4472C4" w:themeColor="accent5"/>
          <w:sz w:val="24"/>
          <w:szCs w:val="24"/>
          <w:lang w:val="en-US" w:eastAsia="zh-CN"/>
          <w14:textFill>
            <w14:solidFill>
              <w14:schemeClr w14:val="accent5"/>
            </w14:solidFill>
          </w14:textFill>
        </w:rPr>
        <w:t>CVD</w:t>
      </w:r>
      <w:r>
        <w:rPr>
          <w:rFonts w:hint="default" w:ascii="Times New Roman" w:hAnsi="Times New Roman" w:cs="Times New Roman"/>
          <w:color w:val="4472C4" w:themeColor="accent5"/>
          <w:sz w:val="24"/>
          <w:szCs w:val="24"/>
          <w:lang w:val="en-US" w:eastAsia="zh-CN"/>
          <w14:textFill>
            <w14:solidFill>
              <w14:schemeClr w14:val="accent5"/>
            </w14:solidFill>
          </w14:textFill>
        </w:rPr>
        <w:t xml:space="preserve"> and emphasized the influence of lifestyle factors [</w:t>
      </w:r>
      <w:r>
        <w:rPr>
          <w:rFonts w:hint="eastAsia" w:ascii="Times New Roman" w:hAnsi="Times New Roman" w:cs="Times New Roman"/>
          <w:color w:val="4472C4" w:themeColor="accent5"/>
          <w:sz w:val="24"/>
          <w:szCs w:val="24"/>
          <w:lang w:val="en-US" w:eastAsia="zh-CN"/>
          <w14:textFill>
            <w14:solidFill>
              <w14:schemeClr w14:val="accent5"/>
            </w14:solidFill>
          </w14:textFill>
        </w:rPr>
        <w:t>54</w:t>
      </w:r>
      <w:r>
        <w:rPr>
          <w:rFonts w:hint="default" w:ascii="Times New Roman" w:hAnsi="Times New Roman" w:cs="Times New Roman"/>
          <w:color w:val="4472C4" w:themeColor="accent5"/>
          <w:sz w:val="24"/>
          <w:szCs w:val="24"/>
          <w:lang w:val="en-US" w:eastAsia="zh-CN"/>
          <w14:textFill>
            <w14:solidFill>
              <w14:schemeClr w14:val="accent5"/>
            </w14:solidFill>
          </w14:textFill>
        </w:rPr>
        <w:t>]. Although more modest in scale, our study focuses on middle-aged and older adults, incorporates PM₁ exposure, and employs rigorous sensitivity analyses, thereby providing complementary evidence to the existing literature.</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Although some pollutant–pollutant interaction terms reached statistical significance in exploratory analyses, their effect sizes were negligible (hazard ratios close to 1), lacking biological or clinical relevance. Therefore, the core conclusions of this study do not rely on these interaction results but rather focus on the robust associations between long-term single-pollutant exposures and </w:t>
      </w:r>
      <w:r>
        <w:rPr>
          <w:rFonts w:hint="eastAsia" w:ascii="Times New Roman" w:hAnsi="Times New Roman" w:cs="Times New Roman"/>
          <w:color w:val="000000" w:themeColor="text1"/>
          <w:sz w:val="24"/>
          <w:szCs w:val="24"/>
          <w:lang w:val="en-US" w:eastAsia="zh-CN"/>
          <w14:textFill>
            <w14:solidFill>
              <w14:schemeClr w14:val="tx1"/>
            </w14:solidFill>
          </w14:textFill>
        </w:rPr>
        <w:t>HD</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risk.</w:t>
      </w:r>
    </w:p>
    <w:p>
      <w:pPr>
        <w:widowControl w:val="0"/>
        <w:numPr>
          <w:ilvl w:val="0"/>
          <w:numId w:val="0"/>
        </w:numPr>
        <w:spacing w:line="480" w:lineRule="auto"/>
        <w:jc w:val="left"/>
        <w:rPr>
          <w:rFonts w:hint="default" w:ascii="Times New Roman" w:hAnsi="Times New Roman" w:cs="Times New Roman"/>
          <w:sz w:val="24"/>
          <w:szCs w:val="24"/>
          <w:lang w:val="en-US" w:eastAsia="zh-CN"/>
        </w:rPr>
      </w:pPr>
    </w:p>
    <w:p>
      <w:pPr>
        <w:widowControl w:val="0"/>
        <w:numPr>
          <w:ilvl w:val="0"/>
          <w:numId w:val="0"/>
        </w:numPr>
        <w:spacing w:line="480" w:lineRule="auto"/>
        <w:jc w:val="left"/>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5</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b/>
          <w:bCs/>
          <w:sz w:val="24"/>
          <w:szCs w:val="24"/>
          <w:lang w:val="en-US" w:eastAsia="zh-CN"/>
        </w:rPr>
        <w:t>Strengths and Limitations</w:t>
      </w:r>
    </w:p>
    <w:p>
      <w:pPr>
        <w:widowControl w:val="0"/>
        <w:numPr>
          <w:ilvl w:val="0"/>
          <w:numId w:val="0"/>
        </w:numPr>
        <w:spacing w:line="480" w:lineRule="auto"/>
        <w:jc w:val="left"/>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xml:space="preserve">Drawing on a nationally representative cohort, this study systematically examined the associations of PM₂.₅, PM₁₀, and PM₁ exposure with </w:t>
      </w:r>
      <w:r>
        <w:rPr>
          <w:rFonts w:hint="eastAsia" w:ascii="Times New Roman" w:hAnsi="Times New Roman" w:cs="Times New Roman"/>
          <w:sz w:val="24"/>
          <w:szCs w:val="24"/>
          <w:lang w:val="en-US" w:eastAsia="zh-CN"/>
        </w:rPr>
        <w:t>HD</w:t>
      </w:r>
      <w:r>
        <w:rPr>
          <w:rFonts w:hint="default" w:ascii="Times New Roman" w:hAnsi="Times New Roman" w:cs="Times New Roman"/>
          <w:sz w:val="24"/>
          <w:szCs w:val="24"/>
          <w:lang w:val="en-US" w:eastAsia="zh-CN"/>
        </w:rPr>
        <w:t xml:space="preserve"> risk and confirmed the robustness of the results through multi-pollutant models and sensitivity analyses. Subgroup analyses indicated that women, rural residents, and individuals with lower education may face elevated risks, providing valuable insights for identifying susceptible populations. Notably, this study provides nationwide epidemiological evidence on PM₁, contributing to a deeper understanding of the relationship between particulate matter and </w:t>
      </w:r>
      <w:r>
        <w:rPr>
          <w:rFonts w:hint="eastAsia" w:ascii="Times New Roman" w:hAnsi="Times New Roman" w:cs="Times New Roman"/>
          <w:sz w:val="24"/>
          <w:szCs w:val="24"/>
          <w:lang w:val="en-US" w:eastAsia="zh-CN"/>
        </w:rPr>
        <w:t>HD</w:t>
      </w:r>
      <w:r>
        <w:rPr>
          <w:rFonts w:hint="default" w:ascii="Times New Roman" w:hAnsi="Times New Roman" w:cs="Times New Roman"/>
          <w:sz w:val="24"/>
          <w:szCs w:val="24"/>
          <w:lang w:val="en-US" w:eastAsia="zh-CN"/>
        </w:rPr>
        <w:t>.</w:t>
      </w:r>
    </w:p>
    <w:p>
      <w:pPr>
        <w:widowControl w:val="0"/>
        <w:numPr>
          <w:ilvl w:val="0"/>
          <w:numId w:val="0"/>
        </w:numPr>
        <w:spacing w:line="480" w:lineRule="auto"/>
        <w:jc w:val="left"/>
        <w:rPr>
          <w:rFonts w:hint="default" w:ascii="Times New Roman" w:hAnsi="Times New Roman" w:cs="Times New Roman"/>
          <w:sz w:val="24"/>
          <w:szCs w:val="24"/>
          <w:lang w:val="en-US" w:eastAsia="zh-CN"/>
        </w:rPr>
      </w:pPr>
    </w:p>
    <w:p>
      <w:pPr>
        <w:widowControl w:val="0"/>
        <w:numPr>
          <w:ilvl w:val="0"/>
          <w:numId w:val="0"/>
        </w:numPr>
        <w:spacing w:line="480" w:lineRule="auto"/>
        <w:jc w:val="left"/>
        <w:rPr>
          <w:rFonts w:hint="default" w:ascii="Times New Roman" w:hAnsi="Times New Roman" w:cs="Times New Roman"/>
          <w:color w:val="70AD47" w:themeColor="accent6"/>
          <w:sz w:val="24"/>
          <w:szCs w:val="24"/>
          <w:lang w:val="en-US" w:eastAsia="zh-CN"/>
          <w14:textFill>
            <w14:solidFill>
              <w14:schemeClr w14:val="accent6"/>
            </w14:solidFill>
          </w14:textFill>
        </w:rPr>
      </w:pPr>
      <w:r>
        <w:rPr>
          <w:rFonts w:hint="default" w:ascii="Times New Roman" w:hAnsi="Times New Roman" w:cs="Times New Roman"/>
          <w:sz w:val="24"/>
          <w:szCs w:val="24"/>
          <w:lang w:val="en-US" w:eastAsia="zh-CN"/>
        </w:rPr>
        <w:t>Nevertheless, this study has several limitations.</w:t>
      </w:r>
      <w:r>
        <w:rPr>
          <w:rFonts w:hint="default" w:ascii="Times New Roman" w:hAnsi="Times New Roman" w:cs="Times New Roman"/>
          <w:color w:val="C00000"/>
          <w:sz w:val="24"/>
          <w:szCs w:val="24"/>
          <w:lang w:val="en-US" w:eastAsia="zh-CN"/>
        </w:rPr>
        <w:t xml:space="preserve"> Air pollution exposure was estimated from region-level averages, which may not reflect individual variability.</w:t>
      </w:r>
      <w:r>
        <w:rPr>
          <w:rFonts w:hint="default" w:ascii="Times New Roman" w:hAnsi="Times New Roman" w:cs="Times New Roman"/>
          <w:sz w:val="24"/>
          <w:szCs w:val="24"/>
          <w:lang w:val="en-US" w:eastAsia="zh-CN"/>
        </w:rPr>
        <w:t xml:space="preserve"> </w:t>
      </w:r>
      <w:r>
        <w:rPr>
          <w:rFonts w:hint="eastAsia" w:ascii="Times New Roman" w:hAnsi="Times New Roman" w:cs="Times New Roman"/>
          <w:color w:val="C00000"/>
          <w:sz w:val="24"/>
          <w:szCs w:val="24"/>
          <w:lang w:val="en-US" w:eastAsia="zh-CN"/>
        </w:rPr>
        <w:t>HD</w:t>
      </w:r>
      <w:r>
        <w:rPr>
          <w:rFonts w:hint="default" w:ascii="Times New Roman" w:hAnsi="Times New Roman" w:cs="Times New Roman"/>
          <w:color w:val="C00000"/>
          <w:sz w:val="24"/>
          <w:szCs w:val="24"/>
          <w:lang w:val="en-US" w:eastAsia="zh-CN"/>
        </w:rPr>
        <w:t xml:space="preserve"> outcomes were self-reported, introducing the possibility of information bias, and cross-sectional effect sizes were relatively small, limiting clinical relevance. The inconsistent associations observed for O₃ and NO₂ may reflect pollutant collinearity or spatial heterogeneity.</w:t>
      </w:r>
      <w:r>
        <w:rPr>
          <w:rFonts w:hint="default" w:ascii="Times New Roman" w:hAnsi="Times New Roman" w:cs="Times New Roman"/>
          <w:color w:val="4472C4" w:themeColor="accent5"/>
          <w:sz w:val="24"/>
          <w:szCs w:val="24"/>
          <w:lang w:val="en-US" w:eastAsia="zh-CN"/>
          <w14:textFill>
            <w14:solidFill>
              <w14:schemeClr w14:val="accent5"/>
            </w14:solidFill>
          </w14:textFill>
        </w:rPr>
        <w:t xml:space="preserve"> Compared with larger-scale studies, the sample size was modest, reducing statistical power to detect weak effects or interactions.</w:t>
      </w:r>
      <w:r>
        <w:rPr>
          <w:rFonts w:hint="default" w:ascii="Times New Roman" w:hAnsi="Times New Roman" w:cs="Times New Roman"/>
          <w:sz w:val="24"/>
          <w:szCs w:val="24"/>
          <w:lang w:val="en-US" w:eastAsia="zh-CN"/>
        </w:rPr>
        <w:t xml:space="preserve"> </w:t>
      </w:r>
      <w:r>
        <w:rPr>
          <w:rFonts w:hint="default" w:ascii="Times New Roman" w:hAnsi="Times New Roman" w:cs="Times New Roman"/>
          <w:color w:val="70AD47" w:themeColor="accent6"/>
          <w:sz w:val="24"/>
          <w:szCs w:val="24"/>
          <w:lang w:val="en-US" w:eastAsia="zh-CN"/>
          <w14:textFill>
            <w14:solidFill>
              <w14:schemeClr w14:val="accent6"/>
            </w14:solidFill>
          </w14:textFill>
        </w:rPr>
        <w:t xml:space="preserve">Furthermore, clinical adjudication of outcomes and advanced spatiotemporal exposure models were not applied, which may restrict the generalizability of our findings. Nonetheless, this study offers valuable complementary evidence on the association between long-term particulate matter exposure and </w:t>
      </w:r>
      <w:r>
        <w:rPr>
          <w:rFonts w:hint="eastAsia" w:ascii="Times New Roman" w:hAnsi="Times New Roman" w:cs="Times New Roman"/>
          <w:color w:val="70AD47" w:themeColor="accent6"/>
          <w:sz w:val="24"/>
          <w:szCs w:val="24"/>
          <w:lang w:val="en-US" w:eastAsia="zh-CN"/>
          <w14:textFill>
            <w14:solidFill>
              <w14:schemeClr w14:val="accent6"/>
            </w14:solidFill>
          </w14:textFill>
        </w:rPr>
        <w:t>HD</w:t>
      </w:r>
      <w:r>
        <w:rPr>
          <w:rFonts w:hint="default" w:ascii="Times New Roman" w:hAnsi="Times New Roman" w:cs="Times New Roman"/>
          <w:color w:val="70AD47" w:themeColor="accent6"/>
          <w:sz w:val="24"/>
          <w:szCs w:val="24"/>
          <w:lang w:val="en-US" w:eastAsia="zh-CN"/>
          <w14:textFill>
            <w14:solidFill>
              <w14:schemeClr w14:val="accent6"/>
            </w14:solidFill>
          </w14:textFill>
        </w:rPr>
        <w:t xml:space="preserve"> in the Chinese population, highlighting the public health significance of air pollution as a modifiable risk factor. Residual confounding cannot be excluded, as individual-level data on diet, physical activity, and neighborhood environmental characteristics (e.g., greenness, traffic density) were unavailable, and meteorological covariates were not explicitly incorporated in the long-term analyses. Given the likely non-differential misclassification from city-level exposure assessment and self-reported outcomes, the observed effect estimates may have been biased toward the null.</w:t>
      </w:r>
    </w:p>
    <w:p>
      <w:pPr>
        <w:widowControl w:val="0"/>
        <w:numPr>
          <w:ilvl w:val="0"/>
          <w:numId w:val="0"/>
        </w:numPr>
        <w:spacing w:line="480" w:lineRule="auto"/>
        <w:jc w:val="left"/>
        <w:rPr>
          <w:rFonts w:hint="default" w:ascii="Times New Roman" w:hAnsi="Times New Roman" w:cs="Times New Roman"/>
          <w:color w:val="70AD47" w:themeColor="accent6"/>
          <w:sz w:val="24"/>
          <w:szCs w:val="24"/>
          <w:lang w:val="en-US" w:eastAsia="zh-CN"/>
          <w14:textFill>
            <w14:solidFill>
              <w14:schemeClr w14:val="accent6"/>
            </w14:solidFill>
          </w14:textFill>
        </w:rPr>
      </w:pPr>
    </w:p>
    <w:p>
      <w:pPr>
        <w:widowControl w:val="0"/>
        <w:numPr>
          <w:ilvl w:val="0"/>
          <w:numId w:val="0"/>
        </w:numPr>
        <w:spacing w:line="480" w:lineRule="auto"/>
        <w:jc w:val="left"/>
        <w:rPr>
          <w:rFonts w:hint="default" w:ascii="Times New Roman" w:hAnsi="Times New Roman" w:cs="Times New Roman"/>
          <w:b/>
          <w:bCs/>
          <w:color w:val="4472C4" w:themeColor="accent5"/>
          <w:sz w:val="24"/>
          <w:szCs w:val="24"/>
          <w:lang w:val="en-US" w:eastAsia="zh-CN"/>
          <w14:textFill>
            <w14:solidFill>
              <w14:schemeClr w14:val="accent5"/>
            </w14:solidFill>
          </w14:textFill>
        </w:rPr>
      </w:pPr>
      <w:r>
        <w:rPr>
          <w:rFonts w:hint="default" w:ascii="Times New Roman" w:hAnsi="Times New Roman" w:cs="Times New Roman"/>
          <w:b/>
          <w:bCs/>
          <w:color w:val="4472C4" w:themeColor="accent5"/>
          <w:sz w:val="24"/>
          <w:szCs w:val="24"/>
          <w:lang w:val="en-US" w:eastAsia="zh-CN"/>
          <w14:textFill>
            <w14:solidFill>
              <w14:schemeClr w14:val="accent5"/>
            </w14:solidFill>
          </w14:textFill>
        </w:rPr>
        <w:t>6. Conclusion</w:t>
      </w:r>
    </w:p>
    <w:p>
      <w:pPr>
        <w:widowControl w:val="0"/>
        <w:numPr>
          <w:ilvl w:val="0"/>
          <w:numId w:val="0"/>
        </w:numPr>
        <w:spacing w:line="480" w:lineRule="auto"/>
        <w:jc w:val="left"/>
        <w:rPr>
          <w:rFonts w:hint="default" w:ascii="Times New Roman" w:hAnsi="Times New Roman" w:cs="Times New Roman"/>
          <w:color w:val="4472C4" w:themeColor="accent5"/>
          <w:sz w:val="24"/>
          <w:szCs w:val="24"/>
          <w:lang w:val="en-US" w:eastAsia="zh-CN"/>
          <w14:textFill>
            <w14:solidFill>
              <w14:schemeClr w14:val="accent5"/>
            </w14:solidFill>
          </w14:textFill>
        </w:rPr>
      </w:pPr>
      <w:r>
        <w:rPr>
          <w:rFonts w:hint="default" w:ascii="Times New Roman" w:hAnsi="Times New Roman" w:cs="Times New Roman"/>
          <w:color w:val="4472C4" w:themeColor="accent5"/>
          <w:sz w:val="24"/>
          <w:szCs w:val="24"/>
          <w:lang w:val="en-US" w:eastAsia="zh-CN"/>
          <w14:textFill>
            <w14:solidFill>
              <w14:schemeClr w14:val="accent5"/>
            </w14:solidFill>
          </w14:textFill>
        </w:rPr>
        <w:t xml:space="preserve">Using a cohort of middle-aged and older adults in China, this study found that long-term exposure to PM₁, PM₂.₅, and PM₁₀ was significantly associated with increased </w:t>
      </w:r>
      <w:r>
        <w:rPr>
          <w:rFonts w:hint="eastAsia" w:ascii="Times New Roman" w:hAnsi="Times New Roman" w:cs="Times New Roman"/>
          <w:color w:val="4472C4" w:themeColor="accent5"/>
          <w:sz w:val="24"/>
          <w:szCs w:val="24"/>
          <w:lang w:val="en-US" w:eastAsia="zh-CN"/>
          <w14:textFill>
            <w14:solidFill>
              <w14:schemeClr w14:val="accent5"/>
            </w14:solidFill>
          </w14:textFill>
        </w:rPr>
        <w:t>HD</w:t>
      </w:r>
      <w:r>
        <w:rPr>
          <w:rFonts w:hint="default" w:ascii="Times New Roman" w:hAnsi="Times New Roman" w:cs="Times New Roman"/>
          <w:color w:val="4472C4" w:themeColor="accent5"/>
          <w:sz w:val="24"/>
          <w:szCs w:val="24"/>
          <w:lang w:val="en-US" w:eastAsia="zh-CN"/>
          <w14:textFill>
            <w14:solidFill>
              <w14:schemeClr w14:val="accent5"/>
            </w14:solidFill>
          </w14:textFill>
        </w:rPr>
        <w:t xml:space="preserve"> risk, with these associations remaining robust across multiple models and sensitivity analyses. By contrast, the effects of NO₂ and O₃ were inconsistent, indicating that their health risks should be interpreted cautiously and require further investigation. Stratified analyses suggested that women, individuals with lower education, and rural residents may be more susceptible to particulate matter, although these differences need further confirmation. Overall, this study underscores particulate pollution as a modifiable risk factor and highlights the need for targeted public health strategies to protect vulnerable populations and reduce the burden of </w:t>
      </w:r>
      <w:r>
        <w:rPr>
          <w:rFonts w:hint="eastAsia" w:ascii="Times New Roman" w:hAnsi="Times New Roman" w:cs="Times New Roman"/>
          <w:color w:val="4472C4" w:themeColor="accent5"/>
          <w:sz w:val="24"/>
          <w:szCs w:val="24"/>
          <w:lang w:val="en-US" w:eastAsia="zh-CN"/>
          <w14:textFill>
            <w14:solidFill>
              <w14:schemeClr w14:val="accent5"/>
            </w14:solidFill>
          </w14:textFill>
        </w:rPr>
        <w:t>HD</w:t>
      </w:r>
      <w:r>
        <w:rPr>
          <w:rFonts w:hint="default" w:ascii="Times New Roman" w:hAnsi="Times New Roman" w:cs="Times New Roman"/>
          <w:color w:val="4472C4" w:themeColor="accent5"/>
          <w:sz w:val="24"/>
          <w:szCs w:val="24"/>
          <w:lang w:val="en-US" w:eastAsia="zh-CN"/>
          <w14:textFill>
            <w14:solidFill>
              <w14:schemeClr w14:val="accent5"/>
            </w14:solidFill>
          </w14:textFill>
        </w:rPr>
        <w:t>.</w:t>
      </w:r>
    </w:p>
    <w:p>
      <w:pPr>
        <w:widowControl w:val="0"/>
        <w:numPr>
          <w:ilvl w:val="0"/>
          <w:numId w:val="0"/>
        </w:numPr>
        <w:spacing w:line="480" w:lineRule="auto"/>
        <w:jc w:val="left"/>
        <w:rPr>
          <w:rFonts w:hint="default" w:ascii="Times New Roman" w:hAnsi="Times New Roman" w:cs="Times New Roman"/>
          <w:sz w:val="24"/>
          <w:szCs w:val="24"/>
          <w:lang w:val="en-US" w:eastAsia="zh-CN"/>
        </w:rPr>
      </w:pPr>
    </w:p>
    <w:p>
      <w:pPr>
        <w:spacing w:line="480" w:lineRule="auto"/>
        <w:jc w:val="left"/>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Acknowledgements</w:t>
      </w:r>
    </w:p>
    <w:p>
      <w:pPr>
        <w:spacing w:line="480" w:lineRule="auto"/>
        <w:jc w:val="left"/>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 xml:space="preserve">We are grateful to Peking University for offering open access to their data resources and to all the investigators who contributed to this study. Additionally, we acknowledge the China High Air Pollution (CHAP) dataset, which was invaluable for our analysis. </w:t>
      </w:r>
    </w:p>
    <w:p>
      <w:pPr>
        <w:spacing w:line="480" w:lineRule="auto"/>
        <w:jc w:val="left"/>
        <w:rPr>
          <w:rFonts w:hint="default" w:ascii="Times New Roman" w:hAnsi="Times New Roman" w:cs="Times New Roman"/>
          <w:b w:val="0"/>
          <w:bCs w:val="0"/>
          <w:sz w:val="24"/>
          <w:szCs w:val="24"/>
          <w:lang w:val="en-US" w:eastAsia="zh-CN"/>
        </w:rPr>
      </w:pPr>
    </w:p>
    <w:p>
      <w:pPr>
        <w:spacing w:line="480" w:lineRule="auto"/>
        <w:jc w:val="left"/>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Funding</w:t>
      </w:r>
    </w:p>
    <w:p>
      <w:pPr>
        <w:spacing w:line="480" w:lineRule="auto"/>
        <w:jc w:val="left"/>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This research did not receive funding</w:t>
      </w:r>
    </w:p>
    <w:p>
      <w:pPr>
        <w:spacing w:line="480" w:lineRule="auto"/>
        <w:jc w:val="left"/>
        <w:rPr>
          <w:rFonts w:hint="default" w:ascii="Times New Roman" w:hAnsi="Times New Roman" w:cs="Times New Roman"/>
          <w:b w:val="0"/>
          <w:bCs w:val="0"/>
          <w:sz w:val="24"/>
          <w:szCs w:val="24"/>
          <w:lang w:val="en-US" w:eastAsia="zh-CN"/>
        </w:rPr>
      </w:pPr>
    </w:p>
    <w:p>
      <w:pPr>
        <w:spacing w:line="480" w:lineRule="auto"/>
        <w:jc w:val="left"/>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Author contributions</w:t>
      </w:r>
    </w:p>
    <w:p>
      <w:pPr>
        <w:spacing w:line="480" w:lineRule="auto"/>
        <w:jc w:val="left"/>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Zhening Xu conceptualized the study and conducted the data analysis. Yuyu Cui and Lijuan Ding contributed to manuscript drafting. Yuyu Cui performed formal analysis and investigation. Lijuan Ding was responsible for validation and contributed to the conceptualization of the study. Lingxia Li and Xiaoyan Zhou critically reviewed and edited the manuscript. All authors contributed to and approved the final version of the article.</w:t>
      </w:r>
    </w:p>
    <w:p>
      <w:pPr>
        <w:spacing w:line="480" w:lineRule="auto"/>
        <w:jc w:val="left"/>
        <w:rPr>
          <w:rFonts w:hint="default" w:ascii="Times New Roman" w:hAnsi="Times New Roman" w:cs="Times New Roman"/>
          <w:b w:val="0"/>
          <w:bCs w:val="0"/>
          <w:sz w:val="24"/>
          <w:szCs w:val="24"/>
          <w:lang w:val="en-US" w:eastAsia="zh-CN"/>
        </w:rPr>
      </w:pPr>
    </w:p>
    <w:p>
      <w:pPr>
        <w:spacing w:line="480" w:lineRule="auto"/>
        <w:jc w:val="left"/>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Data availability statement</w:t>
      </w:r>
    </w:p>
    <w:p>
      <w:pPr>
        <w:spacing w:line="480" w:lineRule="auto"/>
        <w:jc w:val="left"/>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The air pollution data were obtained from the China High Air Pollution (CHAP) dataset (https://weijing-rs.github.io/product.html). The health and demographic data were obtained from the China Health and Retirement Longitudinal Study (CHARLS) (http://charls.pku.edu.cn). Both datasets are publicly available.</w:t>
      </w:r>
    </w:p>
    <w:p>
      <w:pPr>
        <w:spacing w:line="480" w:lineRule="auto"/>
        <w:jc w:val="left"/>
        <w:rPr>
          <w:rFonts w:hint="default" w:ascii="Times New Roman" w:hAnsi="Times New Roman" w:cs="Times New Roman"/>
          <w:b w:val="0"/>
          <w:bCs w:val="0"/>
          <w:sz w:val="24"/>
          <w:szCs w:val="24"/>
          <w:lang w:val="en-US" w:eastAsia="zh-CN"/>
        </w:rPr>
      </w:pPr>
    </w:p>
    <w:p>
      <w:pPr>
        <w:spacing w:line="480" w:lineRule="auto"/>
        <w:jc w:val="left"/>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Ethics statement</w:t>
      </w:r>
    </w:p>
    <w:p>
      <w:pPr>
        <w:spacing w:line="480" w:lineRule="auto"/>
        <w:jc w:val="left"/>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This cohort study utilized data from the CHARLS database. Patient information was anonymized before analysis. The original CHARLS study received approval from the Ethical Review Committee of Peking University (IRB00001052–11015), with all participants providing informed consent at the time of their enrollment. This research adheres to the principles outlined in the Declaration of Helsinki.</w:t>
      </w:r>
    </w:p>
    <w:p>
      <w:pPr>
        <w:spacing w:line="480" w:lineRule="auto"/>
        <w:jc w:val="left"/>
        <w:rPr>
          <w:rFonts w:hint="default" w:ascii="Times New Roman" w:hAnsi="Times New Roman" w:cs="Times New Roman"/>
          <w:b w:val="0"/>
          <w:bCs w:val="0"/>
          <w:sz w:val="24"/>
          <w:szCs w:val="24"/>
          <w:lang w:val="en-US" w:eastAsia="zh-CN"/>
        </w:rPr>
      </w:pPr>
    </w:p>
    <w:p>
      <w:pPr>
        <w:spacing w:line="480" w:lineRule="auto"/>
        <w:jc w:val="left"/>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Conflict of interest</w:t>
      </w:r>
    </w:p>
    <w:p>
      <w:pPr>
        <w:spacing w:line="480" w:lineRule="auto"/>
        <w:jc w:val="left"/>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The authors confirm that the research was conducted without any commercial or financial relationships that could be perceived as potential conflicts of interest.</w:t>
      </w:r>
    </w:p>
    <w:p>
      <w:pPr>
        <w:spacing w:line="480" w:lineRule="auto"/>
        <w:jc w:val="left"/>
        <w:rPr>
          <w:rFonts w:hint="default" w:ascii="Times New Roman" w:hAnsi="Times New Roman" w:cs="Times New Roman"/>
          <w:b w:val="0"/>
          <w:bCs w:val="0"/>
          <w:sz w:val="24"/>
          <w:szCs w:val="24"/>
          <w:lang w:val="en-US" w:eastAsia="zh-CN"/>
        </w:rPr>
      </w:pPr>
    </w:p>
    <w:p>
      <w:pPr>
        <w:spacing w:line="480" w:lineRule="auto"/>
        <w:jc w:val="left"/>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Clinical trial number</w:t>
      </w:r>
    </w:p>
    <w:p>
      <w:pPr>
        <w:spacing w:line="480" w:lineRule="auto"/>
        <w:jc w:val="left"/>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Not applicable.</w:t>
      </w:r>
    </w:p>
    <w:p>
      <w:pPr>
        <w:spacing w:line="480" w:lineRule="auto"/>
        <w:jc w:val="left"/>
        <w:rPr>
          <w:rFonts w:hint="default" w:ascii="Times New Roman" w:hAnsi="Times New Roman" w:cs="Times New Roman"/>
          <w:b w:val="0"/>
          <w:bCs w:val="0"/>
          <w:sz w:val="24"/>
          <w:szCs w:val="24"/>
          <w:lang w:val="en-US" w:eastAsia="zh-CN"/>
        </w:rPr>
      </w:pPr>
    </w:p>
    <w:p>
      <w:pPr>
        <w:spacing w:line="480" w:lineRule="auto"/>
        <w:jc w:val="left"/>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 xml:space="preserve">Consent to Participate in Missing Declaration </w:t>
      </w:r>
    </w:p>
    <w:p>
      <w:pPr>
        <w:spacing w:line="480" w:lineRule="auto"/>
        <w:jc w:val="left"/>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Not Applicable.</w:t>
      </w:r>
    </w:p>
    <w:p>
      <w:pPr>
        <w:spacing w:line="480" w:lineRule="auto"/>
        <w:jc w:val="left"/>
        <w:rPr>
          <w:rFonts w:hint="default" w:ascii="Times New Roman" w:hAnsi="Times New Roman" w:cs="Times New Roman"/>
          <w:b w:val="0"/>
          <w:bCs w:val="0"/>
          <w:sz w:val="24"/>
          <w:szCs w:val="24"/>
          <w:lang w:val="en-US" w:eastAsia="zh-CN"/>
        </w:rPr>
      </w:pPr>
    </w:p>
    <w:p>
      <w:pPr>
        <w:spacing w:line="480" w:lineRule="auto"/>
        <w:jc w:val="left"/>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 xml:space="preserve">Consent to Publish Declaration </w:t>
      </w:r>
    </w:p>
    <w:p>
      <w:pPr>
        <w:spacing w:line="480" w:lineRule="auto"/>
        <w:jc w:val="left"/>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Not Applicable.</w:t>
      </w:r>
    </w:p>
    <w:p>
      <w:pPr>
        <w:spacing w:line="480" w:lineRule="auto"/>
        <w:jc w:val="left"/>
        <w:rPr>
          <w:rFonts w:hint="default" w:ascii="Times New Roman" w:hAnsi="Times New Roman" w:cs="Times New Roman"/>
          <w:b w:val="0"/>
          <w:bCs w:val="0"/>
          <w:sz w:val="24"/>
          <w:szCs w:val="24"/>
          <w:lang w:val="en-US" w:eastAsia="zh-CN"/>
        </w:rPr>
      </w:pPr>
    </w:p>
    <w:p>
      <w:pPr>
        <w:spacing w:line="480" w:lineRule="auto"/>
        <w:jc w:val="left"/>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References</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Joseph P, Leong D, McKee M, Anand SS, Schwalm JD, Teo K, et al. Reducing the Global Burden of Cardiovascular Disease, Part 1: The Epidemiology and Risk Factors. Circ Res. 2017;121(6):677–94. doi:10.1161/CIRCRESAHA.117.308903IF: 16.2 Q1 .</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Yang Y, Li S, Ren Q, Qiu Y, Pan M, Liu G, et al. The interaction between triglyceride-glucose index and visceral adiposity in cardiovascular disease risk: findings from a nationwide Chinese cohort. Cardiovasc Diabetol. 2024;23(1):427. doi:10.1186/s12933-024-02518-2IF: 10.6 Q1 .</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Liu J, Qi J, Yin P, Liu Y, You J, Lin L, et al. Cardiovascular Disease Mortality - China, 2019. China CDC Wkly. 2021;3(15):323–6. doi:10.46234/ccdcw2021.087IF: 2.9 Q2 .</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Allen JD, Stabler T, Kenjale A, Ham KL, Robbins JL, Duscha BD, et al. Plasma nitrite flux predicts exercise performance in peripheral arterial disease after 3 months of exercise training. Free Radic Biol Med. 2010;49(6):1138–44. doi:10.1016/j.freeradbiomed.2010.06.033IF: 8.2 Q1 .</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Savarese G, Lund LH. Global Public Health Burden of Heart Failure. Card Fail Rev. 2017;3(1):7–11. doi:10.15420/cfr.2016:25:2IF: 5.7 Q1 .</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Ji JS. Air pollution and cardiovascular disease onset: hours, days, or years? Lancet Public Health. 2022;7(11):e890–e891. doi:10.1016/S2468-2667(22)00257-2IF: 25.2 Q1 .</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Cohen AJ, Brauer M, Burnett R, Anderson HR, Frostad J, Estep K, et al. Estimates and 25-year trends of the global burden of disease attributable to ambient air pollution: an analysis of data from the Global Burden of Diseases Study 2015. Lancet. 2017;389(10082):1907–18. doi:10.1016/S0140-6736(17)30505-6IF: 88.5 Q1 .</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World Health Organization. Ambient (Outdoor) Air Pollution. 2024 [cited 2024 Sep 25]. Available from: https://www.who.int/newsroom/fact-sheets/detail/ambient-(outdoor)-air-quality-and-health.</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Krzyzanowski M, Kuna-Dibbert B, Schneider J; WHO. Health effects of transport-related air pollution. Copenhagen: World Health Organization, Regional Office for Europe; 2005. Available from: https://iris.who.int/handle/10665/328088</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Kim KH, Kabir E, Kabir S. A review on the human health impact of airborne particulate matter. Environ Int. 2015;74:136–43. doi:10.1016/j.envint.2014.10.005</w:t>
      </w:r>
    </w:p>
    <w:p>
      <w:pPr>
        <w:widowControl w:val="0"/>
        <w:numPr>
          <w:ilvl w:val="0"/>
          <w:numId w:val="2"/>
        </w:numPr>
        <w:spacing w:line="480" w:lineRule="auto"/>
        <w:ind w:left="425" w:leftChars="0" w:hanging="425" w:firstLineChars="0"/>
        <w:jc w:val="left"/>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Lind L, Araujo JA, Barchowsky A, Belcher S, Berridge BR, Chiamvimonvat N, et al. Key Characteristics of Cardiovascular Toxicants. Environ Health Perspect. 2021;129(9):95001. doi:10.1289/EHP9321.</w:t>
      </w:r>
    </w:p>
    <w:p>
      <w:pPr>
        <w:widowControl w:val="0"/>
        <w:numPr>
          <w:ilvl w:val="0"/>
          <w:numId w:val="2"/>
        </w:numPr>
        <w:spacing w:line="480" w:lineRule="auto"/>
        <w:ind w:left="425" w:leftChars="0" w:hanging="425" w:firstLineChars="0"/>
        <w:jc w:val="left"/>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Singh P, O’Toole TE, Conklin DJ, Hill BG, Haberzettl P. Endothelial progenitor cells as critical mediators of environmental air pollution-induced cardiovascular toxicity. Am J Physiol Heart Circ Physiol. 2021;320(4):H1440–55. doi:10.1152/ajpheart.00804.2020.</w:t>
      </w:r>
    </w:p>
    <w:p>
      <w:pPr>
        <w:widowControl w:val="0"/>
        <w:numPr>
          <w:ilvl w:val="0"/>
          <w:numId w:val="2"/>
        </w:numPr>
        <w:spacing w:line="480" w:lineRule="auto"/>
        <w:ind w:left="425" w:leftChars="0" w:hanging="425" w:firstLineChars="0"/>
        <w:jc w:val="left"/>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Bevan GH, Al-Kindi SG, Brook RD, Münzel T, Rajagopalan S. Ambient Air Pollution and Atherosclerosis: Insights Into Dose, Time, and Mechanisms. Arterioscler Thromb Vasc Biol. 2021;41(2):628–37. doi:10.1161/ATVBAHA.120.315219.</w:t>
      </w:r>
    </w:p>
    <w:p>
      <w:pPr>
        <w:widowControl w:val="0"/>
        <w:numPr>
          <w:ilvl w:val="0"/>
          <w:numId w:val="2"/>
        </w:numPr>
        <w:spacing w:line="480" w:lineRule="auto"/>
        <w:ind w:left="425" w:leftChars="0" w:hanging="425" w:firstLineChars="0"/>
        <w:jc w:val="left"/>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Waked D, Rodrigues ACB, Silva TM, Yariwake VY, Farhat SCL, Veras MM. Effect of chronic exposure to fine particulate matter on cardiac tissue of NZBWF1 mice. Int J Exp Pathol. 2023;104(4):177–87. doi:10.1111/iep.12473.</w:t>
      </w:r>
    </w:p>
    <w:p>
      <w:pPr>
        <w:widowControl w:val="0"/>
        <w:numPr>
          <w:ilvl w:val="0"/>
          <w:numId w:val="2"/>
        </w:numPr>
        <w:spacing w:line="480" w:lineRule="auto"/>
        <w:ind w:left="425" w:leftChars="0" w:hanging="425" w:firstLineChars="0"/>
        <w:jc w:val="left"/>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World Health Organization. Ambient (Outdoor) Air Pollution. 2021 [cited 2023 Nov 30]. Available from: https://www.who.int/news-room/fact_sheets/detail/ambient-(outdoor)-air-quality-and-health.</w:t>
      </w:r>
    </w:p>
    <w:p>
      <w:pPr>
        <w:widowControl w:val="0"/>
        <w:numPr>
          <w:ilvl w:val="0"/>
          <w:numId w:val="2"/>
        </w:numPr>
        <w:spacing w:line="480" w:lineRule="auto"/>
        <w:ind w:left="425" w:leftChars="0" w:hanging="425" w:firstLineChars="0"/>
        <w:jc w:val="left"/>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Cesaroni G, Forastiere F, Stafoggia M, Andersen ZJ, Badaloni C, Beelen R, et al. Long-term exposure to ambient air pollution and incidence of acute coronary events: prospective cohort study and meta-analysis in 11 European cohorts from the ESCAPE Project. BMJ. 2014;348:f7412. doi:10.1136/bmj.f7412.</w:t>
      </w:r>
    </w:p>
    <w:p>
      <w:pPr>
        <w:widowControl w:val="0"/>
        <w:numPr>
          <w:ilvl w:val="0"/>
          <w:numId w:val="2"/>
        </w:numPr>
        <w:spacing w:line="480" w:lineRule="auto"/>
        <w:ind w:left="425" w:leftChars="0" w:hanging="425" w:firstLineChars="0"/>
        <w:jc w:val="left"/>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Sacks J, Buckley B, Deflorio-Barker S, Jenkins S, Kirrane E, Krajewski A, et al. Supplement to the 2019 Integrated Science Assessment for Particulate Matter. Washington (DC): US Environmental Protection Agency; 2022.</w:t>
      </w:r>
    </w:p>
    <w:p>
      <w:pPr>
        <w:widowControl w:val="0"/>
        <w:numPr>
          <w:ilvl w:val="0"/>
          <w:numId w:val="2"/>
        </w:numPr>
        <w:spacing w:line="480" w:lineRule="auto"/>
        <w:ind w:left="425" w:leftChars="0" w:hanging="425" w:firstLineChars="0"/>
        <w:jc w:val="left"/>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Kuo CL, Liu R, Godoy LDC, Pilling LC, Fortinsky RH, Brugge D. Association between Residential Exposure to Air Pollution and Incident Coronary Heart Disease Is Not Mediated by Leukocyte Telomere Length: A UK Biobank Study. Toxics. 2023;11(6):489. doi:10.3390/toxics11060489.</w:t>
      </w:r>
    </w:p>
    <w:p>
      <w:pPr>
        <w:widowControl w:val="0"/>
        <w:numPr>
          <w:ilvl w:val="0"/>
          <w:numId w:val="2"/>
        </w:numPr>
        <w:spacing w:line="480" w:lineRule="auto"/>
        <w:ind w:left="425" w:leftChars="0" w:hanging="425" w:firstLineChars="0"/>
        <w:jc w:val="left"/>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Cheng YJ, Zhu C, Deng H, Wu Y, Wei HQ, Lin WD, et al. Air Pollution, Genetic Susceptibility, and the Risk of Ventricular Arrhythmias: A prospective cohort study in the UK Biobank. Eur J Prev Cardiol. 2024;Advance online publication. doi:10.1093/eurjpc/zwae390.</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de Bont J, Jaganathan S, Dahlquist M, Persson Å, Stafoggia M, Ljungman P. Ambient air pollution and cardiovascular diseases: An umbrella review of systematic reviews and meta-analyses. J Intern Med. 2022;291(6):779–800. doi:10.1111/joim.13467</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IQAir. World Air Quality Report 2019: Region and City PM2.5 Ranking. 2019 [cited 2025 Sep 4]. Available from: https://www.iqair.com/dl/pdf-reports/2019-World-Air-Report-V8-20200318.pdf</w:t>
      </w:r>
    </w:p>
    <w:p>
      <w:pPr>
        <w:widowControl w:val="0"/>
        <w:numPr>
          <w:ilvl w:val="0"/>
          <w:numId w:val="2"/>
        </w:numPr>
        <w:spacing w:line="480" w:lineRule="auto"/>
        <w:ind w:left="425" w:leftChars="0" w:hanging="425" w:firstLineChars="0"/>
        <w:jc w:val="left"/>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Sang S, Chu C, Zhang T, Chen H, Yang X. The global burden of disease attributable to ambient fine particulate matter in 204 countries and territories, 1990–2019: A systematic analysis of the Global Burden of Disease Study 2019. Ecotoxicol Environ Saf. 2022;238:113588. doi:10.1016/j.ecoenv.2022.113588.</w:t>
      </w:r>
    </w:p>
    <w:p>
      <w:pPr>
        <w:widowControl w:val="0"/>
        <w:numPr>
          <w:ilvl w:val="0"/>
          <w:numId w:val="2"/>
        </w:numPr>
        <w:spacing w:line="480" w:lineRule="auto"/>
        <w:ind w:left="425" w:leftChars="0" w:hanging="425" w:firstLineChars="0"/>
        <w:jc w:val="left"/>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Dong Y, Cao W, Wei J, Chen Y, Zhang Y, Sun S, et al. Health effect of multiple air pollutant mixture on sarcopenia among middle-aged and older adults in China. Ecotoxicol Environ Saf. 2024;281:116634. doi:10.1016/j.ecoenv.2024.116634.</w:t>
      </w:r>
    </w:p>
    <w:p>
      <w:pPr>
        <w:widowControl w:val="0"/>
        <w:numPr>
          <w:ilvl w:val="0"/>
          <w:numId w:val="2"/>
        </w:numPr>
        <w:spacing w:line="480" w:lineRule="auto"/>
        <w:ind w:left="425" w:leftChars="0" w:hanging="425" w:firstLineChars="0"/>
        <w:jc w:val="left"/>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Chen Y, Xu Z, Guo Y, Li S, Wang YA, Gasevic D, et al. Air pollution increases the risk of frailty: China Health and Retirement Longitudinal Study (CHARLS). J Hazard Mater. 2025;492:138105. doi:10.1016/j.jhazmat.2025.138105.</w:t>
      </w:r>
    </w:p>
    <w:p>
      <w:pPr>
        <w:widowControl w:val="0"/>
        <w:numPr>
          <w:ilvl w:val="0"/>
          <w:numId w:val="2"/>
        </w:numPr>
        <w:spacing w:line="480" w:lineRule="auto"/>
        <w:ind w:left="425" w:leftChars="0" w:hanging="425" w:firstLineChars="0"/>
        <w:jc w:val="left"/>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Hu X, Knibbs LD, Zhou Y, Ou Y, Dong GH, Dong H. The role of lifestyle in the association between long-term ambient air pollution exposure and cardiovascular disease: a national cohort study in China. BMC Med. 2024;22(1):93. doi:10.1186/s12916-024-03316-z.</w:t>
      </w:r>
    </w:p>
    <w:p>
      <w:pPr>
        <w:widowControl w:val="0"/>
        <w:numPr>
          <w:ilvl w:val="0"/>
          <w:numId w:val="2"/>
        </w:numPr>
        <w:spacing w:line="480" w:lineRule="auto"/>
        <w:ind w:left="425" w:leftChars="0" w:hanging="425" w:firstLineChars="0"/>
        <w:jc w:val="left"/>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Wang M, Zhou T, Song Y, Li X, Ma H, Hu Y, et al. Joint exposure to various ambient air pollutants and incident heart failure: a prospective analysis in UK Biobank. Eur Heart J. 2021;42(16):1582–91. doi:10.1093/eurheartj/ehaa1031.</w:t>
      </w:r>
    </w:p>
    <w:p>
      <w:pPr>
        <w:widowControl w:val="0"/>
        <w:numPr>
          <w:ilvl w:val="0"/>
          <w:numId w:val="2"/>
        </w:numPr>
        <w:spacing w:line="480" w:lineRule="auto"/>
        <w:ind w:left="425" w:leftChars="0" w:hanging="425" w:firstLineChars="0"/>
        <w:jc w:val="left"/>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Zhang D, Chen W, Cheng C, Huang H, Li X, Qin P, et al. Air pollution exposure and heart failure: A systematic review and meta-analysis. Sci Total Environ. 2023;872:162191. doi:10.1016/j.scitotenv.2023.162191.</w:t>
      </w:r>
    </w:p>
    <w:p>
      <w:pPr>
        <w:widowControl w:val="0"/>
        <w:numPr>
          <w:ilvl w:val="0"/>
          <w:numId w:val="2"/>
        </w:numPr>
        <w:spacing w:line="480" w:lineRule="auto"/>
        <w:ind w:left="425" w:leftChars="0" w:hanging="425" w:firstLineChars="0"/>
        <w:jc w:val="left"/>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Jia Y, Lin Z, He Z, Li C, Zhang Y, Wang J, et al. Effect of Air Pollution on Heart Failure: Systematic Review and Meta-Analysis. Environ Health Perspect. 2023;131(7):76001. doi:10.1289/EHP11506.</w:t>
      </w:r>
    </w:p>
    <w:p>
      <w:pPr>
        <w:widowControl w:val="0"/>
        <w:numPr>
          <w:ilvl w:val="0"/>
          <w:numId w:val="2"/>
        </w:numPr>
        <w:spacing w:line="480" w:lineRule="auto"/>
        <w:ind w:left="425" w:leftChars="0" w:hanging="425" w:firstLineChars="0"/>
        <w:jc w:val="left"/>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Lederer AM, Fredriksen PM, Nkeh-Chungag BN, Everson F, Strijdom H, De Boever P, et al. Cardiovascular effects of air pollution: current evidence from animal and human studies. Am J Physiol Heart Circ Physiol. 2021;320(4):H1417–39. doi:10.1152/ajpheart.00706.2020.</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Ma Y, Huang Y, Li L, Yu L, Xiao P, Wang Q, et al. Time trends in coronary heart disease mortality attributed to outdoor PM2.5 in China: an age-period-cohort analysis using the Global Burden of Disease Study 2019. Front Public Health. 2025;13:1517507. doi:10.3389/fpubh.2025.1517507</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Moon J, Kim E, Jang H, Song I, Kwon D, Kang C, et al. Long-term exposure to PM2.5 and mortality: a national health insurance cohort study. Int J Epidemiol. 2024;53(6):dyae140. doi:10.1093/ije/dyae140.</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Xu R, Wei J, Liu T, Li Y, Yang C, Shi C, et al. Association of short-term exposure to ambient PM1 with total and cause-specific cardiovascular disease mortality. Environ Int. 2022;169:107519. doi:10.1016/j.envint.2022.107519.</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Brunekreef B, Strak M, Chen J, Andersen ZJ, Atkinson R, Bauwelinck M, et al. Mortality and morbidity effects of long-term exposure to low-level PM2.5, BC, NO2, and O3: An analysis of European cohorts in the ELAPSE Project. Res Rep Health Eff Inst. 2021;208:1–127.</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Azab SM, Doiron D, Schulze KM, Brook JR, Brauer M, Smith EE, et al.; Canadian Alliance of Healthy Hearts and Minds (CAHHM) Study Investigators. Exposure to air pollutants and subclinical carotid atherosclerosis measured by magnetic resonance imaging: A cross-sectional analysis. PLoS One. 2024;19(10):e0309912. doi:10.1371/journal.pone.0309912.</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Thangavel P, Park D, Lee YC. Recent Insights into Particulate Matter (PM2.5)-Mediated Toxicity in Humans: An Overview. Int J Environ Res Public Health. 2022;19(12):7511. doi:10.3390/ijerph19127511.</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Montone RA, Rinaldi R, Bonanni A, Severino A, Pedicino D, Crea F, et al. Impact of air pollution on ischemic heart disease: Evidence, mechanisms, clinical perspectives. Atherosclerosis. 2023;366:22–31. doi:10.1016/j.atherosclerosis.2023.01.013.</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Bhatnagar A. Cardiovascular effects of particulate air pollution. Annu Rev Med. 2022;73:393–406. doi:10.1146/annurev-med-042220-011549.</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Ma XN, Li RQ, Xie JL, Li SH, Li JW, Yan XX. PM2.5-induced inflammation and myocardial cell injury in rats. Eur Rev Med Pharmacol Sci. 2021;25(21):6670–7. doi:10.26355/eurrev_202111_27111.</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Miller MR, Raftis JB, Langrish JP, McLean SG, Samutrtai P, Connell SP, et al. Inhaled nanoparticles accumulate at sites of vascular disease. ACS Nano. 2017;11(5):4542–52. doi:10.1021/acsnano.6b08551.</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Mudway IS, Kelly FJ. Ozone and the lung: a sensitive issue. Mol Aspects Med. 2000;21:1–48. doi:10.1016/S0098-2997(00)00003-0</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Kim YW, West XZ, Byzova TV. Inflammation and oxidative stress in angiogenesis and vascular disease. J Mol Med (Berl). 2013;91:323–8. doi:10.1007/s00109-013-1007-3.</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Wardyn JD, Ponsford AH, Sanderson CM. Dissecting molecular cross-talk between Nrf2 and NF-κB response pathways. Biochem Soc Trans. 2015;43:621–6. doi:10.1042/BST20150014.</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Lawal AO. Air particulate matter induced oxidative stress and inflammation in cardiovascular disease and atherosclerosis: the role of Nrf2 and AhR-mediated pathways. Toxicol Lett. 2017;270:88–95. doi:10.1016/j.toxlet.2017.01.017.</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Hemmingsen JG, Rissler J, Lykkesfeldt J, Sallsten G, Kristiansen J, Møller P, et al. Controlled exposure to particulate matter from urban street air is associated with decreased vasodilation and heart rate variability in overweight and older adults. Part Fibre Toxicol. 2015;12:6. doi:10.1186/s12989-015-0081-9.</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Hajat A, Diez Roux AV, Castro-Diehl C, Cosselman K, Golden SH, Hazlehurst MF, et al. The association between long-term air pollution and urinary catecholamines: Evidence from the Multi-Ethnic Study of Atherosclerosis. Environ Health Perspect. 2019;127(5):57007. doi:10.1289/EHP3286.</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Chiarella SE, Soberanes S, Urich D, Morales-Nebreda L, Nigdelioglu R, Green D, et al. β₂-Adrenergic agonists augment air pollution-induced IL-6 release and thrombosis. J Clin Invest. 2014;124(7):2935–46. doi:10.1172/JCI75157.</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Ossoli A, Cetti F, Gomaraschi M. Air Pollution: Another Threat to HDL Function. Int J Mol Sci. 2022;24(1):317. doi:10.3390/ijms24010317.</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Münzel T, Daiber A. Environmental stressors and their impact on health and disease with focus on oxidative stress. Antioxid Redox Signal. 2018;28(9):735–40. doi:10.1089/ars.2017.7488.</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Marchini T. Redox and inflammatory mechanisms linking air pollution particulate matter with cardiometabolic derangements. Free Radic Biol Med. 2023;209(Pt 2):320–41. doi:10.1016/j.freeradbiomed.2023.10.396.</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Miller MR. Oxidative stress and the cardiovascular effects of air pollution. Free Radic Biol Med. 2020;151:69–87. doi:10.1016/j.freeradbiomed.2020.01.004.</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Imani P, Grigoryan H, Dudoit S, Shu XO, Wong J, Zhang L, et al. HSA adductomics in the Shanghai Women’s Health Study links lung cancer in never-smokers with air pollution, redox biology, and one-carbon metabolism. Antioxid (Basel). 2025;14(3):335. doi:10.3390/antiox14030335.</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Valdez RB, Al-Hamdan MZ, Tabatabai M, Hood DB, Im W, Wilus D, et al. Association of cardiovascular disease and long-term exposure to fine particulate matter (PM2.5) in the Southeastern United States. Atmosphere (Basel). 2021;12(8):947. doi:10.3390/atmos12080947.</w:t>
      </w:r>
    </w:p>
    <w:p>
      <w:pPr>
        <w:widowControl w:val="0"/>
        <w:numPr>
          <w:ilvl w:val="0"/>
          <w:numId w:val="2"/>
        </w:numPr>
        <w:spacing w:line="480" w:lineRule="auto"/>
        <w:ind w:left="425" w:leftChars="0" w:hanging="425" w:firstLineChars="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Du J, Shao B, Gao Y, Wei Z, Zhang Y, Li H, et al. Relationship between exposure to fine particulate matter and cardiovascular risk factors and the modifying effect of socioeconomic status: a cross-sectional study in Beijing, China. Front Public Health. 2024;12:1398396. doi:10.3389/fpubh.2024.1398396.</w:t>
      </w:r>
    </w:p>
    <w:p>
      <w:pPr>
        <w:widowControl w:val="0"/>
        <w:numPr>
          <w:ilvl w:val="0"/>
          <w:numId w:val="2"/>
        </w:numPr>
        <w:spacing w:line="480" w:lineRule="auto"/>
        <w:ind w:left="425" w:leftChars="0" w:hanging="425" w:firstLineChars="0"/>
        <w:jc w:val="left"/>
        <w:rPr>
          <w:rFonts w:hint="default" w:ascii="Times New Roman" w:hAnsi="Times New Roman" w:cs="Times New Roman"/>
          <w:color w:val="4472C4" w:themeColor="accent5"/>
          <w:sz w:val="24"/>
          <w:szCs w:val="24"/>
          <w:lang w:val="en-US" w:eastAsia="zh-CN"/>
          <w14:textFill>
            <w14:solidFill>
              <w14:schemeClr w14:val="accent5"/>
            </w14:solidFill>
          </w14:textFill>
        </w:rPr>
      </w:pPr>
      <w:r>
        <w:rPr>
          <w:rFonts w:hint="default" w:ascii="Times New Roman" w:hAnsi="Times New Roman" w:cs="Times New Roman"/>
          <w:color w:val="4472C4" w:themeColor="accent5"/>
          <w:sz w:val="24"/>
          <w:szCs w:val="24"/>
          <w:lang w:val="en-US" w:eastAsia="zh-CN"/>
          <w14:textFill>
            <w14:solidFill>
              <w14:schemeClr w14:val="accent5"/>
            </w14:solidFill>
          </w14:textFill>
        </w:rPr>
        <w:t>Ji W, Li L, Cheng Y, Yuan Y, Zhao Y, Wang K, et al. Air pollution, lifestyle, and cardiovascular disease risk in northwestern China: A cohort study of over 5.8 million participants. Environ Int. 2025;199:109459. doi:10.1016/j.envint.2025.109459</w:t>
      </w:r>
    </w:p>
    <w:bookmarkEnd w:id="0"/>
    <w:sectPr>
      <w:pgSz w:w="11906" w:h="16838"/>
      <w:pgMar w:top="1440" w:right="1800" w:bottom="1440" w:left="1800" w:header="851" w:footer="992" w:gutter="0"/>
      <w:pgBorders>
        <w:top w:val="none" w:sz="0" w:space="0"/>
        <w:left w:val="none" w:sz="0" w:space="0"/>
        <w:bottom w:val="none" w:sz="0" w:space="0"/>
        <w:right w:val="none" w:sz="0" w:space="0"/>
      </w:pgBorders>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pPr>
        <w:pStyle w:val="3"/>
        <w:snapToGrid w:val="0"/>
        <w:rPr>
          <w:rFonts w:hint="eastAsia"/>
          <w:lang w:val="en-US" w:eastAsia="zh-CN"/>
        </w:rPr>
      </w:pPr>
      <w:r>
        <w:rPr>
          <w:rFonts w:hint="default" w:ascii="Times New Roman" w:hAnsi="Times New Roman" w:eastAsia="宋体" w:cs="Times New Roman"/>
          <w:b w:val="0"/>
          <w:bCs w:val="0"/>
          <w:sz w:val="18"/>
          <w:szCs w:val="18"/>
          <w:lang w:val="en-US" w:eastAsia="zh-CN"/>
        </w:rPr>
        <w:t>*</w:t>
      </w:r>
      <w:r>
        <w:t xml:space="preserve"> </w:t>
      </w:r>
      <w:r>
        <w:rPr>
          <w:rFonts w:hint="eastAsia"/>
        </w:rPr>
        <w:t>Correspondence:</w:t>
      </w:r>
      <w:r>
        <w:rPr>
          <w:rFonts w:hint="eastAsia"/>
          <w:lang w:val="en-US" w:eastAsia="zh-CN"/>
        </w:rPr>
        <w:t xml:space="preserve"> </w:t>
      </w:r>
      <w:r>
        <w:rPr>
          <w:rFonts w:hint="eastAsia"/>
        </w:rPr>
        <w:t>Xiaoyan Zhou</w:t>
      </w:r>
      <w:r>
        <w:rPr>
          <w:rFonts w:hint="eastAsia"/>
          <w:lang w:val="en-US" w:eastAsia="zh-CN"/>
        </w:rPr>
        <w:t xml:space="preserve"> </w:t>
      </w:r>
    </w:p>
    <w:p>
      <w:pPr>
        <w:pStyle w:val="3"/>
        <w:snapToGrid w:val="0"/>
        <w:rPr>
          <w:rFonts w:hint="eastAsia"/>
        </w:rPr>
      </w:pPr>
      <w:r>
        <w:rPr>
          <w:rFonts w:hint="eastAsia" w:ascii="Times New Roman" w:hAnsi="Times New Roman" w:cs="Times New Roman"/>
          <w:lang w:val="en-US" w:eastAsia="zh-CN"/>
        </w:rPr>
        <w:t>E</w:t>
      </w:r>
      <w:r>
        <w:rPr>
          <w:rFonts w:hint="default" w:ascii="Times New Roman" w:hAnsi="Times New Roman" w:cs="Times New Roman"/>
        </w:rPr>
        <w:t>mail address</w:t>
      </w:r>
      <w:r>
        <w:rPr>
          <w:rFonts w:hint="eastAsia" w:ascii="Times New Roman" w:hAnsi="Times New Roman" w:cs="Times New Roman"/>
          <w:lang w:val="en-US" w:eastAsia="zh-CN"/>
        </w:rPr>
        <w:t>:</w:t>
      </w:r>
      <w:r>
        <w:rPr>
          <w:rFonts w:hint="eastAsia"/>
          <w:lang w:val="en-US" w:eastAsia="zh-CN"/>
        </w:rPr>
        <w:t xml:space="preserve"> </w:t>
      </w:r>
      <w:r>
        <w:rPr>
          <w:rFonts w:hint="eastAsia"/>
        </w:rPr>
        <w:fldChar w:fldCharType="begin"/>
      </w:r>
      <w:r>
        <w:rPr>
          <w:rFonts w:hint="eastAsia"/>
        </w:rPr>
        <w:instrText xml:space="preserve"> HYPERLINK "mailto:13783147053@163.com" </w:instrText>
      </w:r>
      <w:r>
        <w:rPr>
          <w:rFonts w:hint="eastAsia"/>
        </w:rPr>
        <w:fldChar w:fldCharType="separate"/>
      </w:r>
      <w:r>
        <w:rPr>
          <w:rStyle w:val="6"/>
          <w:rFonts w:hint="eastAsia"/>
        </w:rPr>
        <w:t>13783147053@163.com</w:t>
      </w:r>
      <w:r>
        <w:rPr>
          <w:rFonts w:hint="eastAsia"/>
        </w:rPr>
        <w:fldChar w:fldCharType="end"/>
      </w:r>
    </w:p>
    <w:p>
      <w:pPr>
        <w:pStyle w:val="3"/>
        <w:snapToGrid w:val="0"/>
        <w:rPr>
          <w:rFonts w:hint="eastAsia"/>
        </w:rPr>
      </w:pPr>
      <w:r>
        <w:rPr>
          <w:rFonts w:hint="default" w:ascii="Times New Roman" w:hAnsi="Times New Roman" w:eastAsia="宋体" w:cs="Times New Roman"/>
          <w:b w:val="0"/>
          <w:bCs w:val="0"/>
          <w:sz w:val="18"/>
          <w:szCs w:val="18"/>
          <w:lang w:val="en-US" w:eastAsia="zh-CN"/>
        </w:rPr>
        <w:t>Lingxia Li</w:t>
      </w:r>
    </w:p>
    <w:p>
      <w:pPr>
        <w:pStyle w:val="3"/>
        <w:snapToGrid w:val="0"/>
        <w:rPr>
          <w:rFonts w:hint="eastAsia"/>
        </w:rPr>
      </w:pPr>
      <w:r>
        <w:rPr>
          <w:rFonts w:hint="eastAsia" w:ascii="Times New Roman" w:hAnsi="Times New Roman" w:cs="Times New Roman"/>
          <w:lang w:val="en-US" w:eastAsia="zh-CN"/>
        </w:rPr>
        <w:t>E</w:t>
      </w:r>
      <w:r>
        <w:rPr>
          <w:rFonts w:hint="default" w:ascii="Times New Roman" w:hAnsi="Times New Roman" w:cs="Times New Roman"/>
        </w:rPr>
        <w:t>mail address</w:t>
      </w:r>
      <w:r>
        <w:rPr>
          <w:rFonts w:hint="eastAsia" w:ascii="Times New Roman" w:hAnsi="Times New Roman" w:cs="Times New Roman"/>
          <w:lang w:val="en-US" w:eastAsia="zh-CN"/>
        </w:rPr>
        <w:t>:</w:t>
      </w:r>
      <w:r>
        <w:rPr>
          <w:rFonts w:hint="eastAsia"/>
          <w:lang w:val="en-US" w:eastAsia="zh-CN"/>
        </w:rPr>
        <w:t xml:space="preserve"> </w:t>
      </w:r>
      <w:r>
        <w:rPr>
          <w:rFonts w:hint="default" w:eastAsia="宋体" w:cs="Times New Roman" w:asciiTheme="minorAscii" w:hAnsiTheme="minorAscii"/>
          <w:b w:val="0"/>
          <w:bCs w:val="0"/>
          <w:color w:val="0000FF"/>
          <w:sz w:val="18"/>
          <w:szCs w:val="18"/>
          <w:u w:val="single"/>
          <w:lang w:val="en-US" w:eastAsia="zh-CN"/>
        </w:rPr>
        <w:t>1</w:t>
      </w:r>
      <w:r>
        <w:rPr>
          <w:rFonts w:hint="eastAsia" w:eastAsia="宋体" w:cs="Times New Roman" w:asciiTheme="minorAscii" w:hAnsiTheme="minorAscii"/>
          <w:b w:val="0"/>
          <w:bCs w:val="0"/>
          <w:color w:val="0000FF"/>
          <w:sz w:val="18"/>
          <w:szCs w:val="18"/>
          <w:u w:val="single"/>
          <w:lang w:val="en-US" w:eastAsia="zh-CN"/>
        </w:rPr>
        <w:t>8357581372</w:t>
      </w:r>
      <w:r>
        <w:rPr>
          <w:rFonts w:hint="default" w:eastAsia="宋体" w:cs="Times New Roman" w:asciiTheme="minorAscii" w:hAnsiTheme="minorAscii"/>
          <w:b w:val="0"/>
          <w:bCs w:val="0"/>
          <w:color w:val="0000FF"/>
          <w:sz w:val="18"/>
          <w:szCs w:val="18"/>
          <w:u w:val="single"/>
          <w:vertAlign w:val="baseline"/>
          <w:lang w:val="en-US" w:eastAsia="zh-CN"/>
        </w:rPr>
        <w:t>@163.com</w:t>
      </w:r>
    </w:p>
    <w:p>
      <w:pPr>
        <w:pStyle w:val="3"/>
        <w:snapToGrid w:val="0"/>
        <w:rPr>
          <w:rFonts w:hint="default" w:ascii="Times New Roman" w:hAnsi="Times New Roman" w:eastAsia="宋体" w:cs="Times New Roman"/>
          <w:b w:val="0"/>
          <w:bCs w:val="0"/>
          <w:sz w:val="18"/>
          <w:szCs w:val="18"/>
          <w:vertAlign w:val="baseline"/>
          <w:lang w:val="en-US" w:eastAsia="zh-CN"/>
        </w:rPr>
      </w:pPr>
      <w:r>
        <w:rPr>
          <w:rFonts w:hint="eastAsia" w:ascii="Times New Roman" w:hAnsi="Times New Roman" w:eastAsia="宋体" w:cs="Times New Roman"/>
          <w:b w:val="0"/>
          <w:bCs w:val="0"/>
          <w:sz w:val="18"/>
          <w:szCs w:val="18"/>
          <w:vertAlign w:val="superscript"/>
          <w:lang w:val="en-US" w:eastAsia="zh-CN"/>
        </w:rPr>
        <w:t>1</w:t>
      </w:r>
      <w:r>
        <w:rPr>
          <w:rFonts w:hint="default" w:ascii="Times New Roman" w:hAnsi="Times New Roman" w:eastAsia="宋体" w:cs="Times New Roman"/>
          <w:b w:val="0"/>
          <w:bCs w:val="0"/>
          <w:sz w:val="18"/>
          <w:szCs w:val="18"/>
          <w:vertAlign w:val="baseline"/>
          <w:lang w:val="en-US" w:eastAsia="zh-CN"/>
        </w:rPr>
        <w:t>Yan’an University Medical College, Yan’an, Shaanxi</w:t>
      </w:r>
      <w:r>
        <w:rPr>
          <w:rFonts w:hint="eastAsia" w:ascii="Times New Roman" w:hAnsi="Times New Roman" w:eastAsia="宋体" w:cs="Times New Roman"/>
          <w:b w:val="0"/>
          <w:bCs w:val="0"/>
          <w:sz w:val="18"/>
          <w:szCs w:val="18"/>
          <w:vertAlign w:val="baseline"/>
          <w:lang w:val="en-US" w:eastAsia="zh-CN"/>
        </w:rPr>
        <w:t>, China</w:t>
      </w:r>
    </w:p>
    <w:p>
      <w:pPr>
        <w:pStyle w:val="3"/>
        <w:snapToGrid w:val="0"/>
        <w:rPr>
          <w:rFonts w:hint="default" w:ascii="Times New Roman" w:hAnsi="Times New Roman" w:eastAsia="宋体" w:cs="Times New Roman"/>
          <w:b w:val="0"/>
          <w:bCs w:val="0"/>
          <w:sz w:val="18"/>
          <w:szCs w:val="18"/>
          <w:vertAlign w:val="baseline"/>
          <w:lang w:val="en-US" w:eastAsia="zh-CN"/>
        </w:rPr>
      </w:pPr>
      <w:r>
        <w:rPr>
          <w:rFonts w:hint="default" w:ascii="Times New Roman" w:hAnsi="Times New Roman" w:eastAsia="宋体" w:cs="Times New Roman"/>
          <w:b w:val="0"/>
          <w:bCs w:val="0"/>
          <w:sz w:val="18"/>
          <w:szCs w:val="18"/>
          <w:vertAlign w:val="superscript"/>
          <w:lang w:val="en-US" w:eastAsia="zh-CN"/>
        </w:rPr>
        <w:t>2</w:t>
      </w:r>
      <w:r>
        <w:rPr>
          <w:rFonts w:hint="default" w:ascii="Times New Roman" w:hAnsi="Times New Roman" w:eastAsia="宋体" w:cs="Times New Roman"/>
          <w:b w:val="0"/>
          <w:bCs w:val="0"/>
          <w:sz w:val="18"/>
          <w:szCs w:val="18"/>
          <w:vertAlign w:val="baseline"/>
          <w:lang w:val="en-US" w:eastAsia="zh-CN"/>
        </w:rPr>
        <w:t xml:space="preserve"> Yan'an University Affiliated Hospital, Yan'an, Shaanxi</w:t>
      </w:r>
      <w:r>
        <w:rPr>
          <w:rFonts w:hint="eastAsia" w:ascii="Times New Roman" w:hAnsi="Times New Roman" w:eastAsia="宋体" w:cs="Times New Roman"/>
          <w:b w:val="0"/>
          <w:bCs w:val="0"/>
          <w:sz w:val="18"/>
          <w:szCs w:val="18"/>
          <w:vertAlign w:val="baseline"/>
          <w:lang w:val="en-US" w:eastAsia="zh-CN"/>
        </w:rPr>
        <w:t>, China</w:t>
      </w:r>
    </w:p>
    <w:p>
      <w:pPr>
        <w:pStyle w:val="3"/>
        <w:snapToGrid w:val="0"/>
        <w:rPr>
          <w:rFonts w:hint="eastAsia" w:ascii="Times New Roman" w:hAnsi="Times New Roman" w:eastAsia="宋体" w:cs="Times New Roman"/>
          <w:b w:val="0"/>
          <w:bCs w:val="0"/>
          <w:sz w:val="18"/>
          <w:szCs w:val="18"/>
          <w:vertAlign w:val="baseline"/>
          <w:lang w:val="en-US" w:eastAsia="zh-CN"/>
        </w:rPr>
      </w:pPr>
      <w:r>
        <w:rPr>
          <w:rFonts w:hint="eastAsia" w:ascii="Times New Roman" w:hAnsi="Times New Roman" w:eastAsia="宋体" w:cs="Times New Roman"/>
          <w:b w:val="0"/>
          <w:bCs w:val="0"/>
          <w:sz w:val="18"/>
          <w:szCs w:val="18"/>
          <w:vertAlign w:val="superscript"/>
          <w:lang w:val="en-US" w:eastAsia="zh-CN"/>
        </w:rPr>
        <w:t>3</w:t>
      </w:r>
      <w:r>
        <w:rPr>
          <w:rFonts w:hint="eastAsia" w:ascii="Times New Roman" w:hAnsi="Times New Roman" w:eastAsia="宋体" w:cs="Times New Roman"/>
          <w:b w:val="0"/>
          <w:bCs w:val="0"/>
          <w:sz w:val="18"/>
          <w:szCs w:val="18"/>
          <w:vertAlign w:val="baseline"/>
          <w:lang w:val="en-US" w:eastAsia="zh-CN"/>
        </w:rPr>
        <w:t>Yan'an Key Laboratory of Anesthesiology, Yan'an, Shaanxi, China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0CE590"/>
    <w:multiLevelType w:val="singleLevel"/>
    <w:tmpl w:val="E00CE590"/>
    <w:lvl w:ilvl="0" w:tentative="0">
      <w:start w:val="1"/>
      <w:numFmt w:val="decimal"/>
      <w:lvlText w:val="%1."/>
      <w:lvlJc w:val="left"/>
      <w:pPr>
        <w:ind w:left="425" w:hanging="425"/>
      </w:pPr>
      <w:rPr>
        <w:rFonts w:hint="default"/>
      </w:rPr>
    </w:lvl>
  </w:abstractNum>
  <w:abstractNum w:abstractNumId="1">
    <w:nsid w:val="6731E3CC"/>
    <w:multiLevelType w:val="singleLevel"/>
    <w:tmpl w:val="6731E3CC"/>
    <w:lvl w:ilvl="0" w:tentative="0">
      <w:start w:val="2"/>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2"/>
    <w:footnote w:id="3"/>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A81AED"/>
    <w:rsid w:val="01F25EA6"/>
    <w:rsid w:val="06274D9A"/>
    <w:rsid w:val="09BD0105"/>
    <w:rsid w:val="11F44EBD"/>
    <w:rsid w:val="13DF5447"/>
    <w:rsid w:val="231801E9"/>
    <w:rsid w:val="298E56BA"/>
    <w:rsid w:val="29E90A19"/>
    <w:rsid w:val="2AA81AED"/>
    <w:rsid w:val="31E443DC"/>
    <w:rsid w:val="393C515C"/>
    <w:rsid w:val="3A6667BE"/>
    <w:rsid w:val="3E2E4312"/>
    <w:rsid w:val="46A30228"/>
    <w:rsid w:val="476219E8"/>
    <w:rsid w:val="50C00528"/>
    <w:rsid w:val="57B936FA"/>
    <w:rsid w:val="628B566E"/>
    <w:rsid w:val="64135883"/>
    <w:rsid w:val="76A562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footnote text"/>
    <w:basedOn w:val="1"/>
    <w:qFormat/>
    <w:uiPriority w:val="0"/>
    <w:pPr>
      <w:snapToGrid w:val="0"/>
      <w:jc w:val="left"/>
    </w:pPr>
    <w:rPr>
      <w:sz w:val="18"/>
    </w:rPr>
  </w:style>
  <w:style w:type="character" w:styleId="6">
    <w:name w:val="Hyperlink"/>
    <w:basedOn w:val="5"/>
    <w:qFormat/>
    <w:uiPriority w:val="0"/>
    <w:rPr>
      <w:color w:val="0000FF"/>
      <w:u w:val="single"/>
    </w:rPr>
  </w:style>
  <w:style w:type="character" w:styleId="7">
    <w:name w:val="footnote reference"/>
    <w:basedOn w:val="5"/>
    <w:qFormat/>
    <w:uiPriority w:val="0"/>
    <w:rPr>
      <w:vertAlign w:val="superscript"/>
    </w:rPr>
  </w:style>
  <w:style w:type="character" w:customStyle="1" w:styleId="8">
    <w:name w:val="font11"/>
    <w:basedOn w:val="5"/>
    <w:qFormat/>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5701</Words>
  <Characters>35005</Characters>
  <Lines>0</Lines>
  <Paragraphs>0</Paragraphs>
  <TotalTime>1</TotalTime>
  <ScaleCrop>false</ScaleCrop>
  <LinksUpToDate>false</LinksUpToDate>
  <CharactersWithSpaces>40238</CharactersWithSpaces>
  <Application>WPS Office_11.8.2.11978_F1E327BC-269C-435d-A152-05C5408002CA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2025-06-16T10:21:00Z</dcterms:created>
  <dc:creator>チヨシパー</dc:creator>
  <cp:lastModifiedBy>チヨシパー</cp:lastModifiedBy>
  <dcterms:modified xsi:type="dcterms:W3CDTF">2025-09-04T11:26:07Z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2052-11.8.2.11978</vt:lpwstr>
  </property>
  <property fmtid="{D5CDD505-2E9C-101B-9397-08002B2CF9AE}" pid="3" name="ICV">
    <vt:lpwstr>1652E9CE2E334D11A29E938D904924E3</vt:lpwstr>
  </property>
</Properties>
</file>