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b/>
          <w:bCs/>
          <w:color w:val="000000" w:themeColor="text1"/>
          <w:sz w:val="44"/>
          <w:szCs w:val="44"/>
          <w:lang w:val="en-US" w:eastAsia="zh-CN"/>
          <w14:textFill>
            <w14:solidFill>
              <w14:schemeClr w14:val="tx1"/>
            </w14:solidFill>
          </w14:textFill>
        </w:rPr>
      </w:pPr>
      <w:r>
        <w:rPr>
          <w:rFonts w:hint="default" w:ascii="Times New Roman" w:hAnsi="Times New Roman" w:cs="Times New Roman"/>
          <w:b/>
          <w:bCs/>
          <w:color w:val="000000" w:themeColor="text1"/>
          <w:sz w:val="44"/>
          <w:szCs w:val="44"/>
          <w:lang w:val="en-US" w:eastAsia="zh-CN"/>
          <w14:textFill>
            <w14:solidFill>
              <w14:schemeClr w14:val="tx1"/>
            </w14:solidFill>
          </w14:textFill>
        </w:rPr>
        <w:t>The Association Between Air Pollution and Cardiovascular Health in Middle-Aged and Older Chinese Adults: Cross-Sectional and Prospective Analyses</w:t>
      </w:r>
    </w:p>
    <w:p>
      <w:pPr>
        <w:keepNext w:val="0"/>
        <w:keepLines w:val="0"/>
        <w:pageBreakBefore w:val="0"/>
        <w:widowControl w:val="0"/>
        <w:kinsoku/>
        <w:wordWrap/>
        <w:overflowPunct/>
        <w:topLinePunct w:val="0"/>
        <w:autoSpaceDE/>
        <w:autoSpaceDN/>
        <w:bidi w:val="0"/>
        <w:adjustRightInd/>
        <w:snapToGrid/>
        <w:spacing w:before="360" w:line="480" w:lineRule="auto"/>
        <w:jc w:val="center"/>
        <w:textAlignment w:val="auto"/>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Zhening Xu</w:t>
      </w:r>
      <w:r>
        <w:rPr>
          <w:rFonts w:hint="default" w:ascii="Times New Roman" w:hAnsi="Times New Roman" w:eastAsia="宋体" w:cs="Times New Roman"/>
          <w:b w:val="0"/>
          <w:bCs w:val="0"/>
          <w:i/>
          <w:iCs/>
          <w:color w:val="000000" w:themeColor="text1"/>
          <w:sz w:val="24"/>
          <w:szCs w:val="24"/>
          <w:vertAlign w:val="superscript"/>
          <w:lang w:val="en-US" w:eastAsia="zh-CN"/>
          <w14:textFill>
            <w14:solidFill>
              <w14:schemeClr w14:val="tx1"/>
            </w14:solidFill>
          </w14:textFill>
        </w:rPr>
        <w:t xml:space="preserve">1# </w:t>
      </w: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 Yuyu Cui</w:t>
      </w:r>
      <w:r>
        <w:rPr>
          <w:rFonts w:hint="default" w:ascii="Times New Roman" w:hAnsi="Times New Roman" w:eastAsia="宋体" w:cs="Times New Roman"/>
          <w:b w:val="0"/>
          <w:bCs w:val="0"/>
          <w:i/>
          <w:iCs/>
          <w:color w:val="000000" w:themeColor="text1"/>
          <w:sz w:val="24"/>
          <w:szCs w:val="24"/>
          <w:vertAlign w:val="superscript"/>
          <w:lang w:val="en-US" w:eastAsia="zh-CN"/>
          <w14:textFill>
            <w14:solidFill>
              <w14:schemeClr w14:val="tx1"/>
            </w14:solidFill>
          </w14:textFill>
        </w:rPr>
        <w:t>1#</w:t>
      </w: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 xml:space="preserve"> , Lijuan Ding</w:t>
      </w:r>
      <w:r>
        <w:rPr>
          <w:rFonts w:hint="default" w:ascii="Times New Roman" w:hAnsi="Times New Roman" w:eastAsia="宋体" w:cs="Times New Roman"/>
          <w:b w:val="0"/>
          <w:bCs w:val="0"/>
          <w:i/>
          <w:iCs/>
          <w:color w:val="000000" w:themeColor="text1"/>
          <w:sz w:val="24"/>
          <w:szCs w:val="24"/>
          <w:vertAlign w:val="superscript"/>
          <w:lang w:val="en-US" w:eastAsia="zh-CN"/>
          <w14:textFill>
            <w14:solidFill>
              <w14:schemeClr w14:val="tx1"/>
            </w14:solidFill>
          </w14:textFill>
        </w:rPr>
        <w:t>1</w:t>
      </w: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 xml:space="preserve"> , Xiaoyan Zhou</w:t>
      </w:r>
      <w:r>
        <w:rPr>
          <w:rStyle w:val="6"/>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footnoteReference w:id="0"/>
      </w: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 ,Lingxia Li</w:t>
      </w:r>
      <w:r>
        <w:rPr>
          <w:rFonts w:hint="default" w:ascii="Times New Roman" w:hAnsi="Times New Roman" w:eastAsia="宋体" w:cs="Times New Roman"/>
          <w:b w:val="0"/>
          <w:bCs w:val="0"/>
          <w:i/>
          <w:iCs/>
          <w:color w:val="000000" w:themeColor="text1"/>
          <w:sz w:val="24"/>
          <w:szCs w:val="24"/>
          <w:vertAlign w:val="superscript"/>
          <w:lang w:val="en-US" w:eastAsia="zh-CN"/>
          <w14:textFill>
            <w14:solidFill>
              <w14:schemeClr w14:val="tx1"/>
            </w14:solidFill>
          </w14:textFill>
        </w:rPr>
        <w:t>2,3</w:t>
      </w:r>
      <w:r>
        <w:rPr>
          <w:rFonts w:hint="default" w:ascii="Times New Roman" w:hAnsi="Times New Roman" w:eastAsia="宋体" w:cs="Times New Roman"/>
          <w:b w:val="0"/>
          <w:bCs w:val="0"/>
          <w:i/>
          <w:iCs/>
          <w:color w:val="000000" w:themeColor="text1"/>
          <w:sz w:val="24"/>
          <w:szCs w:val="24"/>
          <w:lang w:val="en-US" w:eastAsia="zh-CN"/>
          <w14:textFill>
            <w14:solidFill>
              <w14:schemeClr w14:val="tx1"/>
            </w14:solidFill>
          </w14:textFill>
        </w:rPr>
        <w:t>*</w:t>
      </w:r>
    </w:p>
    <w:p>
      <w:pPr>
        <w:spacing w:line="480" w:lineRule="auto"/>
        <w:jc w:val="cente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vertAlign w:val="baseline"/>
          <w:lang w:val="en-US" w:eastAsia="zh-CN"/>
          <w14:textFill>
            <w14:solidFill>
              <w14:schemeClr w14:val="tx1"/>
            </w14:solidFill>
          </w14:textFill>
        </w:rPr>
        <w:t xml:space="preserve">¹ </w:t>
      </w:r>
      <w: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t>Yan'an Medical college of Yan'an University, Yan'an, Shaanxi 716000, China</w:t>
      </w:r>
    </w:p>
    <w:p>
      <w:pPr>
        <w:spacing w:line="480" w:lineRule="auto"/>
        <w:jc w:val="cente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t>² Department of Anesthesiology, Yan’an University Affiliated Hospital, Yan’an, Shaanxi, China</w:t>
      </w:r>
    </w:p>
    <w:p>
      <w:pPr>
        <w:spacing w:line="480" w:lineRule="auto"/>
        <w:jc w:val="cente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t>Yan'an Key Laboratory of Anesthesiology, Yan'an, Shaanxi, China</w:t>
      </w:r>
    </w:p>
    <w:p>
      <w:pPr>
        <w:spacing w:line="480" w:lineRule="auto"/>
        <w:jc w:val="cente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t>*Correspondence:</w:t>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t xml:space="preserve"> </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Xiaoyan Zhou (Email:</w:t>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t xml:space="preserve"> 13783147053@163.com)</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 xml:space="preserve">; Lingxia Li (Email: </w:t>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fldChar w:fldCharType="begin"/>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instrText xml:space="preserve"> HYPERLINK "mailto:18357581372@163.com)" </w:instrText>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fldChar w:fldCharType="separate"/>
      </w:r>
      <w:r>
        <w:rPr>
          <w:rStyle w:val="5"/>
          <w:rFonts w:hint="default" w:ascii="Times New Roman" w:hAnsi="Times New Roman" w:eastAsia="宋体" w:cs="Times New Roman"/>
          <w:b w:val="0"/>
          <w:bCs w:val="0"/>
          <w:i/>
          <w:iCs/>
          <w:color w:val="000000" w:themeColor="text1"/>
          <w:sz w:val="24"/>
          <w:szCs w:val="24"/>
          <w:vertAlign w:val="baseline"/>
          <w:lang w:val="en-US" w:eastAsia="zh-CN"/>
          <w14:textFill>
            <w14:solidFill>
              <w14:schemeClr w14:val="tx1"/>
            </w14:solidFill>
          </w14:textFill>
        </w:rPr>
        <w:t>18357581372@163.com)</w:t>
      </w:r>
      <w:r>
        <w:rPr>
          <w:rFonts w:hint="default" w:ascii="Times New Roman" w:hAnsi="Times New Roman" w:eastAsia="宋体" w:cs="Times New Roman"/>
          <w:b w:val="0"/>
          <w:bCs w:val="0"/>
          <w:i/>
          <w:iCs/>
          <w:color w:val="000000" w:themeColor="text1"/>
          <w:sz w:val="24"/>
          <w:szCs w:val="24"/>
          <w:u w:val="single"/>
          <w:vertAlign w:val="baseline"/>
          <w:lang w:val="en-US" w:eastAsia="zh-CN"/>
          <w14:textFill>
            <w14:solidFill>
              <w14:schemeClr w14:val="tx1"/>
            </w14:solidFill>
          </w14:textFill>
        </w:rPr>
        <w:fldChar w:fldCharType="end"/>
      </w:r>
    </w:p>
    <w:p>
      <w:pPr>
        <w:spacing w:line="480" w:lineRule="auto"/>
        <w:jc w:val="cente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u w:val="none"/>
          <w:vertAlign w:val="superscript"/>
          <w:lang w:val="en-US" w:eastAsia="zh-CN"/>
          <w14:textFill>
            <w14:solidFill>
              <w14:schemeClr w14:val="tx1"/>
            </w14:solidFill>
          </w14:textFill>
        </w:rPr>
        <w:t>#</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 xml:space="preserve"> These authors contributed equally to this work.</w:t>
      </w:r>
    </w:p>
    <w:p>
      <w:p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Abstract</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Objective:</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This study investigated the association between long-term exposure to multiple ambient air pollutants and the risk of heart disease among middle-aged and older adults in China, and assessed the robustness of results as well as potential population heterogeneity through sensitivity and stratified analyses.</w:t>
      </w: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Methods: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We used nationally representative data from the China Health and Retirement Longitudinal Study (CHARLS). A total of 9,403 participants were included in the cross-sectional analysis, and 7,750 participants free of heart disease at baseline were prospectively followed for 9 years (2011–2020). Annual average concentrations of PM₁, PM₂.₅, PM₁₀, NO₂, and O₃ were estimated using the high-resolution spatiotemporal China High Air Pollution (CHAP) model and assigned to participants based on city-level geocoded residential information. Logistic regression was applied for cross-sectional analyses, while Cox proportional hazards models were used for longitudinal analyses with stepwise adjustment for demographic, lifestyle, and clinical covariates. Multi-pollutant models and sensitivity tests were additionally performed.</w:t>
      </w: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Results: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In the cross-sectional analysis, only PM₁₀ was significantly associated with prevalent heart disease (</w:t>
      </w:r>
      <w:r>
        <w:rPr>
          <w:rFonts w:hint="default" w:ascii="Times New Roman" w:hAnsi="Times New Roman" w:cs="Times New Roman"/>
          <w:i/>
          <w:iCs/>
          <w:color w:val="000000" w:themeColor="text1"/>
          <w:sz w:val="24"/>
          <w:szCs w:val="24"/>
          <w:lang w:val="en-US" w:eastAsia="zh-CN"/>
          <w14:textFill>
            <w14:solidFill>
              <w14:schemeClr w14:val="tx1"/>
            </w14:solidFill>
          </w14:textFill>
        </w:rPr>
        <w:t>OR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1.002,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1.000–1.004,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0.019). In the longitudinal analysis, each 1-SD increase in PM₁₀ and PM₂.₅ was associated with a 22.3% (HR = 1.223,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1.163–1.285) and 15.1% (</w:t>
      </w:r>
      <w:r>
        <w:rPr>
          <w:rFonts w:hint="default" w:ascii="Times New Roman" w:hAnsi="Times New Roman" w:cs="Times New Roman"/>
          <w:i/>
          <w:iCs/>
          <w:color w:val="000000" w:themeColor="text1"/>
          <w:sz w:val="24"/>
          <w:szCs w:val="24"/>
          <w:lang w:val="en-US" w:eastAsia="zh-CN"/>
          <w14:textFill>
            <w14:solidFill>
              <w14:schemeClr w14:val="tx1"/>
            </w14:solidFill>
          </w14:textFill>
        </w:rPr>
        <w:t>HR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1.151,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1.090–1.215) higher risk of incident heart disease, respectively (both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0.001). PM₁ and NO₂ were also positively associated with incident risk. For O₃, no significant association was observed in single-pollutant models (</w:t>
      </w:r>
      <w:r>
        <w:rPr>
          <w:rFonts w:hint="default" w:ascii="Times New Roman" w:hAnsi="Times New Roman" w:cs="Times New Roman"/>
          <w:i/>
          <w:iCs/>
          <w:color w:val="000000" w:themeColor="text1"/>
          <w:sz w:val="24"/>
          <w:szCs w:val="24"/>
          <w:lang w:val="en-US" w:eastAsia="zh-CN"/>
          <w14:textFill>
            <w14:solidFill>
              <w14:schemeClr w14:val="tx1"/>
            </w14:solidFill>
          </w14:textFill>
        </w:rPr>
        <w:t>HR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0.957,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0.908–1.009), but a negative association emerged after simultaneous adjustment for NO₂ in multi-pollutant models (</w:t>
      </w:r>
      <w:r>
        <w:rPr>
          <w:rFonts w:hint="default" w:ascii="Times New Roman" w:hAnsi="Times New Roman" w:cs="Times New Roman"/>
          <w:i/>
          <w:iCs/>
          <w:color w:val="000000" w:themeColor="text1"/>
          <w:sz w:val="24"/>
          <w:szCs w:val="24"/>
          <w:lang w:val="en-US" w:eastAsia="zh-CN"/>
          <w14:textFill>
            <w14:solidFill>
              <w14:schemeClr w14:val="tx1"/>
            </w14:solidFill>
          </w14:textFill>
        </w:rPr>
        <w:t>HR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0.779,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0.700–0.867), indicating high sensitivity to co-pollutant adjustment and exposure windows. Subgroup analyses suggested higher risks among women, rural residents, and individuals with lower education, although no significant interactions were detected.</w:t>
      </w: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Conclusions: </w:t>
      </w:r>
      <w:r>
        <w:rPr>
          <w:rFonts w:hint="default" w:ascii="Times New Roman" w:hAnsi="Times New Roman" w:cs="Times New Roman"/>
          <w:color w:val="000000" w:themeColor="text1"/>
          <w:sz w:val="24"/>
          <w:szCs w:val="24"/>
          <w:lang w:val="en-US" w:eastAsia="zh-CN"/>
          <w14:textFill>
            <w14:solidFill>
              <w14:schemeClr w14:val="tx1"/>
            </w14:solidFill>
          </w14:textFill>
        </w:rPr>
        <w:t>Long-term exposure to PM₁, PM₂.₅, and PM₁₀ was robustly associated with an increased risk of heart disease, and this study provides novel epidemiological evidence for PM₁. These findings underscore particulate matter pollution as a modifiable risk factor and highlight the importance of targeted public health strategies for susceptible populations.</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Keywords: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Particulate Matter (PM); Heart Disease; Air Pollution; Cohort Study; Environmental Health</w:t>
      </w:r>
    </w:p>
    <w:p>
      <w:p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drawing>
          <wp:inline distT="0" distB="0" distL="114300" distR="114300">
            <wp:extent cx="2773680" cy="2291715"/>
            <wp:effectExtent l="0" t="0" r="7620" b="3810"/>
            <wp:docPr id="3" name="图片 3" descr="屏幕截图 2025-07-05 16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幕截图 2025-07-05 162405"/>
                    <pic:cNvPicPr>
                      <a:picLocks noChangeAspect="1"/>
                    </pic:cNvPicPr>
                  </pic:nvPicPr>
                  <pic:blipFill>
                    <a:blip r:embed="rId5"/>
                    <a:stretch>
                      <a:fillRect/>
                    </a:stretch>
                  </pic:blipFill>
                  <pic:spPr>
                    <a:xfrm>
                      <a:off x="0" y="0"/>
                      <a:ext cx="2773680" cy="2291715"/>
                    </a:xfrm>
                    <a:prstGeom prst="rect">
                      <a:avLst/>
                    </a:prstGeom>
                  </pic:spPr>
                </pic:pic>
              </a:graphicData>
            </a:graphic>
          </wp:inline>
        </w:drawing>
      </w:r>
    </w:p>
    <w:p>
      <w:p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Figure 1</w:t>
      </w:r>
      <w:r>
        <w:rPr>
          <w:rFonts w:hint="default" w:ascii="Times New Roman" w:hAnsi="Times New Roman" w:cs="Times New Roman"/>
          <w:color w:val="000000" w:themeColor="text1"/>
          <w:sz w:val="24"/>
          <w:szCs w:val="24"/>
          <w:lang w:val="en-US" w:eastAsia="zh-CN"/>
          <w14:textFill>
            <w14:solidFill>
              <w14:schemeClr w14:val="tx1"/>
            </w14:solidFill>
          </w14:textFill>
        </w:rPr>
        <w:t>. Geographic Distributio</w:t>
      </w:r>
      <w:bookmarkStart w:id="0" w:name="_GoBack"/>
      <w:bookmarkEnd w:id="0"/>
      <w:r>
        <w:rPr>
          <w:rFonts w:hint="default" w:ascii="Times New Roman" w:hAnsi="Times New Roman" w:cs="Times New Roman"/>
          <w:color w:val="000000" w:themeColor="text1"/>
          <w:sz w:val="24"/>
          <w:szCs w:val="24"/>
          <w:lang w:val="en-US" w:eastAsia="zh-CN"/>
          <w14:textFill>
            <w14:solidFill>
              <w14:schemeClr w14:val="tx1"/>
            </w14:solidFill>
          </w14:textFill>
        </w:rPr>
        <w:t>n of Sampling Sites Across Seven Regions of China</w:t>
      </w:r>
    </w:p>
    <w:p>
      <w:pPr>
        <w:spacing w:line="480" w:lineRule="auto"/>
        <w:jc w:val="left"/>
        <w:rPr>
          <w:rFonts w:hint="default" w:ascii="Times New Roman" w:hAnsi="Times New Roman" w:cs="Times New Roman"/>
          <w:b w:val="0"/>
          <w:bCs w:val="0"/>
          <w:color w:val="C00000"/>
          <w:sz w:val="21"/>
          <w:szCs w:val="21"/>
          <w:lang w:val="en-US" w:eastAsia="zh-CN"/>
        </w:rPr>
      </w:pPr>
      <w:r>
        <w:rPr>
          <w:rFonts w:hint="default" w:ascii="Times New Roman" w:hAnsi="Times New Roman" w:cs="Times New Roman"/>
          <w:b/>
          <w:bCs/>
          <w:color w:val="C00000"/>
          <w:sz w:val="21"/>
          <w:szCs w:val="21"/>
          <w:lang w:val="en-US" w:eastAsia="zh-CN"/>
        </w:rPr>
        <w:t xml:space="preserve">Figure 1: </w:t>
      </w:r>
      <w:r>
        <w:rPr>
          <w:rFonts w:hint="default" w:ascii="Times New Roman" w:hAnsi="Times New Roman" w:cs="Times New Roman"/>
          <w:b w:val="0"/>
          <w:bCs w:val="0"/>
          <w:color w:val="C00000"/>
          <w:sz w:val="21"/>
          <w:szCs w:val="21"/>
          <w:lang w:val="en-US" w:eastAsia="zh-CN"/>
        </w:rPr>
        <w:t>Map generated by the authors using R software (version 4.4.1; https://www.r-project.org/) with publicly available data from the GeoJSON China Map Dataset (https://geojson.cn/data/file/Tiandi_China), with additional point data from the CHARLS dataset. The coordinate system used is CGCS2000 (EPSG:4490).</w:t>
      </w: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1 Introduction</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Cardiovascular disease (CVD) is among the most prevalent non-communicable diseases (NCDs) worldwide, accounting for nearly one-third of all global deaths [1]. It remains a leading public health challenge, driving both mortality and disease burden on a global scale. According to the Global Burden of Disease (GBD) 2019 report, CVD was responsible for approximately 5.09 million deaths in China, and its share of total national mortality has continued to increase [2,3]. Within the spectrum of CVD subtypes, heart disease (HD)—encompassing myocardial infarction (MI), coronary heart disease (CHD), and heart failure (HF)—represents the predominant contributor and poses a particularly severe threat to population health [4,5].</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Air pollution is widely recognized as a major modifiable risk factor for CVD</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[6]. The Global Burden of Disease (GBD) study reported that, in 2015, air pollution–related diseases accounted for approximately 4.2 million deaths worldwide, representing 7.6% of all global deaths, and contributed to an estimated 103 million disability-adjusted life years (DALYs), nearly 19% of which were attributable to cardiovascular mortality [7]. The World Health Organization (WHO) has further highlighted that the burden of air pollution is particularly pronounced for CVD and stroke, together responsible for more than one-third of all pollution-related deaths [8]. Air pollution is composed of both particulate matter and gaseous pollutants, whose physicochemical characteristics and toxicities vary across time and space [9]. Fine particulate matter (PM₂.₅, aerodynamic diameter &lt;2.5 μm) and inhalable particulate matter (PM₁₀, aerodynamic diameter &lt;10 μm) can penetrate deep into the respiratory tract, leading to systemic adverse health effects [10]. Nitrogen oxides (NOx) and ozone (O₃), primarily generated from traffic and industrial combustion, can further contribute to or intensify particulate pollution through secondary reactions [9]. Emerging evidence suggests that no safe threshold exists for the risk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associated with air pollution.</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With respect to underlying mechanisms, extensive evidence indicates that exposure to PM₂.₅, PM₁₀, NO₂, and O₃ can accelerate atherosclerosis and vascular injury through pathways involving oxidative stress [11], endothelial dysfunction [12,13], and systemic inflammation [14], thereby elevating the risk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[15]. Epidemiological studies further substantiate these associations. The European Study of Cohorts for Air Pollution Effects (ESCAPE), encompassing 11 countries, reported that long-term PM₂.₅ exposure was significantly associated with an increased risk of coronary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events, even at concentrations below the legal limits set by the European Union [16]. Likewise, the United States Environmental Protection Agency (EPA), in its Integrated Science Assessment for Particulate Matter (2019) and the 2022 supplemental report, synthesized extensive evidence linking PM₂.₅ exposure to elevated risks of cardiovascular events, including myocardial infarction, stroke, and heart failure, with many findings specifically implicating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outcomes [17]. Evidence from the UK Biobank cohort further demonstrated that long-term exposure to PM₂.₅, PM₁₀, and NO₂/NOₓ was associated with increased risks of coronary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potentially mediated by leukocyte telomere length [1</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 Additional analyses revealed that these pollutants were also related to higher risks of ventricular arrhythmias, with more pronounced effects observed among genetically susceptible individuals [</w:t>
      </w:r>
      <w:r>
        <w:rPr>
          <w:rFonts w:hint="eastAsia" w:ascii="Times New Roman" w:hAnsi="Times New Roman" w:cs="Times New Roman"/>
          <w:color w:val="000000" w:themeColor="text1"/>
          <w:sz w:val="24"/>
          <w:szCs w:val="24"/>
          <w:lang w:val="en-US" w:eastAsia="zh-CN"/>
          <w14:textFill>
            <w14:solidFill>
              <w14:schemeClr w14:val="tx1"/>
            </w14:solidFill>
          </w14:textFill>
        </w:rPr>
        <w:t>19</w:t>
      </w:r>
      <w:r>
        <w:rPr>
          <w:rFonts w:hint="default" w:ascii="Times New Roman" w:hAnsi="Times New Roman" w:cs="Times New Roman"/>
          <w:color w:val="000000" w:themeColor="text1"/>
          <w:sz w:val="24"/>
          <w:szCs w:val="24"/>
          <w:lang w:val="en-US" w:eastAsia="zh-CN"/>
          <w14:textFill>
            <w14:solidFill>
              <w14:schemeClr w14:val="tx1"/>
            </w14:solidFill>
          </w14:textFill>
        </w:rPr>
        <w:t>]. Systematic reviews and meta-analyses have reinforced these findings, showing that short-term exposure to PM and NOx is associated with increased risks of myocardial infarction, hypertension, and stroke, while long-term PM₂.₅ exposure is consistently linked to myocardial infarction and atherosclerosis. Moreover, limited evidence suggests positive associations with heart failure, arrhythmias, and atrial fibrillation [2</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cs="Times New Roman"/>
          <w:color w:val="000000" w:themeColor="text1"/>
          <w:sz w:val="24"/>
          <w:szCs w:val="24"/>
          <w:lang w:val="en-US" w:eastAsia="zh-CN"/>
          <w14:textFill>
            <w14:solidFill>
              <w14:schemeClr w14:val="tx1"/>
            </w14:solidFill>
          </w14:textFill>
        </w:rPr>
        <w:t>]. Importantly, significant associations between air pollution and adverse cardiovascular outcomes have been observed even in countries with relatively low levels of pollution. In contrast, research in low- and middle-income countries (LMICs) remains insufficient, and prolonged exceedance of air quality standards may place populations at even greater health risks [2</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Despite substantial international evidence, critical gaps remain. Most studies have focused on conventional pollutants, with limited data on ultrafine particles, rural populations, and multipollutant interactions. Methodological limitations, such as reliance on time-series or ecological designs, further restrict robust individual-level inference. In China, comprehensive analyses linking multiple pollutants with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are still lacking, despite persistently high pollution levels driven by rapid urbanization and industrialization.To fill these gaps, this study leverages nationally representative data from the China Health and Retirement Longitudinal Study (CHARLS) and incorporates multipollutant exposure estimates to systematically investigate the associations between long-term exposure to PM₂.₅, PM₁₀, NO₂, and O₃ and the risk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in middle-aged and older adults. Prospective analyses were conducted to further evaluate the robustness of these associations.</w:t>
      </w:r>
    </w:p>
    <w:p>
      <w:p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spacing w:line="480" w:lineRule="auto"/>
        <w:jc w:val="left"/>
        <w:rPr>
          <w:rFonts w:hint="default" w:ascii="Times New Roman" w:hAnsi="Times New Roman" w:cs="Times New Roman"/>
          <w:b/>
          <w:bCs/>
          <w:color w:val="000000" w:themeColor="text1"/>
          <w:sz w:val="28"/>
          <w:szCs w:val="28"/>
          <w:lang w:val="en-US" w:eastAsia="zh-CN"/>
          <w14:textFill>
            <w14:solidFill>
              <w14:schemeClr w14:val="tx1"/>
            </w14:solidFill>
          </w14:textFill>
        </w:rPr>
      </w:pPr>
      <w:r>
        <w:rPr>
          <w:rFonts w:hint="default" w:ascii="Times New Roman" w:hAnsi="Times New Roman" w:cs="Times New Roman"/>
          <w:b/>
          <w:bCs/>
          <w:color w:val="000000" w:themeColor="text1"/>
          <w:sz w:val="28"/>
          <w:szCs w:val="28"/>
          <w:lang w:val="en-US" w:eastAsia="zh-CN"/>
          <w14:textFill>
            <w14:solidFill>
              <w14:schemeClr w14:val="tx1"/>
            </w14:solidFill>
          </w14:textFill>
        </w:rPr>
        <w:t>Methods</w:t>
      </w:r>
    </w:p>
    <w:p>
      <w:pPr>
        <w:bidi w:val="0"/>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2.1 Study Population</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The China Health and Retirement Longitudinal Study (CHARLS), led by the National School of Development at Peking University, employed a multistage, stratified, cluster sampling design across 150 counties (districts) in 28 provinces to assess the health, socioeconomic, and demographic characteristics of Chinese adults aged ≥45 years. CHARLS was launched in 2011, with follow-up surveys conducted in 2013, 2015, 2018, and 2020. The study protocol was approved by the Biomedical Ethics Review Committee of Peking University (IRB00001052-11015), and all participants provided written informed consent. The dataset is publicly accessible at </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begin"/>
      </w:r>
      <w:r>
        <w:rPr>
          <w:rFonts w:hint="default" w:ascii="Times New Roman" w:hAnsi="Times New Roman" w:cs="Times New Roman"/>
          <w:color w:val="000000" w:themeColor="text1"/>
          <w:sz w:val="24"/>
          <w:szCs w:val="24"/>
          <w:lang w:val="en-US" w:eastAsia="zh-CN"/>
          <w14:textFill>
            <w14:solidFill>
              <w14:schemeClr w14:val="tx1"/>
            </w14:solidFill>
          </w14:textFill>
        </w:rPr>
        <w:instrText xml:space="preserve"> HYPERLINK "http://charls.pku.edu.cn/pages/data/111/en." </w:instrTex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separate"/>
      </w:r>
      <w:r>
        <w:rPr>
          <w:rStyle w:val="5"/>
          <w:rFonts w:hint="default" w:ascii="Times New Roman" w:hAnsi="Times New Roman" w:cs="Times New Roman"/>
          <w:color w:val="000000" w:themeColor="text1"/>
          <w:sz w:val="24"/>
          <w:szCs w:val="24"/>
          <w:lang w:val="en-US" w:eastAsia="zh-CN"/>
          <w14:textFill>
            <w14:solidFill>
              <w14:schemeClr w14:val="tx1"/>
            </w14:solidFill>
          </w14:textFill>
        </w:rPr>
        <w:t>http://charls.pku.edu.cn/pages/data/111/en.</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end"/>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In this study, participants were longitudinally tracked using unique identification numbers. After excluding those with missing key covariates (N = 4,443), 9,403 participants were retained for the cross-sectional analysis. During the 9-year follow-up (2011–2020), we further excluded 1,056 participants with baseline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and 597 lost to follow-up, leaving 7,750 participants for the prospective analysis (Figure 2). A total of 1,959 incident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cases were documented in the prospective cohort. Using the Schoenfeld method (two-sided α = 0.05, power = 80%, R² = 0.20), the minimum detectable hazard ratio (MDHR) per 1-SD increase in exposure was estimated at ~1.07; across R² values of 0.10–0.30, the MDHR remained stable at 1.07–1.08. These results suggest that the study sample size was adequate to detect the small effect sizes commonly observed in environmental epidemiology.</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480"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drawing>
          <wp:inline distT="0" distB="0" distL="114300" distR="114300">
            <wp:extent cx="5788025" cy="3554095"/>
            <wp:effectExtent l="0" t="0" r="3175" b="8255"/>
            <wp:docPr id="2" name="图片 2" descr="屏幕截图 2025-07-04 08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5-07-04 080730"/>
                    <pic:cNvPicPr>
                      <a:picLocks noChangeAspect="1"/>
                    </pic:cNvPicPr>
                  </pic:nvPicPr>
                  <pic:blipFill>
                    <a:blip r:embed="rId6"/>
                    <a:stretch>
                      <a:fillRect/>
                    </a:stretch>
                  </pic:blipFill>
                  <pic:spPr>
                    <a:xfrm>
                      <a:off x="0" y="0"/>
                      <a:ext cx="5788025" cy="3554095"/>
                    </a:xfrm>
                    <a:prstGeom prst="rect">
                      <a:avLst/>
                    </a:prstGeom>
                  </pic:spPr>
                </pic:pic>
              </a:graphicData>
            </a:graphic>
          </wp:inline>
        </w:drawing>
      </w:r>
    </w:p>
    <w:p>
      <w:pPr>
        <w:numPr>
          <w:ilvl w:val="0"/>
          <w:numId w:val="0"/>
        </w:numPr>
        <w:spacing w:line="480" w:lineRule="auto"/>
        <w:jc w:val="left"/>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Figure 2</w:t>
      </w:r>
      <w:r>
        <w:rPr>
          <w:rFonts w:hint="default" w:ascii="Times New Roman" w:hAnsi="Times New Roman" w:cs="Times New Roman"/>
          <w:color w:val="000000" w:themeColor="text1"/>
          <w:sz w:val="21"/>
          <w:szCs w:val="21"/>
          <w:lang w:val="en-US" w:eastAsia="zh-CN"/>
          <w14:textFill>
            <w14:solidFill>
              <w14:schemeClr w14:val="tx1"/>
            </w14:solidFill>
          </w14:textFill>
        </w:rPr>
        <w:t>. Flowchart of Participant Selection</w:t>
      </w:r>
    </w:p>
    <w:p>
      <w:pPr>
        <w:numPr>
          <w:ilvl w:val="0"/>
          <w:numId w:val="0"/>
        </w:numPr>
        <w:spacing w:line="480" w:lineRule="auto"/>
        <w:jc w:val="left"/>
        <w:rPr>
          <w:rFonts w:hint="default" w:ascii="Times New Roman" w:hAnsi="Times New Roman" w:cs="Times New Roman"/>
          <w:color w:val="000000" w:themeColor="text1"/>
          <w:sz w:val="22"/>
          <w:szCs w:val="22"/>
          <w:lang w:val="en-US" w:eastAsia="zh-CN"/>
          <w14:textFill>
            <w14:solidFill>
              <w14:schemeClr w14:val="tx1"/>
            </w14:solidFill>
          </w14:textFill>
        </w:rPr>
      </w:pPr>
    </w:p>
    <w:p>
      <w:pPr>
        <w:bidi w:val="0"/>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2.2 Assessment of Air Pollution Exposure</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We examined five common air pollutants—PM₁, PM₂.₅, PM₁₀, O₃, and NO₂. The China Air Pollution (CHAP) dataset, widely recognized as a reliable source for air pollution research in China, has been used in multiple national and regional studies [2</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and is publicly available (https://weijing-rs.github.io/product.html). Validation studies have demonstrated high predictive accuracy, with coefficients of determination (R²) ranging from 0.80 to 0.92 based on ten-fold cross-validation [2</w:t>
      </w:r>
      <w:r>
        <w:rPr>
          <w:rFonts w:hint="eastAsia"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The CHAP dataset integrates ground monitoring data, satellite remote sensing products, emission inventories, and atmospheric reanalysis, combined with a spatiotemporal random forest model to generate nationwide pollutant concentration estimates. Spatial resolution is 1 km for PM₂.₅, PM₁₀, and O₃, and 10 km for NO₂. In this study, long-term exposures were assessed by calculating annual mean pollutant concentrations during follow-up and linking them to participants’ city-level geocodes. Specifically, three-year average concentrations prior to the 2011 baseline survey were used to represent baseline exposure. Because CHARLS does not provide exact residential addresses, exposure assessment was conducted at the city level. All pollutant concentrations were modeled as continuous variables and expressed uniformly in micrograms per cubic meter (μg/m³).</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bidi w:val="0"/>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2.3 Assessment of Heart Disease</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The outcome variable in this study was the presence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defined to include myocardial infarction (MI), CHD, angina, and heart failure (HF). The outcome was coded as a binary variable, where 0 represented "no" and 1 represented "yes."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was identified based on participants’ self-reported responses to standardized questions, such as “Have you ever been told by a doctor that you have had a heart attack, CHD, angina, heart failure, or any other heart problems?” These variables were collected from longitudinal follow-up data spanning from the 2011 baseline to 2020.</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bidi w:val="0"/>
        <w:rPr>
          <w:rFonts w:hint="default" w:ascii="Times New Roman" w:hAnsi="Times New Roman" w:cs="Times New Roman"/>
          <w:b/>
          <w:bCs/>
          <w:color w:val="000000" w:themeColor="text1"/>
          <w:sz w:val="24"/>
          <w:szCs w:val="32"/>
          <w:lang w:val="en-US" w:eastAsia="zh-CN"/>
          <w14:textFill>
            <w14:solidFill>
              <w14:schemeClr w14:val="tx1"/>
            </w14:solidFill>
          </w14:textFill>
        </w:rPr>
      </w:pPr>
      <w:r>
        <w:rPr>
          <w:rFonts w:hint="default" w:ascii="Times New Roman" w:hAnsi="Times New Roman" w:cs="Times New Roman"/>
          <w:b/>
          <w:bCs/>
          <w:color w:val="000000" w:themeColor="text1"/>
          <w:sz w:val="24"/>
          <w:szCs w:val="32"/>
          <w:lang w:val="en-US" w:eastAsia="zh-CN"/>
          <w14:textFill>
            <w14:solidFill>
              <w14:schemeClr w14:val="tx1"/>
            </w14:solidFill>
          </w14:textFill>
        </w:rPr>
        <w:t>2.4 Covariates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Covariates were chosen based on potential confounders previously identified in the literature as relevant to air pollution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[2</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 and included sociodemographic characteristics, lifestyle behaviors, and health conditions. Sociodemographic variables comprised age (continuous), sex (male/female), marital status (married/unmarried), educational level (primary or below/secondary/high school or above), and place of residence (urban/rural). Lifestyle variables included sleep duration (&lt;6, 6–8, or &gt;8 hours), smoking status (yes/no), and alcohol consumption (yes/no), all self-reported. Health-related covariates included body mass index (BMI, kg/m²), hypertension, and diabetes. Hypertension was defined as systolic blood pressure ≥140 mmHg, diastolic blood pressure ≥90 mmHg, self-reported physician diagnosis, or current use of antihypertensive medication. Diabetes was defined as fasting blood glucose ≥7.0 mmol/L, self-reported physician diagnosis, or current use of antidiabetic medication.</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2.5 Statistical Analysis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Baseline characteristics were stratified by the presence or absence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Normally distributed continuous variables were presented as mean ± standard deviation (SD), skewed variables as median with interquartile range (IQR), and categorical variables as frequencies (n) and percentages (%). Normality was assessed using the Kolmogorov–Smirnov test. Between-group differences were evaluated with analysis of covariance (ANCOVA) for normally distributed variables, nonparametric tests for skewed variables, and chi-square tests for categorical variables. In the cross-sectional analysis, generalized linear models (GLM) were used to evaluate associations between pollutant concentrations and baseline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prevalence, with progressive adjustment: the crude model was unadjusted; Model 1 adjusted for demographic factors (age, sex, residence, education, marital status); and Model 2 further adjusted for lifestyle factors (smoking, drinking, social activities), chronic conditions (hypertension, diabetes), and BMI. In the prospective analysis, Cox proportional hazards models estimated associations between baseline long-term exposure (three-year average concentrations, 2008–2010, standardized per 1-SD increment) and incident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Adjustment was conducted in three stages: Model 1 unadjusted; Model 2 adjusted for sex and age; and Model 3 further adjusted for BMI, smoking, sleep duration, blood pressure, waist circumference, residence, education, marital status, hypertension, diabetes, and alcohol consumption. To examine independent effects, two- and three-pollutant models were constructed based on Model 3. Variance inflation factors (VIF) were calculated, excluding combinations with VIF &gt; </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Ridge-penalized Cox regression was performed as a sensitivity analysis. Subgroup and interaction analyses were conducted by sex, age (&lt;65 vs. ≥65 years), residence (urban/rural), education, smoking, drinking, diabetes, and hypertension. Hazard ratios (HRs) were estimated within strata, and interaction terms (“pollutant × characteristic”) were included in fully adjusted models. Likelihood ratio tests were used to assess interactions, with false discovery rate (FDR) correction for multiple comparisons. In exploratory analyses, we additionally fitted interaction terms between pollutants (PM₂.₅×NO₂, PM₂.₅×O₃, NO₂×O₃) one at a time on top of fully adjusted models, and evaluated them using likelihood ratio tests with FDR correction.Model diagnostics included tests of the proportional hazards assumption using Schoenfeld residuals and assessment of linearity in exposure–outcome associations with restricted cubic splines (RCS). All analyses were conducted using Empower(RCH) and R software (version 4.4.1). Statistical significance was defined as two-sided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0.05.</w:t>
      </w:r>
    </w:p>
    <w:p>
      <w:pPr>
        <w:numPr>
          <w:ilvl w:val="0"/>
          <w:numId w:val="0"/>
        </w:num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spacing w:line="480" w:lineRule="auto"/>
        <w:ind w:left="0" w:leftChars="0" w:firstLine="0" w:firstLineChars="0"/>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Results</w:t>
      </w: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3.1 Characteristics of the Study Population</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A total of 9,403 participants were included in the study, comprising 1,124 (11.95%) in the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group and 8,279 (88.05%) in the non–</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group. Compared with participants without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those with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had higher age, BMI, blood pressure, waist circumference, and triglyceride (TG) levels, but lower HDL-C levels (all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0.001). Total cholesterol (TC) was slightly higher in the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group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0.031), whereas LDL-C showed no significant difference. Regarding categorical variables, the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group had higher proportions of women, urban residents, individuals with hypertension or diabetes, and unmarried participants, but a lower proportion of alcohol drinkers (all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0.05). Sleep duration also differed between groups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0.007), while no significant differences were observed for the other variables (</w:t>
      </w:r>
      <w:r>
        <w:rPr>
          <w:rFonts w:hint="default" w:ascii="Times New Roman" w:hAnsi="Times New Roman" w:cs="Times New Roman"/>
          <w:b/>
          <w:bCs/>
          <w:color w:val="000000" w:themeColor="text1"/>
          <w:sz w:val="24"/>
          <w:szCs w:val="24"/>
          <w:lang w:val="en-US" w:eastAsia="zh-CN"/>
          <w14:textFill>
            <w14:solidFill>
              <w14:schemeClr w14:val="tx1"/>
            </w14:solidFill>
          </w14:textFill>
        </w:rPr>
        <w:t>Table 1</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numPr>
          <w:ilvl w:val="0"/>
          <w:numId w:val="0"/>
        </w:num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240" w:lineRule="auto"/>
        <w:ind w:firstLine="723" w:firstLineChars="300"/>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Table 1</w:t>
      </w:r>
      <w:r>
        <w:rPr>
          <w:rFonts w:hint="default" w:ascii="Times New Roman" w:hAnsi="Times New Roman" w:cs="Times New Roman"/>
          <w:color w:val="000000" w:themeColor="text1"/>
          <w:sz w:val="24"/>
          <w:szCs w:val="24"/>
          <w:lang w:val="en-US" w:eastAsia="zh-CN"/>
          <w14:textFill>
            <w14:solidFill>
              <w14:schemeClr w14:val="tx1"/>
            </w14:solidFill>
          </w14:textFill>
        </w:rPr>
        <w:t>. Baseline Characteristics Comparison</w:t>
      </w:r>
    </w:p>
    <w:tbl>
      <w:tblPr>
        <w:tblStyle w:val="3"/>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52"/>
        <w:gridCol w:w="1956"/>
        <w:gridCol w:w="1956"/>
        <w:gridCol w:w="1956"/>
        <w:gridCol w:w="799"/>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Variable</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Overall </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(n = 9,403)</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Non-heart disease</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 (n = 8,279)</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Heart disease</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 (n = 1,124)</w:t>
            </w:r>
          </w:p>
        </w:tc>
        <w:tc>
          <w:tcPr>
            <w:tcW w:w="49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op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Continuous variables</w:t>
            </w: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497"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BMI, n (%)</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23.15 (20.87–25.81)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23.05 (20.79–25.63)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24.20 (21.56–27.02)</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Age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65.00 (59.00–72.00)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65.00 (58.00–72.00)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68.00 (62.00–75.00)</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SBP (mmHg)</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127.33 (114.67–142.33)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126.67 (114.33–141.67)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131.00 (117.67–148.00)</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DBP (mmHg)</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74.67 (67.33–83.33)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74.67 (67.00–83.00)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76.33 (68.33–85.33)</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TC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190.21 (167.01–215.34)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189.82 (166.63–214.95)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192.53 (169.72–216.88)</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TG(mg/dL)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105.32 (74.34–153.99)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103.55 (73.46–150.45)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119.48 (84.96–176.12)</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WC (cm)</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84.28 ± 12.65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83.93 ± 12.42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86.85 ± 14.01</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HDL-C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51.21 ± 15.27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51.51 ± 15.28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49.06 ± 15.04</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LDL-C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116.44 ± 35.15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116.16 ± 34.99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118.49 ± 36.23</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Categorical variables</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Gender,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 Male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4,346 (46.22)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3,896 (47.06)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450 (40.04)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 Female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5,057 (53.78)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4,383 (52.94)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674 (59.96)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Smoking,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3,668 (39.01)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3,252 (39.28)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416 (37.01)</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5,735 (60.99)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5,027 (60.72)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708 (62.99)</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Social activity,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4,751 (50.53)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4,159 (50.24)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592 (52.67)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4,652 (49.47)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4,120 (49.76)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532 (47.33)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Sleep duration,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&lt;6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1,309 (13.92)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1,131 (13.66)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178 (15.84)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w:t>
            </w:r>
            <w:r>
              <w:rPr>
                <w:rFonts w:hint="eastAsia"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6,264 (66.62)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5,502 (66.46)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762 (67.79)</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&gt;8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1,830 (19.46)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1,646 (19.88)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184 (16.37)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Location,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 Urban</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709 (7.54)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569 (6.87)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140 (12.46)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 Rural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8,694 (92.46)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7,710 (93.13)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984 (87.54)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Education,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 Elementary or below</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2,675 (28.45)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2,389 (28.86)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286 (25.44)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 Middle school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3,911 (41.59)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3,428 (41.41)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483 (42.97)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 High school or above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2,817 (29.96)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2,462 (29.74)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355 (31.58)</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highlight w:val="none"/>
                <w:u w:val="none"/>
                <w:lang w:val="en-US" w:eastAsia="zh-CN" w:bidi="ar"/>
                <w14:textFill>
                  <w14:solidFill>
                    <w14:schemeClr w14:val="tx1"/>
                  </w14:solidFill>
                </w14:textFill>
              </w:rPr>
              <w:t>Marital status,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highlight w:val="none"/>
                <w:u w:val="none"/>
                <w:lang w:val="en-US" w:eastAsia="zh-CN" w:bidi="ar"/>
                <w14:textFill>
                  <w14:solidFill>
                    <w14:schemeClr w14:val="tx1"/>
                  </w14:solidFill>
                </w14:textFill>
              </w:rPr>
              <w:t> Married</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8,289 (88.15)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7,326 (88.49)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963 (85.68)</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highlight w:val="none"/>
                <w:u w:val="none"/>
                <w:lang w:val="en-US" w:eastAsia="zh-CN" w:bidi="ar"/>
                <w14:textFill>
                  <w14:solidFill>
                    <w14:schemeClr w14:val="tx1"/>
                  </w14:solidFill>
                </w14:textFill>
              </w:rPr>
              <w:t> Unmarried</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1,114 (11.85)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953 (11.51)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161 (14.32)</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Hypertension,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3,825 (40.68)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3,179 (38.40)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646 (57.47)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5,578 (59.32)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5,100 (61.60)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478 (42.53)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DM,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988 (10.51)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830 (10.03)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158 (14.06)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8,415 (89.49)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7,449 (89.97)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966 (85.94)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Drinking,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3,063 (32.57)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2,794 (33.75)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269 (23.93)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6,340 (67.43)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5,485 (66.25)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855 (76.07)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bl>
    <w:p>
      <w:pPr>
        <w:numPr>
          <w:ilvl w:val="0"/>
          <w:numId w:val="0"/>
        </w:numPr>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Abbreviations: BMI, body mass index; SBP, systolic blood pressure; DBP, diastolic blood pressure;TC, total cholesterol; TG, triglycerides; WC, waist circumference; HDL-C, high-density lipoprotein cholesterol; LDL-C, low-density lipoprotein cholesterol.</w:t>
      </w:r>
    </w:p>
    <w:p>
      <w:pPr>
        <w:numPr>
          <w:ilvl w:val="0"/>
          <w:numId w:val="0"/>
        </w:num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480" w:lineRule="auto"/>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3.2 Air pollutant exposure and risk of heart disease</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In cross-sectional logistic regression analyses, only PM₁₀ was significantly associated with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 In the fully adjusted model, each 1 μg/m³ increase in PM₁₀ corresponded to a 0.2% higher risk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i/>
          <w:iCs/>
          <w:color w:val="000000" w:themeColor="text1"/>
          <w:sz w:val="24"/>
          <w:szCs w:val="24"/>
          <w:lang w:val="en-US" w:eastAsia="zh-CN"/>
          <w14:textFill>
            <w14:solidFill>
              <w14:schemeClr w14:val="tx1"/>
            </w14:solidFill>
          </w14:textFill>
        </w:rPr>
        <w:t>OR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1.002,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1.000–1.004,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0.019). No significant associations were detected for PM₂.₅, PM₁, NO₂, or O₃ in any model (</w:t>
      </w:r>
      <w:r>
        <w:rPr>
          <w:rFonts w:hint="default" w:ascii="Times New Roman" w:hAnsi="Times New Roman" w:cs="Times New Roman"/>
          <w:b/>
          <w:bCs/>
          <w:color w:val="000000" w:themeColor="text1"/>
          <w:sz w:val="24"/>
          <w:szCs w:val="24"/>
          <w:lang w:val="en-US" w:eastAsia="zh-CN"/>
          <w14:textFill>
            <w14:solidFill>
              <w14:schemeClr w14:val="tx1"/>
            </w14:solidFill>
          </w14:textFill>
        </w:rPr>
        <w:t>Table 2</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240"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Table 2</w:t>
      </w:r>
      <w:r>
        <w:rPr>
          <w:rFonts w:hint="default" w:ascii="Times New Roman" w:hAnsi="Times New Roman" w:cs="Times New Roman"/>
          <w:color w:val="000000" w:themeColor="text1"/>
          <w:sz w:val="24"/>
          <w:szCs w:val="24"/>
          <w:lang w:val="en-US" w:eastAsia="zh-CN"/>
          <w14:textFill>
            <w14:solidFill>
              <w14:schemeClr w14:val="tx1"/>
            </w14:solidFill>
          </w14:textFill>
        </w:rPr>
        <w:t>. Logistic regression analysis of air pollutant exposure and risk of heart disease</w:t>
      </w:r>
    </w:p>
    <w:tbl>
      <w:tblPr>
        <w:tblStyle w:val="3"/>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7"/>
        <w:gridCol w:w="1750"/>
        <w:gridCol w:w="826"/>
        <w:gridCol w:w="1752"/>
        <w:gridCol w:w="827"/>
        <w:gridCol w:w="1752"/>
        <w:gridCol w:w="63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Exposure</w:t>
            </w:r>
          </w:p>
        </w:tc>
        <w:tc>
          <w:tcPr>
            <w:tcW w:w="1026"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Crude</w:t>
            </w:r>
          </w:p>
        </w:tc>
        <w:tc>
          <w:tcPr>
            <w:tcW w:w="48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iCs/>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c>
          <w:tcPr>
            <w:tcW w:w="102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1</w:t>
            </w:r>
          </w:p>
        </w:tc>
        <w:tc>
          <w:tcPr>
            <w:tcW w:w="485"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c>
          <w:tcPr>
            <w:tcW w:w="102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2</w:t>
            </w:r>
          </w:p>
        </w:tc>
        <w:tc>
          <w:tcPr>
            <w:tcW w:w="374"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26"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OR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48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027"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OR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485"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1027"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OR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374"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2</w:t>
            </w:r>
          </w:p>
        </w:tc>
        <w:tc>
          <w:tcPr>
            <w:tcW w:w="1026"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1.002 (0.997, 1.007)</w:t>
            </w:r>
          </w:p>
        </w:tc>
        <w:tc>
          <w:tcPr>
            <w:tcW w:w="48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0.467</w:t>
            </w:r>
          </w:p>
        </w:tc>
        <w:tc>
          <w:tcPr>
            <w:tcW w:w="1027"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1.001 (0.995, 1.007)</w:t>
            </w:r>
          </w:p>
        </w:tc>
        <w:tc>
          <w:tcPr>
            <w:tcW w:w="4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0.717</w:t>
            </w:r>
          </w:p>
        </w:tc>
        <w:tc>
          <w:tcPr>
            <w:tcW w:w="1027"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0.998 (0.992, 1.003)</w:t>
            </w:r>
          </w:p>
        </w:tc>
        <w:tc>
          <w:tcPr>
            <w:tcW w:w="37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0.396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3</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1.000 (0.997, 1.002)</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0.758</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0.998 (0.995, 1.001)</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0.262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0.998 (0.995, 1.001)</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1</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1.001 (0.996, 1.006)</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0.753</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1.000 (0.994,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0.895</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0.998 (0.992, 1.003)</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0.443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10</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1.003 (1.002, 1.005)</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＜0.001</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1.003 (1.001,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＜0.001</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1.002 (1.000, 1.004)</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2.5</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1.002 (1.000, 1.005)</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0.102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1.002 (0.999,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0.242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1.001 (0.998, 1.004)</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0.645</w:t>
            </w:r>
          </w:p>
        </w:tc>
      </w:tr>
    </w:tbl>
    <w:p>
      <w:pPr>
        <w:numPr>
          <w:ilvl w:val="0"/>
          <w:numId w:val="0"/>
        </w:numPr>
        <w:spacing w:line="240" w:lineRule="auto"/>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Crude model: unadjusted;</w:t>
      </w:r>
    </w:p>
    <w:p>
      <w:pPr>
        <w:numPr>
          <w:ilvl w:val="0"/>
          <w:numId w:val="0"/>
        </w:numPr>
        <w:spacing w:line="240" w:lineRule="auto"/>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Model 1: adjusted for demographic variables (age, sex, residence, education level, marital status);</w:t>
      </w:r>
    </w:p>
    <w:p>
      <w:pPr>
        <w:numPr>
          <w:ilvl w:val="0"/>
          <w:numId w:val="0"/>
        </w:numPr>
        <w:spacing w:line="24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Model 2: further adjusted for lifestyle factors (smoking, drinking, social activities), chronic conditions (hypertension, diabetes), and body mass index (BMI).</w:t>
      </w:r>
    </w:p>
    <w:p>
      <w:pPr>
        <w:numPr>
          <w:ilvl w:val="0"/>
          <w:numId w:val="0"/>
        </w:numPr>
        <w:spacing w:line="480" w:lineRule="auto"/>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3.3 Air pollutant exposure and risk of cardiac events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During follow-up, Cox regression analyses revealed significant positive associations of PM₁₀, PM₂.₅, and PM₁ exposures with cardiac event risk, which remained robust after full adjustment (HR = 1.223, 1.151, and 1.108, respectively; all P &lt; 0.001). NO₂ was also positively associated, though with a smaller effect (HR = 1.106, P &lt; 0.001), while O₃ showed no significant association in any model (</w:t>
      </w:r>
      <w:r>
        <w:rPr>
          <w:rFonts w:hint="default" w:ascii="Times New Roman" w:hAnsi="Times New Roman" w:cs="Times New Roman"/>
          <w:b/>
          <w:bCs/>
          <w:color w:val="000000" w:themeColor="text1"/>
          <w:sz w:val="24"/>
          <w:szCs w:val="24"/>
          <w:lang w:val="en-US" w:eastAsia="zh-CN"/>
          <w14:textFill>
            <w14:solidFill>
              <w14:schemeClr w14:val="tx1"/>
            </w14:solidFill>
          </w14:textFill>
        </w:rPr>
        <w:t>Table 3</w:t>
      </w:r>
      <w:r>
        <w:rPr>
          <w:rFonts w:hint="default" w:ascii="Times New Roman" w:hAnsi="Times New Roman" w:cs="Times New Roman"/>
          <w:color w:val="000000" w:themeColor="text1"/>
          <w:sz w:val="24"/>
          <w:szCs w:val="24"/>
          <w:lang w:val="en-US" w:eastAsia="zh-CN"/>
          <w14:textFill>
            <w14:solidFill>
              <w14:schemeClr w14:val="tx1"/>
            </w14:solidFill>
          </w14:textFill>
        </w:rPr>
        <w:t>).For interpretability, we additionally expressed effect sizes per 10 μg/m³ increase; estimates were directionally consistent with the 1-SD scaling (Supplementary Table S</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240"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Table 3</w:t>
      </w:r>
      <w:r>
        <w:rPr>
          <w:rFonts w:hint="default" w:ascii="Times New Roman" w:hAnsi="Times New Roman" w:cs="Times New Roman"/>
          <w:color w:val="000000" w:themeColor="text1"/>
          <w:sz w:val="24"/>
          <w:szCs w:val="24"/>
          <w:lang w:val="en-US" w:eastAsia="zh-CN"/>
          <w14:textFill>
            <w14:solidFill>
              <w14:schemeClr w14:val="tx1"/>
            </w14:solidFill>
          </w14:textFill>
        </w:rPr>
        <w:t>. Cox regression analysis of standardized air pollutant exposure and risk of cardiac events</w:t>
      </w:r>
    </w:p>
    <w:tbl>
      <w:tblPr>
        <w:tblStyle w:val="3"/>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686"/>
        <w:gridCol w:w="838"/>
        <w:gridCol w:w="1686"/>
        <w:gridCol w:w="838"/>
        <w:gridCol w:w="1686"/>
        <w:gridCol w:w="83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29"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Exposure</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1</w:t>
            </w:r>
          </w:p>
        </w:tc>
        <w:tc>
          <w:tcPr>
            <w:tcW w:w="50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2</w:t>
            </w:r>
          </w:p>
        </w:tc>
        <w:tc>
          <w:tcPr>
            <w:tcW w:w="50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3</w:t>
            </w:r>
          </w:p>
        </w:tc>
        <w:tc>
          <w:tcPr>
            <w:tcW w:w="504"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iCs/>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529"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50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50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(95%</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504"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938" w:type="dxa"/>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2</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1.143 (1.086, 1.203)</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1.147 (1.090, 1.208)</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1.106 (1.049, 1.166)</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3</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0.977 (0.927, 1.029)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0.375</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0.974 (0.924, 1.026)</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0.319</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0.957 (0.908, 1.009)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1.140 (1.082, 1.201)</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1.140 (1.081, 1.202)</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1.108 (1.050, 1.170)</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10</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1.251 (1.192, 1.313)</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1.256 (1.197, 1.319)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1.223 (1.163, 1.285)</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w:t>
            </w:r>
            <w:r>
              <w:rPr>
                <w:rFonts w:hint="default" w:ascii="Times New Roman" w:hAnsi="Times New Roman" w:eastAsia="等线" w:cs="Times New Roman"/>
                <w:i w:val="0"/>
                <w:iCs w:val="0"/>
                <w:color w:val="000000" w:themeColor="text1"/>
                <w:kern w:val="0"/>
                <w:sz w:val="18"/>
                <w:szCs w:val="18"/>
                <w:u w:val="none"/>
                <w:vertAlign w:val="subscript"/>
                <w:lang w:val="en-US" w:eastAsia="zh-CN" w:bidi="ar"/>
                <w14:textFill>
                  <w14:solidFill>
                    <w14:schemeClr w14:val="tx1"/>
                  </w14:solidFill>
                </w14:textFill>
              </w:rPr>
              <w:t>2.5</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1.183 (1.122, 1.247)</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1.184 (1.123, 1.248)</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1.151 (1.090, 1.215)</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bl>
    <w:p>
      <w:pPr>
        <w:numPr>
          <w:ilvl w:val="0"/>
          <w:numId w:val="0"/>
        </w:numPr>
        <w:spacing w:line="240" w:lineRule="auto"/>
        <w:jc w:val="left"/>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Model 1: unadjusted;</w:t>
      </w:r>
    </w:p>
    <w:p>
      <w:pPr>
        <w:numPr>
          <w:ilvl w:val="0"/>
          <w:numId w:val="0"/>
        </w:numPr>
        <w:spacing w:line="240" w:lineRule="auto"/>
        <w:jc w:val="left"/>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Model 2: adjusted for sex and age;</w:t>
      </w:r>
    </w:p>
    <w:p>
      <w:pPr>
        <w:numPr>
          <w:ilvl w:val="0"/>
          <w:numId w:val="0"/>
        </w:numPr>
        <w:spacing w:line="240" w:lineRule="auto"/>
        <w:jc w:val="left"/>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Model 3: further adjusted for BMI, smoking, sleep duration, systolic blood pressure, diastolic blood pressure, waist circumference, residence, education level, marital status, hypertension, type 2 diabetes, and alcohol consumption.</w:t>
      </w:r>
    </w:p>
    <w:p>
      <w:pPr>
        <w:numPr>
          <w:ilvl w:val="0"/>
          <w:numId w:val="0"/>
        </w:numPr>
        <w:spacing w:line="240" w:lineRule="auto"/>
        <w:jc w:val="left"/>
        <w:rPr>
          <w:rFonts w:hint="default" w:ascii="Times New Roman" w:hAnsi="Times New Roman" w:cs="Times New Roman"/>
          <w:color w:val="000000" w:themeColor="text1"/>
          <w:sz w:val="21"/>
          <w:szCs w:val="21"/>
          <w:lang w:val="en-US" w:eastAsia="zh-CN"/>
          <w14:textFill>
            <w14:solidFill>
              <w14:schemeClr w14:val="tx1"/>
            </w14:solidFill>
          </w14:textFill>
        </w:rPr>
      </w:pP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3.4 Single- and multi-pollutant analyses of air pollution and risk of cardiac events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The results indicated that, in multi-pollutant Cox regression models, PM₂.₅ and PM₁₀ were consistently positively associated with the risk of cardiac events, with hazard ratios ranging from 1.065 to 1.110 for PM₂.₅ and from 1.084 to 1.088 for PM₁₀ (both</w:t>
      </w:r>
      <w:r>
        <w:rPr>
          <w:rFonts w:hint="default" w:ascii="Times New Roman" w:hAnsi="Times New Roman" w:cs="Times New Roman"/>
          <w:i/>
          <w:iCs/>
          <w:color w:val="000000" w:themeColor="text1"/>
          <w:sz w:val="24"/>
          <w:szCs w:val="24"/>
          <w:lang w:val="en-US" w:eastAsia="zh-CN"/>
          <w14:textFill>
            <w14:solidFill>
              <w14:schemeClr w14:val="tx1"/>
            </w14:solidFill>
          </w14:textFill>
        </w:rPr>
        <w:t xml:space="preserve"> 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0.05). O₃ generally showed an inverse association across models, with the lowest estimate observed when jointly adjusted for NO₂ (</w:t>
      </w:r>
      <w:r>
        <w:rPr>
          <w:rFonts w:hint="default" w:ascii="Times New Roman" w:hAnsi="Times New Roman" w:cs="Times New Roman"/>
          <w:i/>
          <w:iCs/>
          <w:color w:val="000000" w:themeColor="text1"/>
          <w:sz w:val="24"/>
          <w:szCs w:val="24"/>
          <w:lang w:val="en-US" w:eastAsia="zh-CN"/>
          <w14:textFill>
            <w14:solidFill>
              <w14:schemeClr w14:val="tx1"/>
            </w14:solidFill>
          </w14:textFill>
        </w:rPr>
        <w:t>HR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0.779, 95% </w:t>
      </w:r>
      <w:r>
        <w:rPr>
          <w:rFonts w:hint="default" w:ascii="Times New Roman" w:hAnsi="Times New Roman" w:cs="Times New Roman"/>
          <w:i/>
          <w:iCs/>
          <w:color w:val="000000" w:themeColor="text1"/>
          <w:sz w:val="24"/>
          <w:szCs w:val="24"/>
          <w:lang w:val="en-US" w:eastAsia="zh-CN"/>
          <w14:textFill>
            <w14:solidFill>
              <w14:schemeClr w14:val="tx1"/>
            </w14:solidFill>
          </w14:textFill>
        </w:rPr>
        <w:t>CI</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0.700–0.867,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0.001). In contrast, the results for NO₂ were less consistent: it demonstrated a significant positive association when modeled together with O₃ (</w:t>
      </w:r>
      <w:r>
        <w:rPr>
          <w:rFonts w:hint="default" w:ascii="Times New Roman" w:hAnsi="Times New Roman" w:cs="Times New Roman"/>
          <w:i/>
          <w:iCs/>
          <w:color w:val="000000" w:themeColor="text1"/>
          <w:sz w:val="24"/>
          <w:szCs w:val="24"/>
          <w:lang w:val="en-US" w:eastAsia="zh-CN"/>
          <w14:textFill>
            <w14:solidFill>
              <w14:schemeClr w14:val="tx1"/>
            </w14:solidFill>
          </w14:textFill>
        </w:rPr>
        <w:t>HR</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 1.216,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&lt; 0.001), but was not significant when included alongside particulate matter (</w:t>
      </w:r>
      <w:r>
        <w:rPr>
          <w:rFonts w:hint="default" w:ascii="Times New Roman" w:hAnsi="Times New Roman" w:cs="Times New Roman"/>
          <w:i/>
          <w:iCs/>
          <w:color w:val="000000" w:themeColor="text1"/>
          <w:sz w:val="24"/>
          <w:szCs w:val="24"/>
          <w:lang w:val="en-US" w:eastAsia="zh-CN"/>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&gt; 0.05) (Table 4).</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240"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Table 4</w:t>
      </w:r>
      <w:r>
        <w:rPr>
          <w:rFonts w:hint="default" w:ascii="Times New Roman" w:hAnsi="Times New Roman" w:cs="Times New Roman"/>
          <w:color w:val="000000" w:themeColor="text1"/>
          <w:sz w:val="24"/>
          <w:szCs w:val="24"/>
          <w:lang w:val="en-US" w:eastAsia="zh-CN"/>
          <w14:textFill>
            <w14:solidFill>
              <w14:schemeClr w14:val="tx1"/>
            </w14:solidFill>
          </w14:textFill>
        </w:rPr>
        <w:t>.Independent and combined effects of ambient air pollutants on the risk of cardiac events</w:t>
      </w:r>
    </w:p>
    <w:tbl>
      <w:tblPr>
        <w:tblStyle w:val="3"/>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19"/>
        <w:gridCol w:w="1788"/>
        <w:gridCol w:w="1687"/>
        <w:gridCol w:w="1914"/>
        <w:gridCol w:w="151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Primary pollutant</w:t>
            </w:r>
          </w:p>
        </w:tc>
        <w:tc>
          <w:tcPr>
            <w:tcW w:w="1049"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Model combination</w:t>
            </w:r>
          </w:p>
        </w:tc>
        <w:tc>
          <w:tcPr>
            <w:tcW w:w="99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Included pollutant</w:t>
            </w:r>
          </w:p>
        </w:tc>
        <w:tc>
          <w:tcPr>
            <w:tcW w:w="1123"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 (95%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886"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P</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833" w:hRule="atLeast"/>
        </w:trPr>
        <w:tc>
          <w:tcPr>
            <w:tcW w:w="950"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049"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NO₂</w:t>
            </w:r>
          </w:p>
        </w:tc>
        <w:tc>
          <w:tcPr>
            <w:tcW w:w="990"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123"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1.110 (1.052, 1.171)</w:t>
            </w:r>
          </w:p>
        </w:tc>
        <w:tc>
          <w:tcPr>
            <w:tcW w:w="886"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0.964 (0.878, 1.058)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1.104 (1.068, 1.141)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0.865 (0.789, 0.948)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O₃ +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1.065 (1.004, 1.130)</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0.820 (0.730, 0.921)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1.093 (0.969, 1.233)</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PM₁₀</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1.087 (1.066, 1.109)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0.914 (0.851, 0.981)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1.084 (1.066, 1.102)</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0.802 (0.729, 0.882)</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O₃ +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1.088 (1.065, 1.111)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0.813 (0.732, 0.903)</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0.975 (0.899, 1.057)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0.552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0.779 (0.700, 0.867)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1.216 (1.138, 1.299)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PM₂.₅</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0.865 (0.789, 0.948)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1.104 (1.068, 1.141)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1.216 (1.138, 1.299)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0.779 (0.700, 0.867)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PM₂.₅</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0.964 (0.878, 1.058)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1.110 (1.052, 1.171)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&lt;0.001</w:t>
            </w:r>
          </w:p>
        </w:tc>
      </w:tr>
    </w:tbl>
    <w:p>
      <w:pPr>
        <w:numPr>
          <w:ilvl w:val="0"/>
          <w:numId w:val="0"/>
        </w:numPr>
        <w:spacing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All models were adjusted for the following covariates: age, sex, education level, marital status, smoking, alcohol consumption, social activities, body mass index (BMI), hypertension, type 2 diabetes, and region of residence.</w:t>
      </w:r>
    </w:p>
    <w:p>
      <w:pPr>
        <w:numPr>
          <w:ilvl w:val="0"/>
          <w:numId w:val="0"/>
        </w:numPr>
        <w:spacing w:line="480" w:lineRule="auto"/>
        <w:jc w:val="left"/>
        <w:rPr>
          <w:rFonts w:hint="default" w:ascii="Times New Roman" w:hAnsi="Times New Roman" w:eastAsia="宋体" w:cs="Times New Roman"/>
          <w:color w:val="000000" w:themeColor="text1"/>
          <w:sz w:val="24"/>
          <w:szCs w:val="24"/>
          <w14:textFill>
            <w14:solidFill>
              <w14:schemeClr w14:val="tx1"/>
            </w14:solidFill>
          </w14:textFill>
        </w:rPr>
      </w:pPr>
    </w:p>
    <w:p>
      <w:pPr>
        <w:numPr>
          <w:ilvl w:val="0"/>
          <w:numId w:val="0"/>
        </w:numPr>
        <w:spacing w:line="480" w:lineRule="auto"/>
        <w:jc w:val="left"/>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3.5 Dose–response relationships between air pollutants and risk of cardiac events</w:t>
      </w:r>
    </w:p>
    <w:p>
      <w:pPr>
        <w:numPr>
          <w:ilvl w:val="0"/>
          <w:numId w:val="0"/>
        </w:numPr>
        <w:spacing w:line="480" w:lineRule="auto"/>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Restricted cubic spline models demonstrated significant nonlinear positive associations of PM₁, PM₂.₅, and NO₂ with cardiac event risk (</w:t>
      </w:r>
      <w:r>
        <w:rPr>
          <w:rFonts w:hint="default" w:ascii="Times New Roman" w:hAnsi="Times New Roman" w:eastAsia="宋体" w:cs="Times New Roman"/>
          <w:i/>
          <w:iCs/>
          <w:color w:val="000000" w:themeColor="text1"/>
          <w:sz w:val="24"/>
          <w:szCs w:val="24"/>
          <w14:textFill>
            <w14:solidFill>
              <w14:schemeClr w14:val="tx1"/>
            </w14:solidFill>
          </w14:textFill>
        </w:rPr>
        <w:t>P</w:t>
      </w:r>
      <w:r>
        <w:rPr>
          <w:rFonts w:hint="default" w:ascii="Times New Roman" w:hAnsi="Times New Roman" w:eastAsia="宋体" w:cs="Times New Roman"/>
          <w:color w:val="000000" w:themeColor="text1"/>
          <w:sz w:val="24"/>
          <w:szCs w:val="24"/>
          <w14:textFill>
            <w14:solidFill>
              <w14:schemeClr w14:val="tx1"/>
            </w14:solidFill>
          </w14:textFill>
        </w:rPr>
        <w:t xml:space="preserve"> for overall &lt; 0.001; P for nonlinearity &lt; 0.001), with risk increasing steadily as concentrations rose. PM₁₀ showed a consistent linear positive association (</w:t>
      </w:r>
      <w:r>
        <w:rPr>
          <w:rFonts w:hint="default" w:ascii="Times New Roman" w:hAnsi="Times New Roman" w:eastAsia="宋体" w:cs="Times New Roman"/>
          <w:i/>
          <w:iCs/>
          <w:color w:val="000000" w:themeColor="text1"/>
          <w:sz w:val="24"/>
          <w:szCs w:val="24"/>
          <w14:textFill>
            <w14:solidFill>
              <w14:schemeClr w14:val="tx1"/>
            </w14:solidFill>
          </w14:textFill>
        </w:rPr>
        <w:t xml:space="preserve">P </w:t>
      </w:r>
      <w:r>
        <w:rPr>
          <w:rFonts w:hint="default" w:ascii="Times New Roman" w:hAnsi="Times New Roman" w:eastAsia="宋体" w:cs="Times New Roman"/>
          <w:color w:val="000000" w:themeColor="text1"/>
          <w:sz w:val="24"/>
          <w:szCs w:val="24"/>
          <w14:textFill>
            <w14:solidFill>
              <w14:schemeClr w14:val="tx1"/>
            </w14:solidFill>
          </w14:textFill>
        </w:rPr>
        <w:t xml:space="preserve">for overall &lt; 0.001; P for nonlinearity = 0.520). By contrast, O₃ displayed a significant nonlinear inverse association </w:t>
      </w:r>
      <w:r>
        <w:rPr>
          <w:rFonts w:hint="default" w:ascii="Times New Roman" w:hAnsi="Times New Roman" w:eastAsia="宋体" w:cs="Times New Roman"/>
          <w:i w:val="0"/>
          <w:iCs w:val="0"/>
          <w:color w:val="000000" w:themeColor="text1"/>
          <w:sz w:val="24"/>
          <w:szCs w:val="24"/>
          <w14:textFill>
            <w14:solidFill>
              <w14:schemeClr w14:val="tx1"/>
            </w14:solidFill>
          </w14:textFill>
        </w:rPr>
        <w:t>(</w:t>
      </w:r>
      <w:r>
        <w:rPr>
          <w:rFonts w:hint="default" w:ascii="Times New Roman" w:hAnsi="Times New Roman" w:eastAsia="宋体" w:cs="Times New Roman"/>
          <w:i/>
          <w:iCs/>
          <w:color w:val="000000" w:themeColor="text1"/>
          <w:sz w:val="24"/>
          <w:szCs w:val="24"/>
          <w14:textFill>
            <w14:solidFill>
              <w14:schemeClr w14:val="tx1"/>
            </w14:solidFill>
          </w14:textFill>
        </w:rPr>
        <w:t>P</w:t>
      </w:r>
      <w:r>
        <w:rPr>
          <w:rFonts w:hint="default" w:ascii="Times New Roman" w:hAnsi="Times New Roman" w:eastAsia="宋体" w:cs="Times New Roman"/>
          <w:color w:val="000000" w:themeColor="text1"/>
          <w:sz w:val="24"/>
          <w:szCs w:val="24"/>
          <w14:textFill>
            <w14:solidFill>
              <w14:schemeClr w14:val="tx1"/>
            </w14:solidFill>
          </w14:textFill>
        </w:rPr>
        <w:t xml:space="preserve"> for overall = 0.001; P for nonlinearity = 0.001) (</w:t>
      </w:r>
      <w:r>
        <w:rPr>
          <w:rFonts w:hint="default" w:ascii="Times New Roman" w:hAnsi="Times New Roman" w:eastAsia="宋体" w:cs="Times New Roman"/>
          <w:b/>
          <w:bCs/>
          <w:color w:val="000000" w:themeColor="text1"/>
          <w:sz w:val="24"/>
          <w:szCs w:val="24"/>
          <w14:textFill>
            <w14:solidFill>
              <w14:schemeClr w14:val="tx1"/>
            </w14:solidFill>
          </w14:textFill>
        </w:rPr>
        <w:t>Figure 3</w:t>
      </w:r>
      <w:r>
        <w:rPr>
          <w:rFonts w:hint="default" w:ascii="Times New Roman" w:hAnsi="Times New Roman" w:eastAsia="宋体" w:cs="Times New Roman"/>
          <w:color w:val="000000" w:themeColor="text1"/>
          <w:sz w:val="24"/>
          <w:szCs w:val="24"/>
          <w14:textFill>
            <w14:solidFill>
              <w14:schemeClr w14:val="tx1"/>
            </w14:solidFill>
          </w14:textFill>
        </w:rPr>
        <w:t>).</w:t>
      </w:r>
    </w:p>
    <w:p>
      <w:pPr>
        <w:numPr>
          <w:ilvl w:val="0"/>
          <w:numId w:val="0"/>
        </w:numPr>
        <w:spacing w:line="480" w:lineRule="auto"/>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5269865" cy="2554605"/>
            <wp:effectExtent l="0" t="0" r="698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865" cy="2554605"/>
                    </a:xfrm>
                    <a:prstGeom prst="rect">
                      <a:avLst/>
                    </a:prstGeom>
                    <a:noFill/>
                    <a:ln>
                      <a:noFill/>
                    </a:ln>
                  </pic:spPr>
                </pic:pic>
              </a:graphicData>
            </a:graphic>
          </wp:inline>
        </w:drawing>
      </w:r>
    </w:p>
    <w:p>
      <w:pPr>
        <w:numPr>
          <w:ilvl w:val="0"/>
          <w:numId w:val="0"/>
        </w:numPr>
        <w:spacing w:line="240" w:lineRule="auto"/>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Models adjusted for age, sex, education level, marital status, smoking, alcohol consumption, BMI, hypertension, type 2 diabetes, and region of residence. The red line indicates estimated hazard ratios (HRs), with pink shading denoting 95% confidence intervals.</w:t>
      </w:r>
    </w:p>
    <w:p>
      <w:pPr>
        <w:numPr>
          <w:ilvl w:val="0"/>
          <w:numId w:val="0"/>
        </w:num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Figure </w:t>
      </w:r>
      <w:r>
        <w:rPr>
          <w:rFonts w:hint="eastAsia" w:ascii="Times New Roman" w:hAnsi="Times New Roman" w:cs="Times New Roman"/>
          <w:b/>
          <w:bCs/>
          <w:color w:val="000000" w:themeColor="text1"/>
          <w:sz w:val="24"/>
          <w:szCs w:val="24"/>
          <w:lang w:val="en-US" w:eastAsia="zh-CN"/>
          <w14:textFill>
            <w14:solidFill>
              <w14:schemeClr w14:val="tx1"/>
            </w14:solidFill>
          </w14:textFill>
        </w:rPr>
        <w:t>3</w:t>
      </w:r>
      <w:r>
        <w:rPr>
          <w:rFonts w:hint="default"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Restricted cubic spline curves for the associations between air pollutant exposure and cardiovascular event risk.</w:t>
      </w:r>
    </w:p>
    <w:p>
      <w:pPr>
        <w:numPr>
          <w:ilvl w:val="0"/>
          <w:numId w:val="0"/>
        </w:numPr>
        <w:spacing w:line="480" w:lineRule="auto"/>
        <w:jc w:val="left"/>
        <w:rPr>
          <w:rFonts w:hint="default" w:ascii="Times New Roman" w:hAnsi="Times New Roman" w:cs="Times New Roman"/>
          <w:color w:val="000000" w:themeColor="text1"/>
          <w14:textFill>
            <w14:solidFill>
              <w14:schemeClr w14:val="tx1"/>
            </w14:solidFill>
          </w14:textFill>
        </w:rPr>
      </w:pP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3.6 Subgroup and interaction analyses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Interactions between air pollutants and sex, educational level, and residential region were not statistically significant (P for interaction &gt; 0.05) (Table 5). Nevertheless, stratified analyses suggested that women, individuals with lower educational attainment, and rural residents had higher risk estimates associated with exposure to PM₁, PM₂.₅, and PM₁₀ compared with their respective reference groups (Supplementary Figure 1, Supplementary Table 2). Furthermore, in exploratory analyses, pollutant–pollutant interaction terms (PM₂.₅×NO₂, PM₂.₅×O₃, NO₂×O₃) reached statistical significance after FDR correction (Supplementary Table S</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default" w:ascii="Times New Roman" w:hAnsi="Times New Roman" w:cs="Times New Roman"/>
          <w:color w:val="000000" w:themeColor="text1"/>
          <w:sz w:val="24"/>
          <w:szCs w:val="24"/>
          <w:lang w:val="en-US" w:eastAsia="zh-CN"/>
          <w14:textFill>
            <w14:solidFill>
              <w14:schemeClr w14:val="tx1"/>
            </w14:solidFill>
          </w14:textFill>
        </w:rPr>
        <w:t>); however, the corresponding hazard ratios were extremely close to unity (e.g., 1.001–1.002).</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240"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Table 5</w:t>
      </w:r>
      <w:r>
        <w:rPr>
          <w:rFonts w:hint="default" w:ascii="Times New Roman" w:hAnsi="Times New Roman" w:cs="Times New Roman"/>
          <w:color w:val="000000" w:themeColor="text1"/>
          <w:sz w:val="24"/>
          <w:szCs w:val="24"/>
          <w:lang w:val="en-US" w:eastAsia="zh-CN"/>
          <w14:textFill>
            <w14:solidFill>
              <w14:schemeClr w14:val="tx1"/>
            </w14:solidFill>
          </w14:textFill>
        </w:rPr>
        <w:t>. Subgroup and interaction analyses of air pollutant exposure and risk of cardiac events</w:t>
      </w:r>
    </w:p>
    <w:tbl>
      <w:tblPr>
        <w:tblStyle w:val="3"/>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16"/>
        <w:gridCol w:w="1945"/>
        <w:gridCol w:w="2165"/>
        <w:gridCol w:w="209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59"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Subgroup</w:t>
            </w:r>
          </w:p>
        </w:tc>
        <w:tc>
          <w:tcPr>
            <w:tcW w:w="1141"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PM₁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 xml:space="preserve">HR </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(95%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127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PM₂.₅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 (95%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c>
          <w:tcPr>
            <w:tcW w:w="1228"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PM₁₀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HR</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 xml:space="preserve"> (95% </w:t>
            </w:r>
            <w:r>
              <w:rPr>
                <w:rFonts w:hint="default" w:ascii="Times New Roman" w:hAnsi="Times New Roman" w:eastAsia="等线" w:cs="Times New Roman"/>
                <w:b/>
                <w:bCs/>
                <w:i/>
                <w:iCs/>
                <w:color w:val="000000" w:themeColor="text1"/>
                <w:kern w:val="0"/>
                <w:sz w:val="18"/>
                <w:szCs w:val="18"/>
                <w:u w:val="none"/>
                <w:lang w:val="en-US" w:eastAsia="zh-CN" w:bidi="ar"/>
                <w14:textFill>
                  <w14:solidFill>
                    <w14:schemeClr w14:val="tx1"/>
                  </w14:solidFill>
                </w14:textFill>
              </w:rPr>
              <w:t>CI</w:t>
            </w: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Gender</w:t>
            </w:r>
          </w:p>
        </w:tc>
        <w:tc>
          <w:tcPr>
            <w:tcW w:w="1141"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70"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28"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Male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1.084 (0.998, 1.179)</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1.118 (1.028, 1.216)</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1.180 (1.090, 1.278)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Female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1.126 (1.051, 1.206)</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1.174 (1.096, 1.258)</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1.249 (1.173, 1.329)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000000" w:themeColor="text1"/>
                <w:sz w:val="18"/>
                <w:szCs w:val="18"/>
                <w:u w:val="none"/>
                <w14:textFill>
                  <w14:solidFill>
                    <w14:schemeClr w14:val="tx1"/>
                  </w14:solidFill>
                </w14:textFill>
              </w:rPr>
            </w:pPr>
            <w:r>
              <w:rPr>
                <w:rFonts w:hint="default" w:ascii="Times New Roman" w:hAnsi="Times New Roman" w:eastAsia="等线" w:cs="Times New Roman"/>
                <w:i/>
                <w:iCs/>
                <w:color w:val="000000" w:themeColor="text1"/>
                <w:kern w:val="0"/>
                <w:sz w:val="18"/>
                <w:szCs w:val="18"/>
                <w:u w:val="none"/>
                <w:lang w:val="en-US" w:eastAsia="zh-CN" w:bidi="ar"/>
                <w14:textFill>
                  <w14:solidFill>
                    <w14:schemeClr w14:val="tx1"/>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0.495</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0.376</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0.270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Age</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&lt;65</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1.101 (1.014, 1.194)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1.154 (1.062, 1.253)</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1.265 (1.171, 1.365)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≥65</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1.104 (1.029, 1.184)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1.138 (1.061, 1.220)</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1.182 (1.108, 1.261)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000000" w:themeColor="text1"/>
                <w:sz w:val="18"/>
                <w:szCs w:val="18"/>
                <w:u w:val="none"/>
                <w14:textFill>
                  <w14:solidFill>
                    <w14:schemeClr w14:val="tx1"/>
                  </w14:solidFill>
                </w14:textFill>
              </w:rPr>
            </w:pPr>
            <w:r>
              <w:rPr>
                <w:rFonts w:hint="default" w:ascii="Times New Roman" w:hAnsi="Times New Roman" w:eastAsia="等线" w:cs="Times New Roman"/>
                <w:i/>
                <w:iCs/>
                <w:color w:val="000000" w:themeColor="text1"/>
                <w:kern w:val="0"/>
                <w:sz w:val="18"/>
                <w:szCs w:val="18"/>
                <w:u w:val="none"/>
                <w:lang w:val="en-US" w:eastAsia="zh-CN" w:bidi="ar"/>
                <w14:textFill>
                  <w14:solidFill>
                    <w14:schemeClr w14:val="tx1"/>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0.961</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0.795</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Location</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Urban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0.946 (0.758, 1.181)</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1.024 (0.831, 1.261)</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1.146 (1.003, 1.309)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Rural</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1.120 (1.060, 1.184)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1.161 (1.099, 1.228)</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1.236 (1.171, 1.304)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000000" w:themeColor="text1"/>
                <w:sz w:val="18"/>
                <w:szCs w:val="18"/>
                <w:u w:val="none"/>
                <w14:textFill>
                  <w14:solidFill>
                    <w14:schemeClr w14:val="tx1"/>
                  </w14:solidFill>
                </w14:textFill>
              </w:rPr>
            </w:pPr>
            <w:r>
              <w:rPr>
                <w:rFonts w:hint="default" w:ascii="Times New Roman" w:hAnsi="Times New Roman" w:eastAsia="等线" w:cs="Times New Roman"/>
                <w:i/>
                <w:iCs/>
                <w:color w:val="000000" w:themeColor="text1"/>
                <w:kern w:val="0"/>
                <w:sz w:val="18"/>
                <w:szCs w:val="18"/>
                <w:u w:val="none"/>
                <w:lang w:val="en-US" w:eastAsia="zh-CN" w:bidi="ar"/>
                <w14:textFill>
                  <w14:solidFill>
                    <w14:schemeClr w14:val="tx1"/>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0.144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0.249</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0.290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Education</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Elementary or below</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1.066 (0.971, 1.170)</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1.108 (1.010, 1.215)</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1.204 (1.095, 1.325)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Middle school</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1.190 (1.091, 1.298)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1.238 (1.135, 1.351)</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1.270 (1.181, 1.366)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High school or above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1.060 (0.962, 1.168)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1.095 (0.992, 1.210)</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1.166 (1.064, 1.279)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000000" w:themeColor="text1"/>
                <w:sz w:val="18"/>
                <w:szCs w:val="18"/>
                <w:u w:val="none"/>
                <w14:textFill>
                  <w14:solidFill>
                    <w14:schemeClr w14:val="tx1"/>
                  </w14:solidFill>
                </w14:textFill>
              </w:rPr>
            </w:pPr>
            <w:r>
              <w:rPr>
                <w:rFonts w:hint="default" w:ascii="Times New Roman" w:hAnsi="Times New Roman" w:eastAsia="等线" w:cs="Times New Roman"/>
                <w:i/>
                <w:iCs/>
                <w:color w:val="000000" w:themeColor="text1"/>
                <w:kern w:val="0"/>
                <w:sz w:val="18"/>
                <w:szCs w:val="18"/>
                <w:u w:val="none"/>
                <w:lang w:val="en-US" w:eastAsia="zh-CN" w:bidi="ar"/>
                <w14:textFill>
                  <w14:solidFill>
                    <w14:schemeClr w14:val="tx1"/>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0.128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0.113</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themeColor="text1"/>
                <w:sz w:val="18"/>
                <w:szCs w:val="18"/>
                <w:u w:val="none"/>
                <w14:textFill>
                  <w14:solidFill>
                    <w14:schemeClr w14:val="tx1"/>
                  </w14:solidFill>
                </w14:textFill>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0.344</w:t>
            </w:r>
          </w:p>
        </w:tc>
      </w:tr>
    </w:tbl>
    <w:p>
      <w:pPr>
        <w:numPr>
          <w:ilvl w:val="0"/>
          <w:numId w:val="0"/>
        </w:numPr>
        <w:spacing w:line="480" w:lineRule="auto"/>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3.7 Sensitivity Analysis</w:t>
      </w:r>
    </w:p>
    <w:p>
      <w:pPr>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We conducted a series of sensitivity analyses to evaluate the robustness of the findings. Inclusion of both NO₂ and O₃ in multi-pollutant models did not materially change the associations of PM₂.₅ and PM₁₀ with cardiac event risk (Table S</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Ridge regression further confirmed that risk estimates for PM₂.₅ and PM₁₀ remained stable after accounting for multicollinearity, while the effect sizes of O₃ and NO₂ were comparable to those observed in the main models (Table S</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 Collinearity diagnostics indicated moderate correlations among pollutants; however, all variance inflation factors (VIFs) in optimized models were below 5, suggesting that multicollinearity had no meaningful impact (Tables S</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and S</w:t>
      </w:r>
      <w:r>
        <w:rPr>
          <w:rFonts w:hint="eastAsia" w:ascii="Times New Roman" w:hAnsi="Times New Roman" w:cs="Times New Roman"/>
          <w:color w:val="000000" w:themeColor="text1"/>
          <w:sz w:val="24"/>
          <w:szCs w:val="24"/>
          <w:lang w:val="en-US" w:eastAsia="zh-CN"/>
          <w14:textFill>
            <w14:solidFill>
              <w14:schemeClr w14:val="tx1"/>
            </w14:solidFill>
          </w14:textFill>
        </w:rPr>
        <w:t>9</w:t>
      </w:r>
      <w:r>
        <w:rPr>
          <w:rFonts w:hint="default" w:ascii="Times New Roman" w:hAnsi="Times New Roman" w:cs="Times New Roman"/>
          <w:color w:val="000000" w:themeColor="text1"/>
          <w:sz w:val="24"/>
          <w:szCs w:val="24"/>
          <w:lang w:val="en-US" w:eastAsia="zh-CN"/>
          <w14:textFill>
            <w14:solidFill>
              <w14:schemeClr w14:val="tx1"/>
            </w14:solidFill>
          </w14:textFill>
        </w:rPr>
        <w:t>). Exclusion of extreme values, either through 1%/99% Winsorization or by omitting cities in the top and bottom 1% of mean exposures, did not materially affect PM₂.₅ estimates (Table S</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lang w:val="en-US" w:eastAsia="zh-CN"/>
          <w14:textFill>
            <w14:solidFill>
              <w14:schemeClr w14:val="tx1"/>
            </w14:solidFill>
          </w14:textFill>
        </w:rPr>
        <w:t>). Results for PM₂.₅ and PM₁₀ were also consistent across alternative exposure windows, whereas estimates for O₃ showed some fluctuation but did not alter the overall interpretation (Table S</w:t>
      </w:r>
      <w:r>
        <w:rPr>
          <w:rFonts w:hint="eastAsia"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lang w:val="en-US" w:eastAsia="zh-CN"/>
          <w14:textFill>
            <w14:solidFill>
              <w14:schemeClr w14:val="tx1"/>
            </w14:solidFill>
          </w14:textFill>
        </w:rPr>
        <w:t>). Analyses applying city-clustered robust standard errors and city-level frailty models yielded similar conclusions (Table S</w:t>
      </w:r>
      <w:r>
        <w:rPr>
          <w:rFonts w:hint="eastAsia" w:ascii="Times New Roman" w:hAnsi="Times New Roman" w:cs="Times New Roman"/>
          <w:color w:val="000000" w:themeColor="text1"/>
          <w:sz w:val="24"/>
          <w:szCs w:val="24"/>
          <w:lang w:val="en-US" w:eastAsia="zh-CN"/>
          <w14:textFill>
            <w14:solidFill>
              <w14:schemeClr w14:val="tx1"/>
            </w14:solidFill>
          </w14:textFill>
        </w:rPr>
        <w:t>7</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widowControl w:val="0"/>
        <w:numPr>
          <w:ilvl w:val="0"/>
          <w:numId w:val="0"/>
        </w:numPr>
        <w:spacing w:line="480" w:lineRule="auto"/>
        <w:ind w:leftChars="0"/>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widowControl w:val="0"/>
        <w:numPr>
          <w:ilvl w:val="0"/>
          <w:numId w:val="0"/>
        </w:numPr>
        <w:spacing w:line="480" w:lineRule="auto"/>
        <w:ind w:leftChars="0"/>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4 </w:t>
      </w:r>
      <w:r>
        <w:rPr>
          <w:rFonts w:hint="default" w:ascii="Times New Roman" w:hAnsi="Times New Roman" w:cs="Times New Roman"/>
          <w:b/>
          <w:bCs/>
          <w:color w:val="000000" w:themeColor="text1"/>
          <w:sz w:val="24"/>
          <w:szCs w:val="24"/>
          <w:lang w:val="en-US" w:eastAsia="zh-CN"/>
          <w14:textFill>
            <w14:solidFill>
              <w14:schemeClr w14:val="tx1"/>
            </w14:solidFill>
          </w14:textFill>
        </w:rPr>
        <w:t>Discussion</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This study, drawing on a large sample of middle-aged and older adults from the CHARLS cohort, systematically examined the associations between multiple air pollutants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 Particulate matter, including PM₁, PM₂.₅, and PM₁₀, was positively associated with cardiovascular events, and these associations remained robust across multi-pollutant models and sensitivity analyses, suggesting that particles of different sizes may exert consistent adverse effects on cardiovascular health. In the cross-sectional GLM analyses, the associations for PM₁₀ were relatively consistent across models; however, the effect size was minimal</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and of limited clinical relevance.</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This finding is consistent with several international studies. A prospective analysis based on the UK Biobank reported that combined exposure to multiple air pollutants may increase the risk of HD, particularly heart failure, with PM₂.₅ and PM₁₀ identified as the main drivers [2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lang w:val="en-US" w:eastAsia="zh-CN"/>
          <w14:textFill>
            <w14:solidFill>
              <w14:schemeClr w14:val="tx1"/>
            </w14:solidFill>
          </w14:textFill>
        </w:rPr>
        <w:t>]. Similarly, systematic reviews and meta-analyses have consistently demonstrated significant associations between PM₂.₅ exposure and the incidence of heart failure [2</w:t>
      </w:r>
      <w:r>
        <w:rPr>
          <w:rFonts w:hint="eastAsia" w:ascii="Times New Roman" w:hAnsi="Times New Roman" w:cs="Times New Roman"/>
          <w:color w:val="000000" w:themeColor="text1"/>
          <w:sz w:val="24"/>
          <w:szCs w:val="24"/>
          <w:lang w:val="en-US" w:eastAsia="zh-CN"/>
          <w14:textFill>
            <w14:solidFill>
              <w14:schemeClr w14:val="tx1"/>
            </w14:solidFill>
          </w14:textFill>
        </w:rPr>
        <w:t>7</w:t>
      </w:r>
      <w:r>
        <w:rPr>
          <w:rFonts w:hint="default" w:ascii="Times New Roman" w:hAnsi="Times New Roman" w:cs="Times New Roman"/>
          <w:color w:val="000000" w:themeColor="text1"/>
          <w:sz w:val="24"/>
          <w:szCs w:val="24"/>
          <w:lang w:val="en-US" w:eastAsia="zh-CN"/>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29</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In the Chinese context, a study using data from the Global Burden of Disease database showed that PM₂.₅-related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mortality increased steadily between 1994 and 2019, with risks rising significantly with age [3</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cs="Times New Roman"/>
          <w:color w:val="000000" w:themeColor="text1"/>
          <w:sz w:val="24"/>
          <w:szCs w:val="24"/>
          <w:lang w:val="en-US" w:eastAsia="zh-CN"/>
          <w14:textFill>
            <w14:solidFill>
              <w14:schemeClr w14:val="tx1"/>
            </w14:solidFill>
          </w14:textFill>
        </w:rPr>
        <w:t>]. In South Korea, a nationwide cohort study found that long-term PM₂.₅ exposure was associated with higher HD mortality among middle-aged adults, with the strongest associations observed for heart failure–related deaths [3</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val="en-US" w:eastAsia="zh-CN"/>
          <w14:textFill>
            <w14:solidFill>
              <w14:schemeClr w14:val="tx1"/>
            </w14:solidFill>
          </w14:textFill>
        </w:rPr>
        <w:t>]. Collectively, this body of evidence highlights the substantial public health burden of particulate matter pollution across diverse populations. In comparison, the present study not only confirmed the robustness of PM₂.₅ and PM₁₀ associations in a nationally representative Chinese sample, but also complements recent time-series evidence showing that short-term PM₁ exposure increases the risk of HD deaths, with approximately 5.7% of related deaths attributable to PM₁, and older adults being disproportionately affected [3</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 Taken together, these short-term and long-term findings suggest that PM₁ may play an important role in the development of HD.</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In contrast, the associations of NO₂ and O₃ were less consistent in this study. NO₂ was related to cardiac risk in single-pollutant models, but its effects were unstable in multi-pollutant models. Such inconsistencies were not observed in the European ELAPSE Project, which found that NO₂ remained associated with cardiovascular outcomes even at low concentrations and retained significance in multi-pollutant models [3</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suggesting that differences in exposure assessment and model specification may partly explain the divergent findings. Results for O₃ were likewise unstable, showing inverse associations in some models but a reversal of direction after adjustment for exposure windows. The ELAPSE Project also reported that associations between O₃ and mortality were substantially attenuated in multi-pollutant models [3</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Additionally, a cross-sectional imaging study among healthy Canadian adults found that NO₂ was associated with reduced carotid wall volume (CWV), whereas O₃ was significantly associated with increased CWV [3</w:t>
      </w:r>
      <w:r>
        <w:rPr>
          <w:rFonts w:hint="eastAsia"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lang w:val="en-US" w:eastAsia="zh-CN"/>
          <w14:textFill>
            <w14:solidFill>
              <w14:schemeClr w14:val="tx1"/>
            </w14:solidFill>
          </w14:textFill>
        </w:rPr>
        <w:t>], suggesting that gaseous pollutants may affect subclinical atherosclerosis through complex biological pathways. Taken together, our findings and prior evidence suggest that the health effects of NO₂ and O₃ remain uncertain, highlighting the need for future investigations that incorporate more refined individual-level exposure assessments and optimized multi-pollutant modeling strategies. Notably, the inverse associations of O₃ observed in multi-pollutant models should not be construed as protective effects, but are more likely to represent artifacts driven by exposure correlation structures or model specifications.</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Beyond epidemiological evidence, a growing body of reviews and experimental studies has elucidated the potential mechanisms linking air pollution to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Long-term PM₂.₅ exposure has been shown to elevate the risk of acute coronary syndrome, myocardial infarction, arrhythmias, and heart failure through oxidative stress, systemic inflammation, endothelial dysfunction, autonomic imbalance, and thrombogenesis [</w:t>
      </w:r>
      <w:r>
        <w:rPr>
          <w:rFonts w:hint="eastAsia" w:ascii="Times New Roman" w:hAnsi="Times New Roman" w:cs="Times New Roman"/>
          <w:color w:val="000000" w:themeColor="text1"/>
          <w:sz w:val="24"/>
          <w:szCs w:val="24"/>
          <w:lang w:val="en-US" w:eastAsia="zh-CN"/>
          <w14:textFill>
            <w14:solidFill>
              <w14:schemeClr w14:val="tx1"/>
            </w14:solidFill>
          </w14:textFill>
        </w:rPr>
        <w:t>29</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eastAsia" w:ascii="Times New Roman" w:hAnsi="Times New Roman" w:cs="Times New Roman"/>
          <w:color w:val="000000" w:themeColor="text1"/>
          <w:sz w:val="24"/>
          <w:szCs w:val="24"/>
          <w:lang w:val="en-US" w:eastAsia="zh-CN"/>
          <w14:textFill>
            <w14:solidFill>
              <w14:schemeClr w14:val="tx1"/>
            </w14:solidFill>
          </w14:textFill>
        </w:rPr>
        <w:t>7</w:t>
      </w:r>
      <w:r>
        <w:rPr>
          <w:rFonts w:hint="default" w:ascii="Times New Roman" w:hAnsi="Times New Roman" w:cs="Times New Roman"/>
          <w:color w:val="000000" w:themeColor="text1"/>
          <w:sz w:val="24"/>
          <w:szCs w:val="24"/>
          <w:lang w:val="en-US" w:eastAsia="zh-CN"/>
          <w14:textFill>
            <w14:solidFill>
              <w14:schemeClr w14:val="tx1"/>
            </w14:solidFill>
          </w14:textFill>
        </w:rPr>
        <w:t>]. Animal studies further demonstrate that chronic PM₂.₅ exposure induces myocardial structural damage and inflammatory responses, accompanied by increased expression of ICAM-1, CRP, and other inflammation-related proteins [3</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 nanoparticles may also deposit at vascular lesions, accelerating local inflammation and atherosclerosis [</w:t>
      </w:r>
      <w:r>
        <w:rPr>
          <w:rFonts w:hint="eastAsia" w:ascii="Times New Roman" w:hAnsi="Times New Roman" w:cs="Times New Roman"/>
          <w:color w:val="000000" w:themeColor="text1"/>
          <w:sz w:val="24"/>
          <w:szCs w:val="24"/>
          <w:lang w:val="en-US" w:eastAsia="zh-CN"/>
          <w14:textFill>
            <w14:solidFill>
              <w14:schemeClr w14:val="tx1"/>
            </w14:solidFill>
          </w14:textFill>
        </w:rPr>
        <w:t>39</w:t>
      </w:r>
      <w:r>
        <w:rPr>
          <w:rFonts w:hint="default" w:ascii="Times New Roman" w:hAnsi="Times New Roman" w:cs="Times New Roman"/>
          <w:color w:val="000000" w:themeColor="text1"/>
          <w:sz w:val="24"/>
          <w:szCs w:val="24"/>
          <w:lang w:val="en-US" w:eastAsia="zh-CN"/>
          <w14:textFill>
            <w14:solidFill>
              <w14:schemeClr w14:val="tx1"/>
            </w14:solidFill>
          </w14:textFill>
        </w:rPr>
        <w:t>]. At the molecular level, air pollution promotes reactive oxygen species (ROS) generation and activates key signaling pathways—including Toll-like receptors (TLRs), NF-κB, Nrf2, and the aryl hydrocarbon receptor (AhR)—thereby triggering inflammatory and oxidative stress responses [4</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These processes impair vascular relaxation, reduce heart rate variability [4</w:t>
      </w:r>
      <w:r>
        <w:rPr>
          <w:rFonts w:hint="eastAsia"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lang w:val="en-US" w:eastAsia="zh-CN"/>
          <w14:textFill>
            <w14:solidFill>
              <w14:schemeClr w14:val="tx1"/>
            </w14:solidFill>
          </w14:textFill>
        </w:rPr>
        <w:t>], and are linked to catecholamine dysregulation and sympathetic activation [4</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 ultimately heightening the risk of arrhythmia and thrombosis [3</w:t>
      </w:r>
      <w:r>
        <w:rPr>
          <w:rFonts w:hint="eastAsia" w:ascii="Times New Roman" w:hAnsi="Times New Roman" w:cs="Times New Roman"/>
          <w:color w:val="000000" w:themeColor="text1"/>
          <w:sz w:val="24"/>
          <w:szCs w:val="24"/>
          <w:lang w:val="en-US" w:eastAsia="zh-CN"/>
          <w14:textFill>
            <w14:solidFill>
              <w14:schemeClr w14:val="tx1"/>
            </w14:solidFill>
          </w14:textFill>
        </w:rPr>
        <w:t>7</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lang w:val="en-US" w:eastAsia="zh-CN"/>
          <w14:textFill>
            <w14:solidFill>
              <w14:schemeClr w14:val="tx1"/>
            </w14:solidFill>
          </w14:textFill>
        </w:rPr>
        <w:t>]. Additional mechanisms include impaired HDL functionality [4</w:t>
      </w:r>
      <w:r>
        <w:rPr>
          <w:rFonts w:hint="eastAsia" w:ascii="Times New Roman" w:hAnsi="Times New Roman" w:cs="Times New Roman"/>
          <w:color w:val="000000" w:themeColor="text1"/>
          <w:sz w:val="24"/>
          <w:szCs w:val="24"/>
          <w:lang w:val="en-US" w:eastAsia="zh-CN"/>
          <w14:textFill>
            <w14:solidFill>
              <w14:schemeClr w14:val="tx1"/>
            </w14:solidFill>
          </w14:textFill>
        </w:rPr>
        <w:t>7</w:t>
      </w:r>
      <w:r>
        <w:rPr>
          <w:rFonts w:hint="default" w:ascii="Times New Roman" w:hAnsi="Times New Roman" w:cs="Times New Roman"/>
          <w:color w:val="000000" w:themeColor="text1"/>
          <w:sz w:val="24"/>
          <w:szCs w:val="24"/>
          <w:lang w:val="en-US" w:eastAsia="zh-CN"/>
          <w14:textFill>
            <w14:solidFill>
              <w14:schemeClr w14:val="tx1"/>
            </w14:solidFill>
          </w14:textFill>
        </w:rPr>
        <w:t>], epigenetic modifications [4</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 and immune activation, while emerging evidence suggests that oxidative and inflammatory pathways may also contribute to metabolic syndrome and arteriosclerosis [</w:t>
      </w:r>
      <w:r>
        <w:rPr>
          <w:rFonts w:hint="eastAsia" w:ascii="Times New Roman" w:hAnsi="Times New Roman" w:cs="Times New Roman"/>
          <w:color w:val="000000" w:themeColor="text1"/>
          <w:sz w:val="24"/>
          <w:szCs w:val="24"/>
          <w:lang w:val="en-US" w:eastAsia="zh-CN"/>
          <w14:textFill>
            <w14:solidFill>
              <w14:schemeClr w14:val="tx1"/>
            </w14:solidFill>
          </w14:textFill>
        </w:rPr>
        <w:t>49</w:t>
      </w:r>
      <w:r>
        <w:rPr>
          <w:rFonts w:hint="default" w:ascii="Times New Roman" w:hAnsi="Times New Roman" w:cs="Times New Roman"/>
          <w:color w:val="000000" w:themeColor="text1"/>
          <w:sz w:val="24"/>
          <w:szCs w:val="24"/>
          <w:lang w:val="en-US" w:eastAsia="zh-CN"/>
          <w14:textFill>
            <w14:solidFill>
              <w14:schemeClr w14:val="tx1"/>
            </w14:solidFill>
          </w14:textFill>
        </w:rPr>
        <w:t>,5</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Taken together, evidence from epidemiological, animal, and mechanistic studies strongly supports the role of particulate and gaseous pollutants in the development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providing robust biological plausibility for the present findings.</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Further subgroup analyses suggested that women, individuals with lower education, and rural residents were at relatively higher risk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associated with PM exposure. Although the interaction effects were not statistically significant, these trends point to potential population susceptibility or differences in environmental exposure. Prior studies have shown that women may be more vulnerable to pollution-related damage through oxidative stress and one-carbon metabolic pathways [5</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residents of areas with inadequate environmental governance or persistently high pollution levels experience greater risks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[5</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 and those with lower education and socioeconomic status often have limited health literacy and protective awareness, amplifying the adverse effects of pollution [5</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These findings align with the stratified trends observed in this study and underscore the importance of considering population susceptibility in air pollution control and </w:t>
      </w:r>
      <w:r>
        <w:rPr>
          <w:rFonts w:hint="eastAsia" w:ascii="Times New Roman" w:hAnsi="Times New Roman" w:cs="Times New Roman"/>
          <w:color w:val="000000" w:themeColor="text1"/>
          <w:sz w:val="24"/>
          <w:szCs w:val="24"/>
          <w:lang w:val="en-US" w:eastAsia="zh-CN"/>
          <w14:textFill>
            <w14:solidFill>
              <w14:schemeClr w14:val="tx1"/>
            </w14:solidFill>
          </w14:textFill>
        </w:rPr>
        <w:t>CVD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prevention to enable more targeted public health interventions.</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On this basis, strengthening the transition to clean energy, vehicle emission control, and industrial pollution regulation is essential to reduce long-term exposure in high-risk populations and to mitigate the burden of </w:t>
      </w:r>
      <w:r>
        <w:rPr>
          <w:rFonts w:hint="eastAsia" w:ascii="Times New Roman" w:hAnsi="Times New Roman" w:cs="Times New Roman"/>
          <w:color w:val="000000" w:themeColor="text1"/>
          <w:sz w:val="24"/>
          <w:szCs w:val="24"/>
          <w:lang w:val="en-US" w:eastAsia="zh-CN"/>
          <w14:textFill>
            <w14:solidFill>
              <w14:schemeClr w14:val="tx1"/>
            </w14:solidFill>
          </w14:textFill>
        </w:rPr>
        <w:t>CVD</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Notably, a recent Chinese cohort study of more than 5.8 million participants confirmed the association between air pollution and </w:t>
      </w:r>
      <w:r>
        <w:rPr>
          <w:rFonts w:hint="eastAsia" w:ascii="Times New Roman" w:hAnsi="Times New Roman" w:cs="Times New Roman"/>
          <w:color w:val="000000" w:themeColor="text1"/>
          <w:sz w:val="24"/>
          <w:szCs w:val="24"/>
          <w:lang w:val="en-US" w:eastAsia="zh-CN"/>
          <w14:textFill>
            <w14:solidFill>
              <w14:schemeClr w14:val="tx1"/>
            </w14:solidFill>
          </w14:textFill>
        </w:rPr>
        <w:t>CVD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and emphasized the influence of lifestyle factors [</w:t>
      </w:r>
      <w:r>
        <w:rPr>
          <w:rFonts w:hint="eastAsia" w:ascii="Times New Roman" w:hAnsi="Times New Roman" w:cs="Times New Roman"/>
          <w:color w:val="000000" w:themeColor="text1"/>
          <w:sz w:val="24"/>
          <w:szCs w:val="24"/>
          <w:lang w:val="en-US" w:eastAsia="zh-CN"/>
          <w14:textFill>
            <w14:solidFill>
              <w14:schemeClr w14:val="tx1"/>
            </w14:solidFill>
          </w14:textFill>
        </w:rPr>
        <w:t>54</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Although more modest in scale, our study focuses on middle-aged and older adults, incorporates PM₁ exposure, and employs rigorous sensitivity analyses, thereby providing complementary evidence to the existing literature.Although some pollutant–pollutant interaction terms reached statistical significance in exploratory analyses, their effect sizes were negligible (hazard ratios close to 1), lacking biological or clinical relevance. Therefore, the core conclusions of this study do not rely on these interaction results but rather focus on the robust associations between long-term single-pollutant exposures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5</w:t>
      </w: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lang w:val="en-US" w:eastAsia="zh-CN"/>
          <w14:textFill>
            <w14:solidFill>
              <w14:schemeClr w14:val="tx1"/>
            </w14:solidFill>
          </w14:textFill>
        </w:rPr>
        <w:t>Strengths and Limitations</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Drawing on a nationally representative cohort, this study systematically examined the associations of PM₂.₅, PM₁₀, and PM₁ exposure with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 and confirmed the robustness of the results through multi-pollutant models and sensitivity analyses. Subgroup analyses indicated that women, rural residents, and individuals with lower education may face elevated risks, providing valuable insights for identifying susceptible populations. Notably, this study provides nationwide epidemiological evidence on PM₁, contributing to a deeper understanding of the relationship between particulate matter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Nevertheless, this study has several limitations. Air pollution exposure was estimated from region-level averages, which may not reflect individual variability.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outcomes were self-reported, introducing the possibility of information bias, and cross-sectional effect sizes were relatively small, limiting clinical relevance. The inconsistent associations observed for O₃ and NO₂ may reflect pollutant collinearity or spatial heterogeneity. Compared with larger-scale studies, the sample size was modest, reducing statistical power to detect weak effects or interactions. Furthermore, clinical adjudication of outcomes and advanced spatiotemporal exposure models were not applied, which may restrict the generalizability of our findings. Nonetheless, this study offers valuable complementary evidence on the association between long-term particulate matter exposure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in the Chinese population, highlighting the public health significance of air pollution as a modifiable risk factor. Residual confounding cannot be excluded, as individual-level data on diet, physical activity, and neighborhood environmental characteristics (e.g., greenness, traffic density) were unavailable, and meteorological covariates were not explicitly incorporated in the long-term analyses. Given the likely non-differential misclassification from city-level exposure assessment and self-reported outcomes, the observed effect estimates may have been biased toward the null.</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6. Conclusion</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Using a cohort of middle-aged and older adults in China, this study found that long-term exposure to PM₁, PM₂.₅, and PM₁₀ was significantly associated with increased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 with these associations remaining robust across multiple models and sensitivity analyses. By contrast, the effects of NO₂ and O₃ were inconsistent, indicating that their health risks should be interpreted cautiously and require further investigation. Stratified analyses suggested that women, individuals with lower education, and rural residents may be more susceptible to particulate matter, although these differences need further confirmation. Overall, this study underscores particulate pollution as a modifiable risk factor and highlights the need for targeted public health strategies to protect vulnerable populations and reduce the burden of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Acknowledgements</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We are grateful to Peking University for offering open access to their data resources and to all the investigators who contributed to this study. Additionally, we acknowledge the China High Air Pollution (CHAP) dataset, which was invaluable for our analysis. </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Funding</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This research did not receive funding</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Author contributions</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Zhening Xu conceptualized the study and conducted the data analysis. Yuyu Cui and Lijuan Ding contributed to manuscript drafting. Yuyu Cui performed formal analysis and investigation. Lijuan Ding was responsible for validation and contributed to the conceptualization of the study. Lingxia Li and Xiaoyan Zhou critically reviewed and edited the manuscript. All authors contributed to and approved the final version of the article.</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Data availability statement</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The air pollution data were obtained from the China High Air Pollution (CHAP) dataset (https://weijing-rs.github.io/product.html). The health and demographic data were obtained from the China Health and Retirement Longitudinal Study (CHARLS) (http://charls.pku.edu.cn). Both datasets are publicly available.</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Ethics statement</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This cohort study utilized data from the CHARLS database. Patient information was anonymized before analysis. The original CHARLS study received approval from the Ethical Review Committee of Peking University (IRB00001052–11015), with all participants providing informed consent at the time of their enrollment. This research adheres to the principles outlined in the Declaration of Helsinki.</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Conflict of interest</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The authors confirm that the research was conducted without any commercial or financial relationships that could be perceived as potential conflicts of interest.</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Clinical trial number</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Not applicable.</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Consent to Participate in Missing Declaration </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Not Applicable.</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Consent to Publish Declaration </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Not Applicable.</w:t>
      </w:r>
    </w:p>
    <w:p>
      <w:pPr>
        <w:spacing w:line="480" w:lineRule="auto"/>
        <w:jc w:val="left"/>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References</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Joseph P, Leong D, McKee M, Anand SS, Schwalm JD, Teo K, et al. Reducing the Global Burden of Cardiovascular Disease, Part 1: The Epidemiology and Risk Factors. Circ Res. 2017;121(6):677–94. doi:10.1161/CIRCRESAHA.117.308903IF: 16.2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Yang Y, Li S, Ren Q, Qiu Y, Pan M, Liu G, et al. The interaction between triglyceride-glucose index and visceral adiposity in cardiovascular disease risk: findings from a nationwide Chinese cohort. Cardiovasc Diabetol. 2024;23(1):427. doi:10.1186/s12933-024-02518-2IF: 10.6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Liu J, Qi J, Yin P, Liu Y, You J, Lin L, et al. Cardiovascular Disease Mortality - China, 2019. China CDC Wkly. 2021;3(15):323–6. doi:10.46234/ccdcw2021.087IF: 2.9 Q2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Allen JD, Stabler T, Kenjale A, Ham KL, Robbins JL, Duscha BD, et al. Plasma nitrite flux predicts exercise performance in peripheral arterial disease after 3 months of exercise training. Free Radic Biol Med. 2010;49(6):1138–44. doi:10.1016/j.freeradbiomed.2010.06.033IF: 8.2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Savarese G, Lund LH. Global Public Health Burden of Heart Failure. Card Fail Rev. 2017;3(1):7–11. doi:10.15420/cfr.2016:25:2IF: 5.7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Ji JS. Air pollution and cardiovascular disease onset: hours, days, or years? Lancet Public Health. 2022;7(11):e890–e891. doi:10.1016/S2468-2667(22)00257-2IF: 25.2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Cohen AJ, Brauer M, Burnett R, Anderson HR, Frostad J, Estep K, et al. Estimates and 25-year trends of the global burden of disease attributable to ambient air pollution: an analysis of data from the Global Burden of Diseases Study 2015. Lancet. 2017;389(10082):1907–18. doi:10.1016/S0140-6736(17)30505-6IF: 88.5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World Health Organization. Ambient (Outdoor) Air Pollution. 2024 [cited 2024 Sep 25]. Available from: https://www.who.int/newsroom/fact-sheets/detail/ambient-(outdoor)-air-quality-and-health.</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Krzyzanowski M, Kuna-Dibbert B, Schneider J; WHO. Health effects of transport-related air pollution. Copenhagen: World Health Organization, Regional Office for Europe; 2005. Available from: https://iris.who.int/handle/10665/328088</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Kim KH, Kabir E, Kabir S. A review on the human health impact of airborne particulate matter. Environ Int. 2015;74:136–43. doi:10.1016/j.envint.2014.10.005</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Lind L, Araujo JA, Barchowsky A, Belcher S, Berridge BR, Chiamvimonvat N, et al. Key Characteristics of Cardiovascular Toxicants. Environ Health Perspect. 2021;129(9):95001. doi:10.1289/EHP9321.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Singh P, O’Toole TE, Conklin DJ, Hill BG, Haberzettl P. Endothelial progenitor cells as critical mediators of environmental air pollution-induced cardiovascular toxicity. Am J Physiol Heart Circ Physiol. 2021;320(4):H1440–55. doi:10.1152/ajpheart.00804.2020.</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Bevan GH, Al-Kindi SG, Brook RD, Münzel T, Rajagopalan S. Ambient Air Pollution and Atherosclerosis: Insights Into Dose, Time, and Mechanisms. Arterioscler Thromb Vasc Biol. 2021;41(2):628–37. doi:10.1161/ATVBAHA.120.315219.</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Waked D, Rodrigues ACB, Silva TM, Yariwake VY, Farhat SCL, Veras MM. Effect of chronic exposure to fine particulate matter on cardiac tissue of NZBWF1 mice. Int J Exp Pathol. 2023;104(4):177–87. doi:10.1111/iep.12473.</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World Health Organization. Ambient (Outdoor) Air Pollution. 2021 [cited 2023 Nov 30]. Available from: https://www.who.int/news-room/fact_sheets/detail/ambient-(outdoor)-air-quality-and-health.</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Cesaroni G, Forastiere F, Stafoggia M, Andersen ZJ, Badaloni C, Beelen R, et al. Long-term exposure to ambient air pollution and incidence of acute coronary events: prospective cohort study and meta-analysis in 11 European cohorts from the ESCAPE Project. BMJ. 2014;348:f7412. doi:10.1136/bmj.f7412.</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Sacks J, Buckley B, Deflorio-Barker S, Jenkins S, Kirrane E, Krajewski A, et al. Supplement to the 2019 Integrated Science Assessment for Particulate Matter. Washington (DC): US Environmental Protection Agency; 2022.</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Kuo CL, Liu R, Godoy LDC, Pilling LC, Fortinsky RH, Brugge D. Association between Residential Exposure to Air Pollution and Incident Coronary Heart Disease Is Not Mediated by Leukocyte Telomere Length: A UK Biobank Study. Toxics. 2023;11(6):489. doi:10.3390/toxics11060489.</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Cheng YJ, Zhu C, Deng H, Wu Y, Wei HQ, Lin WD, et al. Air Pollution, Genetic Susceptibility, and the Risk of Ventricular Arrhythmias: A prospective cohort study in the UK Biobank. Eur J Prev Cardiol. 2024;Advance online publication. doi:10.1093/eurjpc/zwae390.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de Bont J, Jaganathan S, Dahlquist M, Persson Å, Stafoggia M, Ljungman P. Ambient air pollution and cardiovascular diseases: An umbrella review of systematic reviews and meta-analyses. J Intern Med. 2022;291(6):779–800. doi:10.1111/joim.13467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IQAir. World Air Quality Report 2019: Region and City PM2.5 Ranking. 2019 [cited 2025 Sep 4]. Available from: https://www.iqair.com/dl/pdf-reports/2019-World-Air-Report-V8-20200318.pdf</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Sang S, Chu C, Zhang T, Chen H, Yang X. The global burden of disease attributable to ambient fine particulate matter in 204 countries and territories, 1990–2019: A systematic analysis of the Global Burden of Disease Study 2019. Ecotoxicol Environ Saf. 2022;238:113588. doi:10.1016/j.ecoenv.2022.113588.</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Dong Y, Cao W, Wei J, Chen Y, Zhang Y, Sun S, et al. Health effect of multiple air pollutant mixture on sarcopenia among middle-aged and older adults in China. Ecotoxicol Environ Saf. 2024;281:116634. doi:10.1016/j.ecoenv.2024.116634.</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Chen Y, Xu Z, Guo Y, Li S, Wang YA, Gasevic D, et al. Air pollution increases the risk of frailty: China Health and Retirement Longitudinal Study (CHARLS). J Hazard Mater. 2025;492:138105. doi:10.1016/j.jhazmat.2025.138105.</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Hu X, Knibbs LD, Zhou Y, Ou Y, Dong GH, Dong H. The role of lifestyle in the association between long-term ambient air pollution exposure and cardiovascular disease: a national cohort study in China. BMC Med. 2024;22(1):93. doi:10.1186/s12916-024-03316-z.</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Wang M, Zhou T, Song Y, Li X, Ma H, Hu Y, et al. Joint exposure to various ambient air pollutants and incident heart failure: a prospective analysis in UK Biobank. Eur Heart J. 2021;42(16):1582–91. doi:10.1093/eurheartj/ehaa1031.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Zhang D, Chen W, Cheng C, Huang H, Li X, Qin P, et al. Air pollution exposure and heart failure: A systematic review and meta-analysis. Sci Total Environ. 2023;872:162191. doi:10.1016/j.scitotenv.2023.162191.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Jia Y, Lin Z, He Z, Li C, Zhang Y, Wang J, et al. Effect of Air Pollution on Heart Failure: Systematic Review and Meta-Analysis. Environ Health Perspect. 2023;131(7):76001. doi:10.1289/EHP11506.</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Lederer AM, Fredriksen PM, Nkeh-Chungag BN, Everson F, Strijdom H, De Boever P, et al. Cardiovascular effects of air pollution: current evidence from animal and human studies. Am J Physiol Heart Circ Physiol. 2021;320(4):H1417–39. doi:10.1152/ajpheart.00706.2020.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Ma Y, Huang Y, Li L, Yu L, Xiao P, Wang Q, et al. Time trends in coronary heart disease mortality attributed to outdoor PM2.5 in China: an age-period-cohort analysis using the Global Burden of Disease Study 2019. Front Public Health. 2025;13:1517507. doi:10.3389/fpubh.2025.1517507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Moon J, Kim E, Jang H, Song I, Kwon D, Kang C, et al. Long-term exposure to PM2.5 and mortality: a national health insurance cohort study. Int J Epidemiol. 2024;53(6):dyae140. doi:10.1093/ije/dyae140.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Xu R, Wei J, Liu T, Li Y, Yang C, Shi C, et al. Association of short-term exposure to ambient PM1 with total and cause-specific cardiovascular disease mortality. Environ Int. 2022;169:107519. doi:10.1016/j.envint.2022.107519.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Brunekreef B, Strak M, Chen J, Andersen ZJ, Atkinson R, Bauwelinck M, et al. Mortality and morbidity effects of long-term exposure to low-level PM2.5, BC, NO2, and O3: An analysis of European cohorts in the ELAPSE Project. Res Rep Health Eff Inst. 2021;208:1–127.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Azab SM, Doiron D, Schulze KM, Brook JR, Brauer M, Smith EE, et al.; Canadian Alliance of Healthy Hearts and Minds (CAHHM) Study Investigators. Exposure to air pollutants and subclinical carotid atherosclerosis measured by magnetic resonance imaging: A cross-sectional analysis. PLoS One. 2024;19(10):e0309912. doi:10.1371/journal.pone.0309912.</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Thangavel P, Park D, Lee YC. Recent Insights into Particulate Matter (PM2.5)-Mediated Toxicity in Humans: An Overview. Int J Environ Res Public Health. 2022;19(12):7511. doi:10.3390/ijerph19127511.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Montone RA, Rinaldi R, Bonanni A, Severino A, Pedicino D, Crea F, et al. Impact of air pollution on ischemic heart disease: Evidence, mechanisms, clinical perspectives. Atherosclerosis. 2023;366:22–31. doi:10.1016/j.atherosclerosis.2023.01.013.</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Bhatnagar A. Cardiovascular effects of particulate air pollution. Annu Rev Med. 2022;73:393–406. doi:10.1146/annurev-med-042220-011549.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Ma XN, Li RQ, Xie JL, Li SH, Li JW, Yan XX. PM2.5-induced inflammation and myocardial cell injury in rats. Eur Rev Med Pharmacol Sci. 2021;25(21):6670–7. doi:10.26355/eurrev_202111_27111.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Miller MR, Raftis JB, Langrish JP, McLean SG, Samutrtai P, Connell SP, et al. Inhaled nanoparticles accumulate at sites of vascular disease. ACS Nano. 2017;11(5):4542–52. doi:10.1021/acsnano.6b08551.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Mudway IS, Kelly FJ. Ozone and the lung: a sensitive issue. Mol Aspects Med. 2000;21:1–48. doi:10.1016/S0098-2997(00)00003-0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Kim YW, West XZ, Byzova TV. Inflammation and oxidative stress in angiogenesis and vascular disease. J Mol Med (Berl). 2013;91:323–8. doi:10.1007/s00109-013-1007-3.</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Wardyn JD, Ponsford AH, Sanderson CM. Dissecting molecular cross-talk between Nrf2 and NF-κB response pathways. Biochem Soc Trans. 2015;43:621–6. doi:10.1042/BST20150014.</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Lawal AO. Air particulate matter induced oxidative stress and inflammation in cardiovascular disease and atherosclerosis: the role of Nrf2 and AhR-mediated pathways. Toxicol Lett. 2017;270:88–95. doi:10.1016/j.toxlet.2017.01.017.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Hemmingsen JG, Rissler J, Lykkesfeldt J, Sallsten G, Kristiansen J, Møller P, et al. Controlled exposure to particulate matter from urban street air is associated with decreased vasodilation and heart rate variability in overweight and older adults. Part Fibre Toxicol. 2015;12:6. doi:10.1186/s12989-015-0081-9.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Hajat A, Diez Roux AV, Castro-Diehl C, Cosselman K, Golden SH, Hazlehurst MF, et al. The association between long-term air pollution and urinary catecholamines: Evidence from the Multi-Ethnic Study of Atherosclerosis. Environ Health Perspect. 2019;127(5):57007. doi:10.1289/EHP3286.</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Chiarella SE, Soberanes S, Urich D, Morales-Nebreda L, Nigdelioglu R, Green D, et al. β₂-Adrenergic agonists augment air pollution-induced IL-6 release and thrombosis. J Clin Invest. 2014;124(7):2935–46. doi:10.1172/JCI75157.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Ossoli A, Cetti F, Gomaraschi M. Air Pollution: Another Threat to HDL Function. Int J Mol Sci. 2022;24(1):317. doi:10.3390/ijms24010317.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Münzel T, Daiber A. Environmental stressors and their impact on health and disease with focus on oxidative stress. Antioxid Redox Signal. 2018;28(9):735–40. doi:10.1089/ars.2017.7488.</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Marchini T. Redox and inflammatory mechanisms linking air pollution particulate matter with cardiometabolic derangements. Free Radic Biol Med. 2023;209(Pt 2):320–41. doi:10.1016/j.freeradbiomed.2023.10.396.</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Miller MR. Oxidative stress and the cardiovascular effects of air pollution. Free Radic Biol Med. 2020;151:69–87. doi:10.1016/j.freeradbiomed.2020.01.004.</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Imani P, Grigoryan H, Dudoit S, Shu XO, Wong J, Zhang L, et al. HSA adductomics in the Shanghai Women’s Health Study links lung cancer in never-smokers with air pollution, redox biology, and one-carbon metabolism. Antioxid (Basel). 2025;14(3):335. doi:10.3390/antiox14030335.</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Valdez RB, Al-Hamdan MZ, Tabatabai M, Hood DB, Im W, Wilus D, et al. Association of cardiovascular disease and long-term exposure to fine particulate matter (PM2.5) in the Southeastern United States. Atmosphere (Basel). 2021;12(8):947. doi:10.3390/atmos12080947.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Du J, Shao B, Gao Y, Wei Z, Zhang Y, Li H, et al. Relationship between exposure to fine particulate matter and cardiovascular risk factors and the modifying effect of socioeconomic status: a cross-sectional study in Beijing, China. Front Public Health. 2024;12:1398396. doi:10.3389/fpubh.2024.1398396.</w:t>
      </w:r>
    </w:p>
    <w:p>
      <w:pPr>
        <w:widowControl w:val="0"/>
        <w:numPr>
          <w:ilvl w:val="0"/>
          <w:numId w:val="2"/>
        </w:numPr>
        <w:spacing w:line="480" w:lineRule="auto"/>
        <w:ind w:left="425" w:leftChars="0" w:hanging="425" w:firstLineChars="0"/>
        <w:jc w:val="left"/>
        <w:rPr>
          <w:color w:val="000000" w:themeColor="text1"/>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Ji W, Li L, Cheng Y, Yuan Y, Zhao Y, Wang K, et al. Air pollution, lifestyle, and cardiovascular disease risk in northwestern China: A cohort study of over 5.8 million participants. Environ Int. 2025;199:109459. doi:10.1016/j.envint.2025.109459</w:t>
      </w:r>
    </w:p>
    <w:sectPr>
      <w:pgSz w:w="11906" w:h="16838"/>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2"/>
        <w:snapToGrid w:val="0"/>
        <w:rPr>
          <w:rFonts w:hint="eastAsia"/>
          <w:lang w:val="en-US" w:eastAsia="zh-CN"/>
        </w:rPr>
      </w:pPr>
      <w:r>
        <w:rPr>
          <w:rFonts w:hint="default" w:ascii="Times New Roman" w:hAnsi="Times New Roman" w:eastAsia="宋体" w:cs="Times New Roman"/>
          <w:b w:val="0"/>
          <w:bCs w:val="0"/>
          <w:sz w:val="18"/>
          <w:szCs w:val="18"/>
          <w:lang w:val="en-US" w:eastAsia="zh-CN"/>
        </w:rPr>
        <w:t>*</w:t>
      </w:r>
      <w:r>
        <w:t xml:space="preserve"> </w:t>
      </w:r>
      <w:r>
        <w:rPr>
          <w:rFonts w:hint="eastAsia"/>
        </w:rPr>
        <w:t>Correspondence:</w:t>
      </w:r>
      <w:r>
        <w:rPr>
          <w:rFonts w:hint="eastAsia"/>
          <w:lang w:val="en-US" w:eastAsia="zh-CN"/>
        </w:rPr>
        <w:t xml:space="preserve"> </w:t>
      </w:r>
      <w:r>
        <w:rPr>
          <w:rFonts w:hint="eastAsia"/>
        </w:rPr>
        <w:t>Xiaoyan Zhou</w:t>
      </w:r>
      <w:r>
        <w:rPr>
          <w:rFonts w:hint="eastAsia"/>
          <w:lang w:val="en-US" w:eastAsia="zh-CN"/>
        </w:rPr>
        <w:t xml:space="preserve"> </w:t>
      </w:r>
    </w:p>
    <w:p>
      <w:pPr>
        <w:pStyle w:val="2"/>
        <w:snapToGrid w:val="0"/>
        <w:rPr>
          <w:rFonts w:hint="eastAsia"/>
        </w:rPr>
      </w:pPr>
      <w:r>
        <w:rPr>
          <w:rFonts w:hint="eastAsia" w:ascii="Times New Roman" w:hAnsi="Times New Roman" w:cs="Times New Roman"/>
          <w:lang w:val="en-US" w:eastAsia="zh-CN"/>
        </w:rPr>
        <w:t>E</w:t>
      </w:r>
      <w:r>
        <w:rPr>
          <w:rFonts w:hint="default" w:ascii="Times New Roman" w:hAnsi="Times New Roman" w:cs="Times New Roman"/>
        </w:rPr>
        <w:t>mail address</w:t>
      </w:r>
      <w:r>
        <w:rPr>
          <w:rFonts w:hint="eastAsia" w:ascii="Times New Roman" w:hAnsi="Times New Roman" w:cs="Times New Roman"/>
          <w:lang w:val="en-US" w:eastAsia="zh-CN"/>
        </w:rPr>
        <w:t>:</w:t>
      </w:r>
      <w:r>
        <w:rPr>
          <w:rFonts w:hint="eastAsia"/>
          <w:lang w:val="en-US" w:eastAsia="zh-CN"/>
        </w:rPr>
        <w:t xml:space="preserve"> </w:t>
      </w:r>
      <w:r>
        <w:rPr>
          <w:rFonts w:hint="eastAsia"/>
        </w:rPr>
        <w:fldChar w:fldCharType="begin"/>
      </w:r>
      <w:r>
        <w:rPr>
          <w:rFonts w:hint="eastAsia"/>
        </w:rPr>
        <w:instrText xml:space="preserve"> HYPERLINK "mailto:13783147053@163.com" </w:instrText>
      </w:r>
      <w:r>
        <w:rPr>
          <w:rFonts w:hint="eastAsia"/>
        </w:rPr>
        <w:fldChar w:fldCharType="separate"/>
      </w:r>
      <w:r>
        <w:rPr>
          <w:rStyle w:val="5"/>
          <w:rFonts w:hint="eastAsia"/>
        </w:rPr>
        <w:t>13783147053@163.com</w:t>
      </w:r>
      <w:r>
        <w:rPr>
          <w:rFonts w:hint="eastAsia"/>
        </w:rPr>
        <w:fldChar w:fldCharType="end"/>
      </w:r>
    </w:p>
    <w:p>
      <w:pPr>
        <w:pStyle w:val="2"/>
        <w:snapToGrid w:val="0"/>
        <w:rPr>
          <w:rFonts w:hint="eastAsia"/>
        </w:rPr>
      </w:pPr>
      <w:r>
        <w:rPr>
          <w:rFonts w:hint="default" w:ascii="Times New Roman" w:hAnsi="Times New Roman" w:eastAsia="宋体" w:cs="Times New Roman"/>
          <w:b w:val="0"/>
          <w:bCs w:val="0"/>
          <w:sz w:val="18"/>
          <w:szCs w:val="18"/>
          <w:lang w:val="en-US" w:eastAsia="zh-CN"/>
        </w:rPr>
        <w:t>Lingxia Li</w:t>
      </w:r>
    </w:p>
    <w:p>
      <w:pPr>
        <w:pStyle w:val="2"/>
        <w:snapToGrid w:val="0"/>
        <w:rPr>
          <w:rFonts w:hint="eastAsia"/>
        </w:rPr>
      </w:pPr>
      <w:r>
        <w:rPr>
          <w:rFonts w:hint="eastAsia" w:ascii="Times New Roman" w:hAnsi="Times New Roman" w:cs="Times New Roman"/>
          <w:lang w:val="en-US" w:eastAsia="zh-CN"/>
        </w:rPr>
        <w:t>E</w:t>
      </w:r>
      <w:r>
        <w:rPr>
          <w:rFonts w:hint="default" w:ascii="Times New Roman" w:hAnsi="Times New Roman" w:cs="Times New Roman"/>
        </w:rPr>
        <w:t>mail address</w:t>
      </w:r>
      <w:r>
        <w:rPr>
          <w:rFonts w:hint="eastAsia" w:ascii="Times New Roman" w:hAnsi="Times New Roman" w:cs="Times New Roman"/>
          <w:lang w:val="en-US" w:eastAsia="zh-CN"/>
        </w:rPr>
        <w:t>:</w:t>
      </w:r>
      <w:r>
        <w:rPr>
          <w:rFonts w:hint="eastAsia"/>
          <w:lang w:val="en-US" w:eastAsia="zh-CN"/>
        </w:rPr>
        <w:t xml:space="preserve"> </w:t>
      </w:r>
      <w:r>
        <w:rPr>
          <w:rFonts w:hint="default" w:eastAsia="宋体" w:cs="Times New Roman" w:asciiTheme="minorAscii" w:hAnsiTheme="minorAscii"/>
          <w:b w:val="0"/>
          <w:bCs w:val="0"/>
          <w:color w:val="0000FF"/>
          <w:sz w:val="18"/>
          <w:szCs w:val="18"/>
          <w:u w:val="single"/>
          <w:lang w:val="en-US" w:eastAsia="zh-CN"/>
        </w:rPr>
        <w:t>1</w:t>
      </w:r>
      <w:r>
        <w:rPr>
          <w:rFonts w:hint="eastAsia" w:eastAsia="宋体" w:cs="Times New Roman" w:asciiTheme="minorAscii" w:hAnsiTheme="minorAscii"/>
          <w:b w:val="0"/>
          <w:bCs w:val="0"/>
          <w:color w:val="0000FF"/>
          <w:sz w:val="18"/>
          <w:szCs w:val="18"/>
          <w:u w:val="single"/>
          <w:lang w:val="en-US" w:eastAsia="zh-CN"/>
        </w:rPr>
        <w:t>8357581372</w:t>
      </w:r>
      <w:r>
        <w:rPr>
          <w:rFonts w:hint="default" w:eastAsia="宋体" w:cs="Times New Roman" w:asciiTheme="minorAscii" w:hAnsiTheme="minorAscii"/>
          <w:b w:val="0"/>
          <w:bCs w:val="0"/>
          <w:color w:val="0000FF"/>
          <w:sz w:val="18"/>
          <w:szCs w:val="18"/>
          <w:u w:val="single"/>
          <w:vertAlign w:val="baseline"/>
          <w:lang w:val="en-US" w:eastAsia="zh-CN"/>
        </w:rPr>
        <w:t>@163.com</w:t>
      </w:r>
    </w:p>
    <w:p>
      <w:pPr>
        <w:pStyle w:val="2"/>
        <w:snapToGrid w:val="0"/>
        <w:rPr>
          <w:rFonts w:hint="default"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superscript"/>
          <w:lang w:val="en-US" w:eastAsia="zh-CN"/>
        </w:rPr>
        <w:t>1</w:t>
      </w:r>
      <w:r>
        <w:rPr>
          <w:rFonts w:hint="default" w:ascii="Times New Roman" w:hAnsi="Times New Roman" w:eastAsia="宋体" w:cs="Times New Roman"/>
          <w:b w:val="0"/>
          <w:bCs w:val="0"/>
          <w:sz w:val="18"/>
          <w:szCs w:val="18"/>
          <w:vertAlign w:val="baseline"/>
          <w:lang w:val="en-US" w:eastAsia="zh-CN"/>
        </w:rPr>
        <w:t>Yan’an University Medical College, Yan’an, Shaanxi</w:t>
      </w:r>
      <w:r>
        <w:rPr>
          <w:rFonts w:hint="eastAsia" w:ascii="Times New Roman" w:hAnsi="Times New Roman" w:eastAsia="宋体" w:cs="Times New Roman"/>
          <w:b w:val="0"/>
          <w:bCs w:val="0"/>
          <w:sz w:val="18"/>
          <w:szCs w:val="18"/>
          <w:vertAlign w:val="baseline"/>
          <w:lang w:val="en-US" w:eastAsia="zh-CN"/>
        </w:rPr>
        <w:t>, China</w:t>
      </w:r>
    </w:p>
    <w:p>
      <w:pPr>
        <w:pStyle w:val="2"/>
        <w:snapToGrid w:val="0"/>
        <w:rPr>
          <w:rFonts w:hint="default" w:ascii="Times New Roman" w:hAnsi="Times New Roman" w:eastAsia="宋体" w:cs="Times New Roman"/>
          <w:b w:val="0"/>
          <w:bCs w:val="0"/>
          <w:sz w:val="18"/>
          <w:szCs w:val="18"/>
          <w:vertAlign w:val="baseline"/>
          <w:lang w:val="en-US" w:eastAsia="zh-CN"/>
        </w:rPr>
      </w:pPr>
      <w:r>
        <w:rPr>
          <w:rFonts w:hint="default" w:ascii="Times New Roman" w:hAnsi="Times New Roman" w:eastAsia="宋体" w:cs="Times New Roman"/>
          <w:b w:val="0"/>
          <w:bCs w:val="0"/>
          <w:sz w:val="18"/>
          <w:szCs w:val="18"/>
          <w:vertAlign w:val="superscript"/>
          <w:lang w:val="en-US" w:eastAsia="zh-CN"/>
        </w:rPr>
        <w:t>2</w:t>
      </w:r>
      <w:r>
        <w:rPr>
          <w:rFonts w:hint="default" w:ascii="Times New Roman" w:hAnsi="Times New Roman" w:eastAsia="宋体" w:cs="Times New Roman"/>
          <w:b w:val="0"/>
          <w:bCs w:val="0"/>
          <w:sz w:val="18"/>
          <w:szCs w:val="18"/>
          <w:vertAlign w:val="baseline"/>
          <w:lang w:val="en-US" w:eastAsia="zh-CN"/>
        </w:rPr>
        <w:t xml:space="preserve"> Yan'an University Affiliated Hospital, Yan'an, Shaanxi</w:t>
      </w:r>
      <w:r>
        <w:rPr>
          <w:rFonts w:hint="eastAsia" w:ascii="Times New Roman" w:hAnsi="Times New Roman" w:eastAsia="宋体" w:cs="Times New Roman"/>
          <w:b w:val="0"/>
          <w:bCs w:val="0"/>
          <w:sz w:val="18"/>
          <w:szCs w:val="18"/>
          <w:vertAlign w:val="baseline"/>
          <w:lang w:val="en-US" w:eastAsia="zh-CN"/>
        </w:rPr>
        <w:t>, China</w:t>
      </w:r>
    </w:p>
    <w:p>
      <w:pPr>
        <w:pStyle w:val="2"/>
        <w:snapToGrid w:val="0"/>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superscript"/>
          <w:lang w:val="en-US" w:eastAsia="zh-CN"/>
        </w:rPr>
        <w:t>3</w:t>
      </w:r>
      <w:r>
        <w:rPr>
          <w:rFonts w:hint="eastAsia" w:ascii="Times New Roman" w:hAnsi="Times New Roman" w:eastAsia="宋体" w:cs="Times New Roman"/>
          <w:b w:val="0"/>
          <w:bCs w:val="0"/>
          <w:sz w:val="18"/>
          <w:szCs w:val="18"/>
          <w:vertAlign w:val="baseline"/>
          <w:lang w:val="en-US" w:eastAsia="zh-CN"/>
        </w:rPr>
        <w:t>Yan'an Key Laboratory of Anesthesiology, Yan'an, Shaanxi, China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0CE590"/>
    <w:multiLevelType w:val="singleLevel"/>
    <w:tmpl w:val="E00CE590"/>
    <w:lvl w:ilvl="0" w:tentative="0">
      <w:start w:val="1"/>
      <w:numFmt w:val="decimal"/>
      <w:lvlText w:val="%1."/>
      <w:lvlJc w:val="left"/>
      <w:pPr>
        <w:ind w:left="425" w:hanging="425"/>
      </w:pPr>
      <w:rPr>
        <w:rFonts w:hint="default"/>
      </w:rPr>
    </w:lvl>
  </w:abstractNum>
  <w:abstractNum w:abstractNumId="1">
    <w:nsid w:val="6731E3CC"/>
    <w:multiLevelType w:val="singleLevel"/>
    <w:tmpl w:val="6731E3CC"/>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15099"/>
    <w:rsid w:val="12515099"/>
    <w:rsid w:val="643A12E8"/>
    <w:rsid w:val="7B586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character" w:styleId="5">
    <w:name w:val="Hyperlink"/>
    <w:basedOn w:val="4"/>
    <w:qFormat/>
    <w:uiPriority w:val="0"/>
    <w:rPr>
      <w:color w:val="0000FF"/>
      <w:u w:val="single"/>
    </w:rPr>
  </w:style>
  <w:style w:type="character" w:styleId="6">
    <w:name w:val="footnote reference"/>
    <w:basedOn w:val="4"/>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2025-09-04T08:19:00Z</dcterms:created>
  <dc:creator>チヨシパー</dc:creator>
  <cp:lastModifiedBy>チヨシパー</cp:lastModifiedBy>
  <dcterms:modified xsi:type="dcterms:W3CDTF">2025-09-22T18:42:13Z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89C48ADD626845E68AABC7DCBD574910</vt:lpwstr>
  </property>
</Properties>
</file>