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left"/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</w:pP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 Table S</w:t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t>.Proportional Hazards Assumption Tests for Air Pollutant Exposures in the Cox Models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Subgroup and interaction analyses of air pollutant exposure and risk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cardiac events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eastAsia="宋体" w:cs="Times New Roman"/>
          <w:sz w:val="24"/>
          <w:szCs w:val="24"/>
        </w:rPr>
        <w:t>. Multi-pollutant Cox regression models for incident heart disease risk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. Hazard ratios for PM₂.₅ and O₃ across long-term exposure windows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. Variance inflation factors (VIFs) for PM₂.₅ with other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pollutants.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analyses for extreme values of PM₂.₅ exposure.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analyses of PM₂.₅ associations using city-level clustering and frailty models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S8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analysis of PM₂.₅ effects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S9</w:t>
      </w:r>
      <w:r>
        <w:rPr>
          <w:rFonts w:hint="default" w:ascii="Times New Roman" w:hAnsi="Times New Roman" w:eastAsia="宋体" w:cs="Times New Roman"/>
          <w:sz w:val="24"/>
          <w:szCs w:val="24"/>
        </w:rPr>
        <w:t>. Collinearity diagnostics (Correlation coefficients and VIF)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sz w:val="24"/>
          <w:szCs w:val="24"/>
        </w:rPr>
        <w:t>. Exploratory pollutant–pollutant interaction terms (Cox regression, fully adjusted)</w:t>
      </w:r>
    </w:p>
    <w:p>
      <w:pPr>
        <w:numPr>
          <w:ilvl w:val="0"/>
          <w:numId w:val="1"/>
        </w:numPr>
        <w:spacing w:line="480" w:lineRule="auto"/>
        <w:ind w:left="425" w:leftChars="0" w:hanging="425" w:firstLineChars="0"/>
        <w:jc w:val="left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. Hazard ratios (HRs) for single-pollutant models expressed per 1-SD and per 10 μg/m³ increases.</w:t>
      </w:r>
    </w:p>
    <w:p>
      <w:pPr>
        <w:rPr>
          <w:rFonts w:hint="default" w:ascii="Times New Roman" w:hAnsi="Times New Roman" w:cs="Times New Roman" w:eastAsiaTheme="minorEastAsia"/>
          <w:lang w:eastAsia="zh-CN"/>
        </w:rPr>
      </w:pPr>
      <w:bookmarkStart w:id="0" w:name="_GoBack"/>
      <w:bookmarkEnd w:id="0"/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spacing w:line="240" w:lineRule="auto"/>
        <w:jc w:val="center"/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 Table S</w:t>
      </w:r>
      <w:r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  <w:t>1</w:t>
      </w:r>
      <w:r>
        <w:rPr>
          <w:rFonts w:hint="default" w:ascii="Times New Roman" w:hAnsi="Times New Roman" w:cs="Times New Roman" w:eastAsiaTheme="minorEastAsia"/>
          <w:sz w:val="24"/>
          <w:szCs w:val="32"/>
          <w:lang w:eastAsia="zh-CN"/>
        </w:rPr>
        <w:t>.Proportional Hazards Assumption Tests for Air Pollutant Exposures in the Cox Models</w:t>
      </w:r>
    </w:p>
    <w:tbl>
      <w:tblPr>
        <w:tblStyle w:val="2"/>
        <w:tblpPr w:leftFromText="180" w:rightFromText="180" w:vertAnchor="text" w:horzAnchor="page" w:tblpX="1884" w:tblpY="300"/>
        <w:tblOverlap w:val="never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7"/>
        <w:gridCol w:w="2312"/>
        <w:gridCol w:w="2477"/>
        <w:gridCol w:w="193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Exposure</w:t>
            </w:r>
          </w:p>
        </w:tc>
        <w:tc>
          <w:tcPr>
            <w:tcW w:w="1490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 / events</w:t>
            </w:r>
          </w:p>
        </w:tc>
        <w:tc>
          <w:tcPr>
            <w:tcW w:w="1192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PH test for exposure (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  <w:tc>
          <w:tcPr>
            <w:tcW w:w="1128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Global PH test (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)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NO₂</w:t>
            </w:r>
          </w:p>
        </w:tc>
        <w:tc>
          <w:tcPr>
            <w:tcW w:w="1490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7750 / 1412</w:t>
            </w:r>
          </w:p>
        </w:tc>
        <w:tc>
          <w:tcPr>
            <w:tcW w:w="1192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0.585</w:t>
            </w:r>
          </w:p>
        </w:tc>
        <w:tc>
          <w:tcPr>
            <w:tcW w:w="1128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O₃</w:t>
            </w:r>
          </w:p>
        </w:tc>
        <w:tc>
          <w:tcPr>
            <w:tcW w:w="1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7750 / 1412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0.564</w:t>
            </w:r>
          </w:p>
        </w:tc>
        <w:tc>
          <w:tcPr>
            <w:tcW w:w="11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PM₁</w:t>
            </w:r>
          </w:p>
        </w:tc>
        <w:tc>
          <w:tcPr>
            <w:tcW w:w="1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7750 / 1412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0.981</w:t>
            </w:r>
          </w:p>
        </w:tc>
        <w:tc>
          <w:tcPr>
            <w:tcW w:w="11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PM₁₀</w:t>
            </w:r>
          </w:p>
        </w:tc>
        <w:tc>
          <w:tcPr>
            <w:tcW w:w="1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7750 / 1412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0.133</w:t>
            </w:r>
          </w:p>
        </w:tc>
        <w:tc>
          <w:tcPr>
            <w:tcW w:w="11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PM₂.₅</w:t>
            </w:r>
          </w:p>
        </w:tc>
        <w:tc>
          <w:tcPr>
            <w:tcW w:w="149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7750 / 1412</w:t>
            </w:r>
          </w:p>
        </w:tc>
        <w:tc>
          <w:tcPr>
            <w:tcW w:w="1192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0.628</w:t>
            </w:r>
          </w:p>
        </w:tc>
        <w:tc>
          <w:tcPr>
            <w:tcW w:w="1128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0.0084</w:t>
            </w:r>
          </w:p>
        </w:tc>
      </w:tr>
    </w:tbl>
    <w:p>
      <w:pPr>
        <w:rPr>
          <w:rFonts w:hint="default" w:ascii="Times New Roman" w:hAnsi="Times New Roman" w:cs="Times New Roman" w:eastAsiaTheme="minorEastAsia"/>
          <w:lang w:eastAsia="zh-CN"/>
        </w:rPr>
      </w:pPr>
    </w:p>
    <w:p>
      <w:pPr>
        <w:numPr>
          <w:ilvl w:val="0"/>
          <w:numId w:val="0"/>
        </w:numPr>
        <w:jc w:val="both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055" cy="3688715"/>
            <wp:effectExtent l="0" t="0" r="1270" b="698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68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Figure S1. Subgroup-specific interaction analyses of the associations between air pollution exposure and mortality risk</w:t>
      </w:r>
    </w:p>
    <w:p>
      <w:pPr>
        <w:jc w:val="both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spacing w:line="240" w:lineRule="auto"/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Table 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S2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 w:eastAsia="zh-CN"/>
        </w:rPr>
        <w:t xml:space="preserve">. Subgroup and interaction analyses of air pollutant exposure and risk of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cardiac events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1411"/>
        <w:gridCol w:w="1413"/>
        <w:gridCol w:w="1413"/>
        <w:gridCol w:w="1413"/>
        <w:gridCol w:w="14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Subgroup</w:t>
            </w:r>
          </w:p>
        </w:tc>
        <w:tc>
          <w:tcPr>
            <w:tcW w:w="82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 HR (95% CI)</w:t>
            </w:r>
          </w:p>
        </w:tc>
        <w:tc>
          <w:tcPr>
            <w:tcW w:w="82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 HR (95% CI)</w:t>
            </w:r>
          </w:p>
        </w:tc>
        <w:tc>
          <w:tcPr>
            <w:tcW w:w="82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 HR (95% CI)</w:t>
            </w:r>
          </w:p>
        </w:tc>
        <w:tc>
          <w:tcPr>
            <w:tcW w:w="82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HR (95% CI)</w:t>
            </w:r>
          </w:p>
        </w:tc>
        <w:tc>
          <w:tcPr>
            <w:tcW w:w="82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 HR (95% CI)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5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Gender</w:t>
            </w:r>
          </w:p>
        </w:tc>
        <w:tc>
          <w:tcPr>
            <w:tcW w:w="82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Male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1.069 (0.984, 1.160)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0.946 (0.871, 1.026)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1.084 (0.998, 1.179)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1.118 (1.028, 1.216)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1.180 (1.090, 1.278)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Female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1.128 (1.054, 1.206)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0.958 (0.895, 1.025)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1.126 (1.051, 1.206)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1.174 (1.096, 1.258)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1.249 (1.173, 1.329)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0.317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0.813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0.495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0.376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Age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&lt;65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1.116 (1.031, 1.209)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0.999 (0.920, 1.086)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1.101 (1.014, 1.194)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1.154 (1.062, 1.253)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1.265 (1.171, 1.365)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≥65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1.087 (1.015, 1.165)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0.926 (0.865, 0.991)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1.104 (1.029, 1.184)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1.138 (1.061, 1.220)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1.182 (1.108, 1.261)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0.622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0.161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0.795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Location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Urban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1.014 (0.836, 1.231)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1.003 (0.836, 1.203)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0.946 (0.758, 1.181)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1.024 (0.831, 1.261)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1.146 (1.003, 1.309)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Rural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1.111 (1.052, 1.173)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0.948 (0.898, 1.002)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1.120 (1.060, 1.184)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1.161 (1.099, 1.228)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1.236 (1.171, 1.304)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0.371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0.565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0.144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0.249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C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Education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Elementary or below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1.089 (0.992, 1.196)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0.958 (0.874, 1.050)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1.066 (0.971, 1.170)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1.108 (1.010, 1.215)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1.204 (1.095, 1.325)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school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1.128 (1.037, 1.227)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0.960 (0.884, 1.042)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1.190 (1.091, 1.298)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1.238 (1.135, 1.351)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1.270 (1.181, 1.366)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school or above</w:t>
            </w:r>
          </w:p>
        </w:tc>
        <w:tc>
          <w:tcPr>
            <w:tcW w:w="8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1.088 (0.992, 1.194)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0.937 (0.848, 1.035)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1.060 (0.962, 1.168)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1.095 (0.992, 1.210)</w:t>
            </w:r>
          </w:p>
        </w:tc>
        <w:tc>
          <w:tcPr>
            <w:tcW w:w="8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1.166 (1.064, 1.279)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85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 for interaction</w:t>
            </w:r>
          </w:p>
        </w:tc>
        <w:tc>
          <w:tcPr>
            <w:tcW w:w="82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0.961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0.926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0.128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0.113</w:t>
            </w:r>
          </w:p>
        </w:tc>
        <w:tc>
          <w:tcPr>
            <w:tcW w:w="82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0.344</w:t>
            </w:r>
          </w:p>
        </w:tc>
      </w:tr>
    </w:tbl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 xml:space="preserve">Supplementary 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eastAsia="宋体" w:cs="Times New Roman"/>
          <w:sz w:val="24"/>
          <w:szCs w:val="24"/>
        </w:rPr>
        <w:t>. Multi-pollutant Cox regression models for incident heart disease risk</w:t>
      </w:r>
    </w:p>
    <w:tbl>
      <w:tblPr>
        <w:tblStyle w:val="2"/>
        <w:tblpPr w:leftFromText="180" w:rightFromText="180" w:vertAnchor="text" w:horzAnchor="page" w:tblpX="1905" w:tblpY="311"/>
        <w:tblOverlap w:val="never"/>
        <w:tblW w:w="4998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3"/>
        <w:gridCol w:w="1312"/>
        <w:gridCol w:w="928"/>
        <w:gridCol w:w="1693"/>
        <w:gridCol w:w="863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Core Pollutant</w:t>
            </w:r>
          </w:p>
        </w:tc>
        <w:tc>
          <w:tcPr>
            <w:tcW w:w="879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Model</w:t>
            </w:r>
          </w:p>
        </w:tc>
        <w:tc>
          <w:tcPr>
            <w:tcW w:w="615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Pollutant</w:t>
            </w:r>
          </w:p>
        </w:tc>
        <w:tc>
          <w:tcPr>
            <w:tcW w:w="1140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HR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 xml:space="preserve"> (95%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CI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615" w:type="pct"/>
            <w:tcBorders>
              <w:bottom w:val="single" w:color="auto" w:sz="6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>P</w:t>
            </w: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-value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PM₂.₅</w:t>
            </w:r>
          </w:p>
        </w:tc>
        <w:tc>
          <w:tcPr>
            <w:tcW w:w="879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NO₂</w:t>
            </w:r>
          </w:p>
        </w:tc>
        <w:tc>
          <w:tcPr>
            <w:tcW w:w="615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1.110 (1.052-1.171)</w:t>
            </w:r>
          </w:p>
        </w:tc>
        <w:tc>
          <w:tcPr>
            <w:tcW w:w="615" w:type="pct"/>
            <w:tcBorders>
              <w:top w:val="single" w:color="auto" w:sz="6" w:space="0"/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0.964 (0.878-1.058)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0.440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1.104 (1.068-1.141)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0.865 (0.789-0.948)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 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1.065 (1.004-1.130)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0.820 (0.730-0.921)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1.093 (0.969-1.233)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0.147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PM₁₀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PM₁₀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1.087 (1.066-1.109)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0.914 (0.851-0.981)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0.014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PM₁₀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1.084 (1.066-1.102)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0.802 (0.729-0.882)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 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PM₁₀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1.088 (1.065-1.111)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0.813 (0.732-0.903)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0.975 (0.899-1.057)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0.552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O₃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0.779 (0.700-0.867)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1.216 (1.138-1.299)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PM₂.₅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0.865 (0.789-0.948)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0.002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1.104 (1.068-1.141)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NO₂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1.216 (1.138-1.299)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0.779 (0.700-0.867)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PM₂.₅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NO₂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0.964 (0.878-1.058)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0.440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1.110 (1.052-1.171)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</w:rPr>
              <w:t>Multi-pollutant model (after VIF verification)</w:t>
            </w: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 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PM₂.₅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1.065 (1.004-1.130)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0.036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0.820 (0.730-0.921)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+ O₃ + NO₂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PM₁₀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1.088 (1.065-1.111)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4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79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O₃</w:t>
            </w:r>
          </w:p>
        </w:tc>
        <w:tc>
          <w:tcPr>
            <w:tcW w:w="1140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0.813 (0.732-0.903)</w:t>
            </w:r>
          </w:p>
        </w:tc>
        <w:tc>
          <w:tcPr>
            <w:tcW w:w="615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</w:rPr>
        <w:t>. Hazard ratios for PM₂.₅ and O₃ across long-term exposure windows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2144"/>
        <w:gridCol w:w="1297"/>
        <w:gridCol w:w="2144"/>
        <w:gridCol w:w="12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Window</w:t>
            </w:r>
          </w:p>
        </w:tc>
        <w:tc>
          <w:tcPr>
            <w:tcW w:w="1258" w:type="pct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PM₂.₅</w:t>
            </w:r>
          </w:p>
        </w:tc>
        <w:tc>
          <w:tcPr>
            <w:tcW w:w="761" w:type="pct"/>
            <w:vMerge w:val="restart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  <w:tc>
          <w:tcPr>
            <w:tcW w:w="1258" w:type="pct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O₃</w:t>
            </w:r>
          </w:p>
        </w:tc>
        <w:tc>
          <w:tcPr>
            <w:tcW w:w="761" w:type="pct"/>
            <w:vMerge w:val="restart"/>
            <w:tcBorders>
              <w:top w:val="single" w:color="000000" w:sz="12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960" w:type="pct"/>
            <w:vMerge w:val="continue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61" w:type="pct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pct"/>
            <w:tcBorders>
              <w:top w:val="single" w:color="auto" w:sz="6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761" w:type="pct"/>
            <w:vMerge w:val="continue"/>
            <w:tcBorders>
              <w:top w:val="single" w:color="000000" w:sz="12" w:space="0"/>
              <w:left w:val="nil"/>
              <w:bottom w:val="single" w:color="auto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60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Single Year</w:t>
            </w:r>
          </w:p>
        </w:tc>
        <w:tc>
          <w:tcPr>
            <w:tcW w:w="1258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single" w:color="auto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2008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1.082 (1.047–1.117)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0.932 (0.852–1.019)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2009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1.092 (1.059–1.126)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0.859 (0.791–0.932)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2010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1.098 (1.063–1.134)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0.999 (0.914–1.093)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Mean_2y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2008–2009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1.088 (1.054–1.123)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0.889 (0.815–0.969)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2009–2010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1.095 (1.061–1.130)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0.916 (0.840–1.000)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2008–2010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1.091 (1.057–1.127)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0.920 (0.842–1.006)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Leave-one-out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2008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1.095 (1.061–1.130)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0.916 (0.840–1.000)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9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2009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1.090 (1.055–1.126)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0.964 (0.880–1.055)</w:t>
            </w:r>
          </w:p>
        </w:tc>
        <w:tc>
          <w:tcPr>
            <w:tcW w:w="7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0.426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96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2010</w:t>
            </w:r>
          </w:p>
        </w:tc>
        <w:tc>
          <w:tcPr>
            <w:tcW w:w="125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1.088 (1.054–1.123)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&lt;0.001</w:t>
            </w:r>
          </w:p>
        </w:tc>
        <w:tc>
          <w:tcPr>
            <w:tcW w:w="125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0.889 (0.815–0.969)</w:t>
            </w:r>
          </w:p>
        </w:tc>
        <w:tc>
          <w:tcPr>
            <w:tcW w:w="76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0.007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Note: Exposure windows include single-year averages (2008, 2009, 2010), two-year averages (2008–2009, 2009–2010), the three-year average (2008–2010, main analysis), and a leave-one-out approach (recalculating the three-year mean after excluding one year).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sz w:val="24"/>
          <w:szCs w:val="24"/>
        </w:rPr>
        <w:t>. Variance inflation factors (VIFs) for PM₂.₅ with other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pollutants.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2828"/>
        <w:gridCol w:w="28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65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Predictor vs. PM₂.₅</w:t>
            </w:r>
          </w:p>
        </w:tc>
        <w:tc>
          <w:tcPr>
            <w:tcW w:w="165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VIF</w:t>
            </w:r>
          </w:p>
        </w:tc>
        <w:tc>
          <w:tcPr>
            <w:tcW w:w="168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Flag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</w:t>
            </w:r>
          </w:p>
        </w:tc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6.35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 threshold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</w:t>
            </w:r>
          </w:p>
        </w:tc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 threshold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</w:t>
            </w:r>
          </w:p>
        </w:tc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3.48</w:t>
            </w:r>
          </w:p>
        </w:tc>
        <w:tc>
          <w:tcPr>
            <w:tcW w:w="16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OK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6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</w:t>
            </w:r>
          </w:p>
        </w:tc>
        <w:tc>
          <w:tcPr>
            <w:tcW w:w="165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1.72</w:t>
            </w:r>
          </w:p>
        </w:tc>
        <w:tc>
          <w:tcPr>
            <w:tcW w:w="1680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OK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Note: VIFs were calculated to assess multicollinearity, with a threshold set at 5. PM₁ and NO₂ demonstrated moderate collinearity with PM₂.₅, while PM₁₀ and O₃ showed relatively low collinearity.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analyses for extreme values of PM₂.₅ exposure.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67"/>
        <w:gridCol w:w="2512"/>
        <w:gridCol w:w="1520"/>
        <w:gridCol w:w="15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41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Analysis</w:t>
            </w:r>
          </w:p>
        </w:tc>
        <w:tc>
          <w:tcPr>
            <w:tcW w:w="147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Style w:val="5"/>
                <w:rFonts w:eastAsia="等线"/>
                <w:lang w:val="en-US" w:eastAsia="zh-CN" w:bidi="ar"/>
              </w:rPr>
              <w:t xml:space="preserve"> (95% </w:t>
            </w:r>
            <w:r>
              <w:rPr>
                <w:rStyle w:val="6"/>
                <w:rFonts w:eastAsia="等线"/>
                <w:lang w:val="en-US" w:eastAsia="zh-CN" w:bidi="ar"/>
              </w:rPr>
              <w:t>CI</w:t>
            </w:r>
            <w:r>
              <w:rPr>
                <w:rStyle w:val="5"/>
                <w:rFonts w:eastAsia="等线"/>
                <w:lang w:val="en-US" w:eastAsia="zh-CN" w:bidi="ar"/>
              </w:rPr>
              <w:t>)</w:t>
            </w:r>
          </w:p>
        </w:tc>
        <w:tc>
          <w:tcPr>
            <w:tcW w:w="89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  <w:tc>
          <w:tcPr>
            <w:tcW w:w="892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741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Winsorized 1%/99%</w:t>
            </w:r>
          </w:p>
        </w:tc>
        <w:tc>
          <w:tcPr>
            <w:tcW w:w="147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1.092 (1.057–1.127)</w:t>
            </w:r>
          </w:p>
        </w:tc>
        <w:tc>
          <w:tcPr>
            <w:tcW w:w="89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2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741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City trim top/bottom 1%</w:t>
            </w:r>
          </w:p>
        </w:tc>
        <w:tc>
          <w:tcPr>
            <w:tcW w:w="14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1.091 (1.054–1.128)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92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7496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analyses of PM₂.₅ associations using city-level clustering and frailty models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72"/>
        <w:gridCol w:w="3705"/>
        <w:gridCol w:w="22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50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217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315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50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Cluster (city)</w:t>
            </w:r>
          </w:p>
        </w:tc>
        <w:tc>
          <w:tcPr>
            <w:tcW w:w="217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1.091 (1.027–1.159)</w:t>
            </w:r>
          </w:p>
        </w:tc>
        <w:tc>
          <w:tcPr>
            <w:tcW w:w="1315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50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Frailty (city)</w:t>
            </w:r>
          </w:p>
        </w:tc>
        <w:tc>
          <w:tcPr>
            <w:tcW w:w="217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1.055 (0.993–1.121)</w:t>
            </w:r>
          </w:p>
        </w:tc>
        <w:tc>
          <w:tcPr>
            <w:tcW w:w="131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0.085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S8</w:t>
      </w:r>
      <w:r>
        <w:rPr>
          <w:rFonts w:hint="default" w:ascii="Times New Roman" w:hAnsi="Times New Roman" w:eastAsia="宋体" w:cs="Times New Roman"/>
          <w:sz w:val="24"/>
          <w:szCs w:val="24"/>
        </w:rPr>
        <w:t>. Sensitivity analysis of PM₂.₅ effects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7"/>
        <w:gridCol w:w="1886"/>
        <w:gridCol w:w="2223"/>
        <w:gridCol w:w="134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9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specification</w:t>
            </w:r>
          </w:p>
        </w:tc>
        <w:tc>
          <w:tcPr>
            <w:tcW w:w="1106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Method</w:t>
            </w:r>
          </w:p>
        </w:tc>
        <w:tc>
          <w:tcPr>
            <w:tcW w:w="1304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788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79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(single-pollutant)</w:t>
            </w:r>
          </w:p>
        </w:tc>
        <w:tc>
          <w:tcPr>
            <w:tcW w:w="1106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Cox regression</w:t>
            </w:r>
          </w:p>
        </w:tc>
        <w:tc>
          <w:tcPr>
            <w:tcW w:w="1304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1.091 (1.057–1.127)</w:t>
            </w:r>
          </w:p>
        </w:tc>
        <w:tc>
          <w:tcPr>
            <w:tcW w:w="788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+ O₃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Cox regression</w:t>
            </w: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1.104 (1.068–1.141)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+ NO₂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Cox regression</w:t>
            </w: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1.110 (1.052–1.170)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+ O₃ + NO₂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Cox regression</w:t>
            </w: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1.065 (1.004–1.129)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7" w:hRule="atLeast"/>
        </w:trPr>
        <w:tc>
          <w:tcPr>
            <w:tcW w:w="17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Core model (VIF &lt; 5)</w:t>
            </w:r>
          </w:p>
        </w:tc>
        <w:tc>
          <w:tcPr>
            <w:tcW w:w="110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Cox regression</w:t>
            </w:r>
          </w:p>
        </w:tc>
        <w:tc>
          <w:tcPr>
            <w:tcW w:w="130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1.091 (1.057–1.127)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&lt;0.001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79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Ridge regression (simplified)</w:t>
            </w:r>
          </w:p>
        </w:tc>
        <w:tc>
          <w:tcPr>
            <w:tcW w:w="1106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Ridge regression</w:t>
            </w:r>
          </w:p>
        </w:tc>
        <w:tc>
          <w:tcPr>
            <w:tcW w:w="1304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1.146 (–)</w:t>
            </w:r>
          </w:p>
        </w:tc>
        <w:tc>
          <w:tcPr>
            <w:tcW w:w="788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–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Table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S9</w:t>
      </w:r>
      <w:r>
        <w:rPr>
          <w:rFonts w:hint="default" w:ascii="Times New Roman" w:hAnsi="Times New Roman" w:eastAsia="宋体" w:cs="Times New Roman"/>
          <w:sz w:val="24"/>
          <w:szCs w:val="24"/>
        </w:rPr>
        <w:t>. Collinearity diagnostics (Correlation coefficients and VIF)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A. Correlation matrix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420"/>
        <w:gridCol w:w="1420"/>
        <w:gridCol w:w="1420"/>
        <w:gridCol w:w="1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Pollutant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0.84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0.76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0.33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0.55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B. Variance Inflation Factor (VIF)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20"/>
        <w:gridCol w:w="1420"/>
        <w:gridCol w:w="1420"/>
        <w:gridCol w:w="1420"/>
        <w:gridCol w:w="14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07" w:hRule="atLeast"/>
        </w:trPr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</w:t>
            </w:r>
          </w:p>
        </w:tc>
        <w:tc>
          <w:tcPr>
            <w:tcW w:w="83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1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6.35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20.6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21.6</w:t>
            </w:r>
          </w:p>
        </w:tc>
        <w:tc>
          <w:tcPr>
            <w:tcW w:w="83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28.8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6.42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3.48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39.5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277" w:hRule="atLeast"/>
        </w:trPr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3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4.62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5.89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8.55</w:t>
            </w: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Model 4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1.72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1.71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1.28</w:t>
            </w:r>
          </w:p>
        </w:tc>
        <w:tc>
          <w:tcPr>
            <w:tcW w:w="83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4.44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Notes:</w:t>
      </w:r>
    </w:p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a) VIF thresholds: VIF &gt; 10 indicates severe multicollinearity (highlighted in red), VIF &lt; 5 suggests acceptable collinearity.</w:t>
      </w:r>
    </w:p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b) Model 4 represents the final optimized model after collinearity diagnostics.</w:t>
      </w:r>
    </w:p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c) Correlation coefficients &gt;0.8 imply strong collinearity (e.g., PM₁-PM₂.₅: r=0.97).</w:t>
      </w:r>
    </w:p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d) VIF calculation: Variance Inflation Factors were computed using the car::vif() function in R.</w:t>
      </w:r>
    </w:p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e) All models adjusted for: age, gender, education, location, marital status, smoking, drinking, social activity, BMI, hypertension, and diabetes.</w:t>
      </w: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sz w:val="24"/>
          <w:szCs w:val="24"/>
        </w:rPr>
        <w:t>. Exploratory pollutant–pollutant interaction terms (Cox regression, fully adjusted)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2892"/>
        <w:gridCol w:w="1839"/>
        <w:gridCol w:w="18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3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Interaction term</w:t>
            </w:r>
          </w:p>
        </w:tc>
        <w:tc>
          <w:tcPr>
            <w:tcW w:w="1697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07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-value</w:t>
            </w:r>
          </w:p>
        </w:tc>
        <w:tc>
          <w:tcPr>
            <w:tcW w:w="1079" w:type="pct"/>
            <w:tcBorders>
              <w:top w:val="single" w:color="000000" w:sz="12" w:space="0"/>
              <w:left w:val="nil"/>
              <w:bottom w:val="single" w:color="000000" w:sz="6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FDR q-value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3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× NO₂</w:t>
            </w:r>
          </w:p>
        </w:tc>
        <w:tc>
          <w:tcPr>
            <w:tcW w:w="1697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 (1.001–1.001)</w:t>
            </w:r>
          </w:p>
        </w:tc>
        <w:tc>
          <w:tcPr>
            <w:tcW w:w="10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2.64 × 10⁻⁸</w:t>
            </w:r>
          </w:p>
        </w:tc>
        <w:tc>
          <w:tcPr>
            <w:tcW w:w="1079" w:type="pct"/>
            <w:tcBorders>
              <w:top w:val="single" w:color="000000" w:sz="6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2.64 × 10⁻⁸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 × O₃</w:t>
            </w:r>
          </w:p>
        </w:tc>
        <w:tc>
          <w:tcPr>
            <w:tcW w:w="16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1.002 (1.002–1.003)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1.61 × 10⁻¹¹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1.61 × 10⁻¹¹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43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 × O₃</w:t>
            </w:r>
          </w:p>
        </w:tc>
        <w:tc>
          <w:tcPr>
            <w:tcW w:w="169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1.001 (1.000–1.003)</w:t>
            </w:r>
          </w:p>
        </w:tc>
        <w:tc>
          <w:tcPr>
            <w:tcW w:w="10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1.89 × 10⁻²</w:t>
            </w:r>
          </w:p>
        </w:tc>
        <w:tc>
          <w:tcPr>
            <w:tcW w:w="1079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1.89 × 10⁻²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 w:val="0"/>
          <w:bCs w:val="0"/>
          <w:sz w:val="24"/>
          <w:szCs w:val="32"/>
          <w:lang w:eastAsia="zh-CN"/>
        </w:rPr>
        <w:t>Supplementary</w:t>
      </w:r>
      <w:r>
        <w:rPr>
          <w:rFonts w:hint="eastAsia" w:ascii="Times New Roman" w:hAnsi="Times New Roman" w:cs="Times New Roman"/>
          <w:b w:val="0"/>
          <w:bCs w:val="0"/>
          <w:sz w:val="24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Table S1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>. Hazard ratios (HRs) for single-pollutant models expressed per 1-SD and per 10 μg/m³ increases.</w:t>
      </w:r>
    </w:p>
    <w:tbl>
      <w:tblPr>
        <w:tblStyle w:val="2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9"/>
        <w:gridCol w:w="3250"/>
        <w:gridCol w:w="325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Pollutant</w:t>
            </w:r>
          </w:p>
        </w:tc>
        <w:tc>
          <w:tcPr>
            <w:tcW w:w="1907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 per 1-SD</w:t>
            </w:r>
          </w:p>
        </w:tc>
        <w:tc>
          <w:tcPr>
            <w:tcW w:w="1907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HR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(95% </w:t>
            </w:r>
            <w:r>
              <w:rPr>
                <w:rFonts w:hint="default" w:ascii="Times New Roman" w:hAnsi="Times New Roman" w:eastAsia="等线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</w:t>
            </w: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 per 10 μg/m³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1.114 (1.056</w:t>
            </w:r>
            <w:r>
              <w:rPr>
                <w:rStyle w:val="7"/>
                <w:rFonts w:eastAsia="等线"/>
                <w:lang w:val="en-US" w:eastAsia="zh-CN" w:bidi="ar"/>
              </w:rPr>
              <w:t>,1.175)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1.126 (1.061</w:t>
            </w:r>
            <w:r>
              <w:rPr>
                <w:rStyle w:val="7"/>
                <w:rFonts w:eastAsia="等线"/>
                <w:lang w:val="en-US" w:eastAsia="zh-CN" w:bidi="ar"/>
              </w:rPr>
              <w:t>,1.195)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PM₂.₅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1.158 (1.097</w:t>
            </w:r>
            <w:r>
              <w:rPr>
                <w:rStyle w:val="7"/>
                <w:rFonts w:eastAsia="等线"/>
                <w:lang w:val="en-US" w:eastAsia="zh-CN" w:bidi="ar"/>
              </w:rPr>
              <w:t>,1.223)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1.091 (1.057</w:t>
            </w:r>
            <w:r>
              <w:rPr>
                <w:rStyle w:val="7"/>
                <w:rFonts w:eastAsia="等线"/>
                <w:lang w:val="en-US" w:eastAsia="zh-CN" w:bidi="ar"/>
              </w:rPr>
              <w:t>,1.127)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PM₁₀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1.231 (1.172</w:t>
            </w:r>
            <w:r>
              <w:rPr>
                <w:rStyle w:val="7"/>
                <w:rFonts w:eastAsia="等线"/>
                <w:lang w:val="en-US" w:eastAsia="zh-CN" w:bidi="ar"/>
              </w:rPr>
              <w:t>,1.294)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1.070 (1.053</w:t>
            </w:r>
            <w:r>
              <w:rPr>
                <w:rStyle w:val="7"/>
                <w:rFonts w:eastAsia="等线"/>
                <w:lang w:val="en-US" w:eastAsia="zh-CN" w:bidi="ar"/>
              </w:rPr>
              <w:t>,1.087)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NO₂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1.108 (1.051</w:t>
            </w:r>
            <w:r>
              <w:rPr>
                <w:rStyle w:val="7"/>
                <w:rFonts w:eastAsia="等线"/>
                <w:lang w:val="en-US" w:eastAsia="zh-CN" w:bidi="ar"/>
              </w:rPr>
              <w:t>,1.167)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1.115 (1.054</w:t>
            </w:r>
            <w:r>
              <w:rPr>
                <w:rStyle w:val="7"/>
                <w:rFonts w:eastAsia="等线"/>
                <w:lang w:val="en-US" w:eastAsia="zh-CN" w:bidi="ar"/>
              </w:rPr>
              <w:t>,1.179)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185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O₃</w:t>
            </w:r>
          </w:p>
        </w:tc>
        <w:tc>
          <w:tcPr>
            <w:tcW w:w="190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0.952 (0.903</w:t>
            </w:r>
            <w:r>
              <w:rPr>
                <w:rStyle w:val="7"/>
                <w:rFonts w:eastAsia="等线"/>
                <w:lang w:val="en-US" w:eastAsia="zh-CN" w:bidi="ar"/>
              </w:rPr>
              <w:t>,1.003)</w:t>
            </w:r>
          </w:p>
        </w:tc>
        <w:tc>
          <w:tcPr>
            <w:tcW w:w="1907" w:type="pct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0.920 (0.842</w:t>
            </w:r>
            <w:r>
              <w:rPr>
                <w:rStyle w:val="7"/>
                <w:rFonts w:eastAsia="等线"/>
                <w:lang w:val="en-US" w:eastAsia="zh-CN" w:bidi="ar"/>
              </w:rPr>
              <w:t>,1.006)</w:t>
            </w:r>
          </w:p>
        </w:tc>
      </w:tr>
    </w:tbl>
    <w:p>
      <w:pPr>
        <w:rPr>
          <w:rFonts w:hint="default" w:ascii="Times New Roman" w:hAnsi="Times New Roman" w:eastAsia="宋体" w:cs="Times New Roman"/>
          <w:sz w:val="21"/>
          <w:szCs w:val="21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>Notes: Hazard ratios per 10 μg/m³ were derived from the per-SD estimates using pollutant-specific standard deviations from the study population.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0DE13D"/>
    <w:multiLevelType w:val="singleLevel"/>
    <w:tmpl w:val="2B0DE13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B02ABD"/>
    <w:rsid w:val="0F355373"/>
    <w:rsid w:val="15001E91"/>
    <w:rsid w:val="2AB06605"/>
    <w:rsid w:val="3AB02ABD"/>
    <w:rsid w:val="41BA43A1"/>
    <w:rsid w:val="67AC1C5D"/>
    <w:rsid w:val="6E4C5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21"/>
    <w:basedOn w:val="3"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6">
    <w:name w:val="font31"/>
    <w:basedOn w:val="3"/>
    <w:uiPriority w:val="0"/>
    <w:rPr>
      <w:rFonts w:hint="default" w:ascii="Times New Roman" w:hAnsi="Times New Roman" w:cs="Times New Roman"/>
      <w:b/>
      <w:bCs/>
      <w:i/>
      <w:iCs/>
      <w:color w:val="000000"/>
      <w:sz w:val="18"/>
      <w:szCs w:val="18"/>
      <w:u w:val="none"/>
    </w:rPr>
  </w:style>
  <w:style w:type="character" w:customStyle="1" w:styleId="7">
    <w:name w:val="font11"/>
    <w:basedOn w:val="3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2025-06-09T03:40:00Z</dcterms:created>
  <dc:creator>チヨシパー</dc:creator>
  <cp:lastModifiedBy>チヨシパー</cp:lastModifiedBy>
  <dcterms:modified xsi:type="dcterms:W3CDTF">2025-09-04T10:21:17Z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6134A1C84A5D47618A500EB73862F7D7</vt:lpwstr>
  </property>
</Properties>
</file>