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7EC81" w14:textId="77777777" w:rsidR="00887741" w:rsidRDefault="00000000">
      <w:pPr>
        <w:spacing w:line="480" w:lineRule="auto"/>
        <w:jc w:val="center"/>
        <w:rPr>
          <w:rFonts w:ascii="Times New Roman" w:hAnsi="Times New Roman" w:cs="Times New Roman"/>
          <w:b/>
          <w:bCs/>
          <w:sz w:val="24"/>
        </w:rPr>
      </w:pPr>
      <w:r>
        <w:rPr>
          <w:rFonts w:ascii="Times New Roman" w:hAnsi="Times New Roman" w:cs="Times New Roman"/>
          <w:b/>
          <w:bCs/>
          <w:sz w:val="24"/>
        </w:rPr>
        <w:t>Supplementary Materials for</w:t>
      </w:r>
    </w:p>
    <w:p w14:paraId="21C8EEFA" w14:textId="77777777" w:rsidR="00887741" w:rsidRDefault="00000000">
      <w:pPr>
        <w:spacing w:line="480" w:lineRule="auto"/>
        <w:jc w:val="center"/>
        <w:rPr>
          <w:rFonts w:ascii="Times New Roman" w:hAnsi="Times New Roman" w:cs="Times New Roman"/>
          <w:b/>
          <w:bCs/>
          <w:sz w:val="24"/>
        </w:rPr>
      </w:pPr>
      <w:r>
        <w:rPr>
          <w:rFonts w:ascii="Times New Roman" w:hAnsi="Times New Roman" w:cs="Times New Roman" w:hint="eastAsia"/>
          <w:b/>
          <w:bCs/>
          <w:sz w:val="24"/>
        </w:rPr>
        <w:t>Model for Neoadjuvant Chemotherapy Response Prediction and Treatment Sensitivity in TNBC Based on DNA Replication Stress Signatures</w:t>
      </w:r>
    </w:p>
    <w:p w14:paraId="3484A5B1" w14:textId="77777777" w:rsidR="00887741" w:rsidRDefault="00000000">
      <w:pPr>
        <w:spacing w:line="480" w:lineRule="auto"/>
        <w:jc w:val="center"/>
        <w:rPr>
          <w:rFonts w:ascii="Times New Roman" w:hAnsi="Times New Roman" w:cs="Times New Roman"/>
          <w:b/>
          <w:bCs/>
          <w:i/>
          <w:iCs/>
          <w:sz w:val="24"/>
        </w:rPr>
      </w:pPr>
      <w:r>
        <w:rPr>
          <w:rFonts w:ascii="Times New Roman" w:hAnsi="Times New Roman" w:cs="Times New Roman" w:hint="eastAsia"/>
          <w:b/>
          <w:bCs/>
          <w:i/>
          <w:iCs/>
          <w:sz w:val="24"/>
        </w:rPr>
        <w:t>Scientific Reports</w:t>
      </w:r>
    </w:p>
    <w:p w14:paraId="5FD54BF8" w14:textId="77777777" w:rsidR="00887741" w:rsidRDefault="00000000">
      <w:pPr>
        <w:spacing w:line="480" w:lineRule="auto"/>
        <w:rPr>
          <w:rFonts w:ascii="Times New Roman" w:hAnsi="Times New Roman" w:cs="Times New Roman"/>
          <w:b/>
          <w:bCs/>
          <w:sz w:val="20"/>
          <w:szCs w:val="20"/>
          <w:vertAlign w:val="superscript"/>
        </w:rPr>
      </w:pPr>
      <w:proofErr w:type="spellStart"/>
      <w:r>
        <w:rPr>
          <w:rFonts w:ascii="Times New Roman" w:hAnsi="Times New Roman" w:cs="Times New Roman"/>
          <w:b/>
          <w:bCs/>
          <w:sz w:val="20"/>
          <w:szCs w:val="20"/>
        </w:rPr>
        <w:t>Meishun</w:t>
      </w:r>
      <w:proofErr w:type="spellEnd"/>
      <w:r>
        <w:rPr>
          <w:rFonts w:ascii="Times New Roman" w:hAnsi="Times New Roman" w:cs="Times New Roman"/>
          <w:b/>
          <w:bCs/>
          <w:sz w:val="20"/>
          <w:szCs w:val="20"/>
        </w:rPr>
        <w:t xml:space="preserve"> Hu</w:t>
      </w:r>
      <w:r>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Qifan</w:t>
      </w:r>
      <w:proofErr w:type="spellEnd"/>
      <w:r>
        <w:rPr>
          <w:rFonts w:ascii="Times New Roman" w:hAnsi="Times New Roman" w:cs="Times New Roman"/>
          <w:b/>
          <w:bCs/>
          <w:sz w:val="20"/>
          <w:szCs w:val="20"/>
        </w:rPr>
        <w:t xml:space="preserve"> Luo</w:t>
      </w:r>
      <w:r>
        <w:rPr>
          <w:rFonts w:ascii="Times New Roman" w:hAnsi="Times New Roman" w:cs="Times New Roman"/>
          <w:b/>
          <w:bCs/>
          <w:sz w:val="20"/>
          <w:szCs w:val="20"/>
          <w:vertAlign w:val="superscript"/>
        </w:rPr>
        <w:t>1</w:t>
      </w:r>
      <w:r>
        <w:rPr>
          <w:rFonts w:ascii="Times New Roman" w:hAnsi="Times New Roman" w:cs="Times New Roman"/>
          <w:b/>
          <w:bCs/>
          <w:sz w:val="20"/>
          <w:szCs w:val="20"/>
        </w:rPr>
        <w:t>, Jun Li</w:t>
      </w:r>
      <w:r>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Yanyan</w:t>
      </w:r>
      <w:proofErr w:type="spellEnd"/>
      <w:r>
        <w:rPr>
          <w:rFonts w:ascii="Times New Roman" w:hAnsi="Times New Roman" w:cs="Times New Roman"/>
          <w:b/>
          <w:bCs/>
          <w:sz w:val="20"/>
          <w:szCs w:val="20"/>
        </w:rPr>
        <w:t xml:space="preserve"> Chen</w:t>
      </w:r>
      <w:r>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Mengting</w:t>
      </w:r>
      <w:proofErr w:type="spellEnd"/>
      <w:r>
        <w:rPr>
          <w:rFonts w:ascii="Times New Roman" w:hAnsi="Times New Roman" w:cs="Times New Roman"/>
          <w:b/>
          <w:bCs/>
          <w:sz w:val="20"/>
          <w:szCs w:val="20"/>
        </w:rPr>
        <w:t xml:space="preserve"> Chen</w:t>
      </w:r>
      <w:r>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Zhuowan</w:t>
      </w:r>
      <w:proofErr w:type="spellEnd"/>
      <w:r>
        <w:rPr>
          <w:rFonts w:ascii="Times New Roman" w:hAnsi="Times New Roman" w:cs="Times New Roman"/>
          <w:b/>
          <w:bCs/>
          <w:sz w:val="20"/>
          <w:szCs w:val="20"/>
        </w:rPr>
        <w:t xml:space="preserve"> Tian</w:t>
      </w:r>
      <w:r>
        <w:rPr>
          <w:rFonts w:ascii="Times New Roman" w:hAnsi="Times New Roman" w:cs="Times New Roman"/>
          <w:b/>
          <w:bCs/>
          <w:sz w:val="20"/>
          <w:szCs w:val="20"/>
          <w:vertAlign w:val="superscript"/>
        </w:rPr>
        <w:t>1</w:t>
      </w:r>
      <w:r>
        <w:rPr>
          <w:rFonts w:ascii="Times New Roman" w:hAnsi="Times New Roman" w:cs="Times New Roman"/>
          <w:b/>
          <w:bCs/>
          <w:sz w:val="20"/>
          <w:szCs w:val="20"/>
        </w:rPr>
        <w:t>, Lei Wei</w:t>
      </w:r>
      <w:r>
        <w:rPr>
          <w:rFonts w:ascii="Times New Roman" w:hAnsi="Times New Roman" w:cs="Times New Roman"/>
          <w:b/>
          <w:bCs/>
          <w:sz w:val="20"/>
          <w:szCs w:val="20"/>
          <w:vertAlign w:val="superscript"/>
        </w:rPr>
        <w:t>2</w:t>
      </w:r>
      <w:r>
        <w:rPr>
          <w:rFonts w:ascii="Times New Roman" w:hAnsi="Times New Roman" w:cs="Times New Roman"/>
          <w:b/>
          <w:bCs/>
          <w:sz w:val="20"/>
          <w:szCs w:val="20"/>
        </w:rPr>
        <w:t>, Fangfang Chen</w:t>
      </w:r>
      <w:r>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Jingwei</w:t>
      </w:r>
      <w:proofErr w:type="spellEnd"/>
      <w:r>
        <w:rPr>
          <w:rFonts w:ascii="Times New Roman" w:hAnsi="Times New Roman" w:cs="Times New Roman"/>
          <w:b/>
          <w:bCs/>
          <w:sz w:val="20"/>
          <w:szCs w:val="20"/>
        </w:rPr>
        <w:t xml:space="preserve"> Zhang</w:t>
      </w:r>
      <w:r>
        <w:rPr>
          <w:rFonts w:ascii="Times New Roman" w:hAnsi="Times New Roman" w:cs="Times New Roman"/>
          <w:b/>
          <w:bCs/>
          <w:sz w:val="20"/>
          <w:szCs w:val="20"/>
          <w:vertAlign w:val="superscript"/>
        </w:rPr>
        <w:t>1*</w:t>
      </w:r>
    </w:p>
    <w:p w14:paraId="14D04CAD" w14:textId="77777777" w:rsidR="00887741" w:rsidRDefault="00000000">
      <w:pPr>
        <w:spacing w:line="480" w:lineRule="auto"/>
        <w:rPr>
          <w:rFonts w:ascii="Times New Roman" w:hAnsi="Times New Roman" w:cs="Times New Roman"/>
          <w:b/>
          <w:bCs/>
          <w:sz w:val="20"/>
          <w:szCs w:val="20"/>
        </w:rPr>
      </w:pPr>
      <w:r>
        <w:rPr>
          <w:rFonts w:ascii="Times New Roman" w:hAnsi="Times New Roman" w:cs="Times New Roman"/>
          <w:b/>
          <w:bCs/>
          <w:sz w:val="20"/>
          <w:szCs w:val="20"/>
        </w:rPr>
        <w:t>Affiliations:</w:t>
      </w:r>
    </w:p>
    <w:p w14:paraId="161A4BB0" w14:textId="77777777" w:rsidR="00887741" w:rsidRDefault="00000000">
      <w:pPr>
        <w:widowControl/>
        <w:spacing w:line="480" w:lineRule="auto"/>
        <w:rPr>
          <w:rFonts w:ascii="Times New Roman" w:hAnsi="Times New Roman" w:cs="Times New Roman"/>
          <w:color w:val="000000"/>
          <w:kern w:val="0"/>
          <w:sz w:val="20"/>
          <w:szCs w:val="20"/>
        </w:rPr>
      </w:pPr>
      <w:r>
        <w:rPr>
          <w:rFonts w:ascii="Times New Roman" w:hAnsi="Times New Roman" w:cs="Times New Roman"/>
          <w:color w:val="000000"/>
          <w:kern w:val="0"/>
          <w:sz w:val="20"/>
          <w:szCs w:val="20"/>
          <w:vertAlign w:val="superscript"/>
        </w:rPr>
        <w:t>1</w:t>
      </w:r>
      <w:r>
        <w:rPr>
          <w:rFonts w:ascii="Times New Roman" w:eastAsia="宋体" w:hAnsi="Times New Roman" w:cs="Times New Roman"/>
          <w:kern w:val="0"/>
          <w:sz w:val="20"/>
          <w:szCs w:val="20"/>
        </w:rPr>
        <w:t xml:space="preserve">Department of Breast and Thyroid Surgery, </w:t>
      </w:r>
      <w:proofErr w:type="spellStart"/>
      <w:r>
        <w:rPr>
          <w:rFonts w:ascii="Times New Roman" w:eastAsia="宋体" w:hAnsi="Times New Roman" w:cs="Times New Roman"/>
          <w:kern w:val="0"/>
          <w:sz w:val="20"/>
          <w:szCs w:val="20"/>
        </w:rPr>
        <w:t>Zhongnan</w:t>
      </w:r>
      <w:proofErr w:type="spellEnd"/>
      <w:r>
        <w:rPr>
          <w:rFonts w:ascii="Times New Roman" w:eastAsia="宋体" w:hAnsi="Times New Roman" w:cs="Times New Roman"/>
          <w:kern w:val="0"/>
          <w:sz w:val="20"/>
          <w:szCs w:val="20"/>
        </w:rPr>
        <w:t xml:space="preserve"> Hospital of Wuhan University, Hubei Key Laboratory of Tumor Biological Behaviors, Hubei Cancer Clinical Study Center, Wuhan, Hubei 430071, P.R. China.</w:t>
      </w:r>
    </w:p>
    <w:p w14:paraId="09D65351" w14:textId="77777777" w:rsidR="00887741" w:rsidRDefault="00000000">
      <w:pPr>
        <w:widowControl/>
        <w:spacing w:line="480" w:lineRule="auto"/>
        <w:rPr>
          <w:rFonts w:ascii="Times New Roman" w:eastAsia="宋体" w:hAnsi="Times New Roman" w:cs="Times New Roman"/>
          <w:kern w:val="0"/>
          <w:sz w:val="20"/>
          <w:szCs w:val="20"/>
        </w:rPr>
      </w:pPr>
      <w:r>
        <w:rPr>
          <w:rFonts w:ascii="Times New Roman" w:eastAsia="宋体" w:hAnsi="Times New Roman" w:cs="Times New Roman"/>
          <w:kern w:val="0"/>
          <w:sz w:val="20"/>
          <w:szCs w:val="20"/>
          <w:vertAlign w:val="superscript"/>
        </w:rPr>
        <w:t>2</w:t>
      </w:r>
      <w:r>
        <w:rPr>
          <w:rFonts w:ascii="Times New Roman" w:hAnsi="Times New Roman" w:cs="Times New Roman"/>
          <w:color w:val="000000"/>
          <w:kern w:val="0"/>
          <w:sz w:val="20"/>
          <w:szCs w:val="20"/>
        </w:rPr>
        <w:t xml:space="preserve">Department of Pathology and Pathophysiology, Hubei Provincial Key Laboratory of Developmentally Originated Disease, </w:t>
      </w:r>
      <w:proofErr w:type="spellStart"/>
      <w:r>
        <w:rPr>
          <w:rFonts w:ascii="Times New Roman" w:eastAsia="宋体" w:hAnsi="Times New Roman" w:cs="Times New Roman"/>
          <w:color w:val="000000"/>
          <w:kern w:val="0"/>
          <w:sz w:val="20"/>
          <w:szCs w:val="20"/>
        </w:rPr>
        <w:t>TaiKang</w:t>
      </w:r>
      <w:proofErr w:type="spellEnd"/>
      <w:r>
        <w:rPr>
          <w:rFonts w:ascii="Times New Roman" w:eastAsia="宋体" w:hAnsi="Times New Roman" w:cs="Times New Roman"/>
          <w:color w:val="000000"/>
          <w:kern w:val="0"/>
          <w:sz w:val="20"/>
          <w:szCs w:val="20"/>
        </w:rPr>
        <w:t xml:space="preserve"> </w:t>
      </w:r>
      <w:r>
        <w:rPr>
          <w:rFonts w:ascii="Times New Roman" w:hAnsi="Times New Roman" w:cs="Times New Roman"/>
          <w:color w:val="000000"/>
          <w:kern w:val="0"/>
          <w:sz w:val="20"/>
          <w:szCs w:val="20"/>
        </w:rPr>
        <w:t>Medical</w:t>
      </w:r>
      <w:r>
        <w:rPr>
          <w:rFonts w:ascii="Times New Roman" w:eastAsia="宋体" w:hAnsi="Times New Roman" w:cs="Times New Roman"/>
          <w:color w:val="000000"/>
          <w:kern w:val="0"/>
          <w:sz w:val="20"/>
          <w:szCs w:val="20"/>
        </w:rPr>
        <w:t xml:space="preserve"> </w:t>
      </w:r>
      <w:r>
        <w:rPr>
          <w:rFonts w:ascii="Times New Roman" w:hAnsi="Times New Roman" w:cs="Times New Roman"/>
          <w:color w:val="000000"/>
          <w:kern w:val="0"/>
          <w:sz w:val="20"/>
          <w:szCs w:val="20"/>
        </w:rPr>
        <w:t>School</w:t>
      </w:r>
      <w:r>
        <w:rPr>
          <w:rFonts w:ascii="Times New Roman" w:eastAsia="宋体" w:hAnsi="Times New Roman" w:cs="Times New Roman"/>
          <w:color w:val="000000"/>
          <w:kern w:val="0"/>
          <w:sz w:val="20"/>
          <w:szCs w:val="20"/>
        </w:rPr>
        <w:t xml:space="preserve"> (</w:t>
      </w:r>
      <w:r>
        <w:rPr>
          <w:rFonts w:ascii="Times New Roman" w:hAnsi="Times New Roman" w:cs="Times New Roman"/>
          <w:color w:val="000000"/>
          <w:kern w:val="0"/>
          <w:sz w:val="20"/>
          <w:szCs w:val="20"/>
        </w:rPr>
        <w:t>School of Basic Medical Sciences</w:t>
      </w:r>
      <w:r>
        <w:rPr>
          <w:rFonts w:ascii="Times New Roman" w:eastAsia="宋体" w:hAnsi="Times New Roman" w:cs="Times New Roman"/>
          <w:color w:val="000000"/>
          <w:kern w:val="0"/>
          <w:sz w:val="20"/>
          <w:szCs w:val="20"/>
        </w:rPr>
        <w:t>)</w:t>
      </w:r>
      <w:r>
        <w:rPr>
          <w:rFonts w:ascii="Times New Roman" w:hAnsi="Times New Roman" w:cs="Times New Roman"/>
          <w:color w:val="000000"/>
          <w:kern w:val="0"/>
          <w:sz w:val="20"/>
          <w:szCs w:val="20"/>
        </w:rPr>
        <w:t>, Wuhan University, Wuhan, Hubei 430071, P.R. China.</w:t>
      </w:r>
    </w:p>
    <w:p w14:paraId="7E46FCA0" w14:textId="77777777" w:rsidR="00887741" w:rsidRDefault="00000000">
      <w:pPr>
        <w:widowControl/>
        <w:spacing w:line="48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b/>
          <w:bCs/>
          <w:color w:val="000000"/>
          <w:kern w:val="0"/>
          <w:sz w:val="20"/>
          <w:szCs w:val="20"/>
        </w:rPr>
        <w:t>*Corresponding author</w:t>
      </w:r>
      <w:r>
        <w:rPr>
          <w:rFonts w:ascii="Times New Roman" w:eastAsia="宋体" w:hAnsi="Times New Roman" w:cs="Times New Roman"/>
          <w:color w:val="000000"/>
          <w:kern w:val="0"/>
          <w:sz w:val="20"/>
          <w:szCs w:val="20"/>
        </w:rPr>
        <w:t xml:space="preserve">: </w:t>
      </w:r>
      <w:proofErr w:type="spellStart"/>
      <w:r>
        <w:rPr>
          <w:rFonts w:ascii="Times New Roman" w:eastAsia="宋体" w:hAnsi="Times New Roman" w:cs="Times New Roman"/>
          <w:color w:val="000000"/>
          <w:kern w:val="0"/>
          <w:sz w:val="20"/>
          <w:szCs w:val="20"/>
        </w:rPr>
        <w:t>Jingwei</w:t>
      </w:r>
      <w:proofErr w:type="spellEnd"/>
      <w:r>
        <w:rPr>
          <w:rFonts w:ascii="Times New Roman" w:eastAsia="宋体" w:hAnsi="Times New Roman" w:cs="Times New Roman"/>
          <w:color w:val="000000"/>
          <w:kern w:val="0"/>
          <w:sz w:val="20"/>
          <w:szCs w:val="20"/>
        </w:rPr>
        <w:t xml:space="preserve"> Zhang; Electronic address: </w:t>
      </w:r>
      <w:r>
        <w:rPr>
          <w:rFonts w:ascii="Times New Roman" w:eastAsia="宋体" w:hAnsi="Times New Roman" w:cs="Times New Roman"/>
          <w:kern w:val="0"/>
          <w:sz w:val="20"/>
          <w:szCs w:val="20"/>
        </w:rPr>
        <w:t>zjwzhang68@whu.edu.cn</w:t>
      </w:r>
      <w:r>
        <w:rPr>
          <w:rFonts w:ascii="Times New Roman" w:eastAsia="宋体" w:hAnsi="Times New Roman" w:cs="Times New Roman"/>
          <w:color w:val="000000"/>
          <w:kern w:val="0"/>
          <w:sz w:val="20"/>
          <w:szCs w:val="20"/>
        </w:rPr>
        <w:t>; Tel: +86 13971240262</w:t>
      </w:r>
    </w:p>
    <w:p w14:paraId="04567ACB" w14:textId="77777777" w:rsidR="00887741" w:rsidRDefault="00000000">
      <w:pPr>
        <w:widowControl/>
        <w:spacing w:line="48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 xml:space="preserve">Fangfang Chen; Electronic address: </w:t>
      </w:r>
      <w:hyperlink r:id="rId6" w:history="1">
        <w:r>
          <w:rPr>
            <w:rFonts w:ascii="Times New Roman" w:eastAsia="宋体" w:hAnsi="Times New Roman" w:cs="Times New Roman"/>
            <w:kern w:val="0"/>
            <w:sz w:val="20"/>
            <w:szCs w:val="20"/>
          </w:rPr>
          <w:t>chenfangfang@znhosptial.cn</w:t>
        </w:r>
      </w:hyperlink>
      <w:r>
        <w:rPr>
          <w:rFonts w:ascii="Times New Roman" w:eastAsia="宋体" w:hAnsi="Times New Roman" w:cs="Times New Roman"/>
          <w:kern w:val="0"/>
          <w:sz w:val="20"/>
          <w:szCs w:val="20"/>
        </w:rPr>
        <w:t>;</w:t>
      </w:r>
      <w:r>
        <w:rPr>
          <w:rFonts w:ascii="Times New Roman" w:eastAsia="宋体" w:hAnsi="Times New Roman" w:cs="Times New Roman"/>
          <w:color w:val="000000"/>
          <w:kern w:val="0"/>
          <w:sz w:val="20"/>
          <w:szCs w:val="20"/>
        </w:rPr>
        <w:t xml:space="preserve"> Tel: +86 13797048911</w:t>
      </w:r>
    </w:p>
    <w:p w14:paraId="04B16A2F" w14:textId="77777777" w:rsidR="00887741" w:rsidRDefault="00000000">
      <w:pPr>
        <w:spacing w:line="480" w:lineRule="auto"/>
        <w:rPr>
          <w:rFonts w:ascii="Times New Roman" w:hAnsi="Times New Roman" w:cs="Times New Roman"/>
          <w:b/>
          <w:bCs/>
          <w:sz w:val="24"/>
        </w:rPr>
      </w:pPr>
      <w:r>
        <w:rPr>
          <w:rFonts w:ascii="Times New Roman" w:eastAsia="宋体" w:hAnsi="Times New Roman" w:cs="Times New Roman"/>
          <w:b/>
          <w:bCs/>
          <w:color w:val="000000"/>
          <w:kern w:val="0"/>
          <w:sz w:val="20"/>
          <w:szCs w:val="20"/>
        </w:rPr>
        <w:t>Corresponding address</w:t>
      </w:r>
      <w:r>
        <w:rPr>
          <w:rFonts w:ascii="Times New Roman" w:eastAsia="宋体" w:hAnsi="Times New Roman" w:cs="Times New Roman"/>
          <w:color w:val="000000"/>
          <w:kern w:val="0"/>
          <w:sz w:val="20"/>
          <w:szCs w:val="20"/>
        </w:rPr>
        <w:t>:</w:t>
      </w:r>
      <w:r>
        <w:rPr>
          <w:rFonts w:ascii="Times New Roman" w:eastAsia="宋体" w:hAnsi="Times New Roman" w:cs="Times New Roman"/>
          <w:kern w:val="0"/>
          <w:sz w:val="20"/>
          <w:szCs w:val="20"/>
        </w:rPr>
        <w:t xml:space="preserve"> Department of Breast and Thyroid Surgery, </w:t>
      </w:r>
      <w:proofErr w:type="spellStart"/>
      <w:r>
        <w:rPr>
          <w:rFonts w:ascii="Times New Roman" w:eastAsia="宋体" w:hAnsi="Times New Roman" w:cs="Times New Roman"/>
          <w:kern w:val="0"/>
          <w:sz w:val="20"/>
          <w:szCs w:val="20"/>
        </w:rPr>
        <w:t>Zhongnan</w:t>
      </w:r>
      <w:proofErr w:type="spellEnd"/>
      <w:r>
        <w:rPr>
          <w:rFonts w:ascii="Times New Roman" w:eastAsia="宋体" w:hAnsi="Times New Roman" w:cs="Times New Roman"/>
          <w:kern w:val="0"/>
          <w:sz w:val="20"/>
          <w:szCs w:val="20"/>
        </w:rPr>
        <w:t xml:space="preserve"> Hospital of Wuhan University, Hubei Key Laboratory of Tumor Biological Behaviors, Hubei Cancer Clinical Study Center, Wuhan, Hubei 430071, China</w:t>
      </w:r>
    </w:p>
    <w:p w14:paraId="2543358A" w14:textId="77777777" w:rsidR="00887741" w:rsidRDefault="00000000">
      <w:pPr>
        <w:rPr>
          <w:rFonts w:ascii="Times New Roman" w:hAnsi="Times New Roman" w:cs="Times New Roman"/>
          <w:b/>
          <w:bCs/>
          <w:sz w:val="24"/>
        </w:rPr>
      </w:pPr>
      <w:r>
        <w:rPr>
          <w:rFonts w:ascii="Times New Roman" w:hAnsi="Times New Roman" w:cs="Times New Roman"/>
          <w:b/>
          <w:bCs/>
          <w:sz w:val="24"/>
        </w:rPr>
        <w:br w:type="page"/>
      </w:r>
    </w:p>
    <w:p w14:paraId="1E69A5E8" w14:textId="77777777" w:rsidR="00887741" w:rsidRDefault="00000000">
      <w:pPr>
        <w:spacing w:line="480" w:lineRule="auto"/>
        <w:jc w:val="left"/>
        <w:rPr>
          <w:rFonts w:ascii="Times New Roman" w:hAnsi="Times New Roman" w:cs="Times New Roman"/>
          <w:b/>
          <w:bCs/>
          <w:sz w:val="24"/>
        </w:rPr>
      </w:pPr>
      <w:r>
        <w:rPr>
          <w:rFonts w:ascii="Times New Roman" w:hAnsi="Times New Roman" w:cs="Times New Roman" w:hint="eastAsia"/>
          <w:b/>
          <w:bCs/>
          <w:sz w:val="24"/>
        </w:rPr>
        <w:lastRenderedPageBreak/>
        <w:t>Acquisition of Neoadjuvant Chemotherapy Response Prediction Scores and Models in TNBC</w:t>
      </w:r>
    </w:p>
    <w:p w14:paraId="560E86A7" w14:textId="77777777" w:rsidR="00887741" w:rsidRDefault="00000000">
      <w:pPr>
        <w:spacing w:line="480" w:lineRule="auto"/>
        <w:ind w:firstLineChars="200" w:firstLine="400"/>
        <w:jc w:val="left"/>
        <w:rPr>
          <w:rFonts w:ascii="Times New Roman" w:hAnsi="Times New Roman" w:cs="Times New Roman"/>
          <w:sz w:val="20"/>
          <w:szCs w:val="20"/>
        </w:rPr>
      </w:pPr>
      <w:r>
        <w:rPr>
          <w:rFonts w:ascii="Times New Roman" w:hAnsi="Times New Roman" w:cs="Times New Roman" w:hint="eastAsia"/>
          <w:sz w:val="20"/>
          <w:szCs w:val="20"/>
        </w:rPr>
        <w:t xml:space="preserve">Before calculating the scores and constructing the models, we standardized the GSE25066 dataset using z-score normalization to ensure comparability among the different prediction scores and models. </w:t>
      </w:r>
    </w:p>
    <w:p w14:paraId="0650988D" w14:textId="77777777" w:rsidR="00887741" w:rsidRDefault="00000000">
      <w:pPr>
        <w:spacing w:line="480" w:lineRule="auto"/>
        <w:ind w:firstLineChars="200" w:firstLine="402"/>
        <w:jc w:val="left"/>
        <w:rPr>
          <w:rFonts w:ascii="Times New Roman" w:hAnsi="Times New Roman" w:cs="Times New Roman"/>
          <w:sz w:val="20"/>
          <w:szCs w:val="20"/>
        </w:rPr>
      </w:pPr>
      <w:r>
        <w:rPr>
          <w:rFonts w:ascii="Times New Roman" w:hAnsi="Times New Roman" w:cs="Times New Roman"/>
          <w:b/>
          <w:bCs/>
          <w:sz w:val="20"/>
          <w:szCs w:val="20"/>
        </w:rPr>
        <w:t>Three-Gene Score:</w:t>
      </w:r>
      <w:r>
        <w:rPr>
          <w:rFonts w:ascii="Times New Roman" w:hAnsi="Times New Roman" w:cs="Times New Roman"/>
          <w:sz w:val="20"/>
          <w:szCs w:val="20"/>
        </w:rPr>
        <w:t xml:space="preserve"> This score is calculated based on the expression of CDKN2C, DEK, and MCM3. We used the formula provided in the study: 3-gene score = 0.53991 × expCDKN2C + 0.487451 × </w:t>
      </w:r>
      <w:proofErr w:type="spellStart"/>
      <w:r>
        <w:rPr>
          <w:rFonts w:ascii="Times New Roman" w:hAnsi="Times New Roman" w:cs="Times New Roman"/>
          <w:sz w:val="20"/>
          <w:szCs w:val="20"/>
        </w:rPr>
        <w:t>expDEK</w:t>
      </w:r>
      <w:proofErr w:type="spellEnd"/>
      <w:r>
        <w:rPr>
          <w:rFonts w:ascii="Times New Roman" w:hAnsi="Times New Roman" w:cs="Times New Roman"/>
          <w:sz w:val="20"/>
          <w:szCs w:val="20"/>
        </w:rPr>
        <w:t xml:space="preserve"> + 0.313544 × expMCM3 to calculate the score for each sample.</w:t>
      </w:r>
    </w:p>
    <w:p w14:paraId="5CF91191" w14:textId="77777777" w:rsidR="00887741" w:rsidRDefault="00000000">
      <w:pPr>
        <w:spacing w:line="480" w:lineRule="auto"/>
        <w:ind w:firstLineChars="200" w:firstLine="402"/>
        <w:jc w:val="left"/>
        <w:rPr>
          <w:rFonts w:ascii="Times New Roman" w:hAnsi="Times New Roman" w:cs="Times New Roman"/>
          <w:sz w:val="20"/>
          <w:szCs w:val="20"/>
        </w:rPr>
      </w:pPr>
      <w:r>
        <w:rPr>
          <w:rFonts w:ascii="Times New Roman" w:hAnsi="Times New Roman" w:cs="Times New Roman"/>
          <w:b/>
          <w:bCs/>
          <w:sz w:val="20"/>
          <w:szCs w:val="20"/>
        </w:rPr>
        <w:t xml:space="preserve">Four-Gene Score: </w:t>
      </w:r>
      <w:r>
        <w:rPr>
          <w:rFonts w:ascii="Times New Roman" w:hAnsi="Times New Roman" w:cs="Times New Roman"/>
          <w:sz w:val="20"/>
          <w:szCs w:val="20"/>
        </w:rPr>
        <w:t xml:space="preserve">This score is based on the expression of RIF1, PARI, RAD51, and XRCC5. The formula from our study: 4-gene score = </w:t>
      </w:r>
      <w:bookmarkStart w:id="0" w:name="OLE_LINK1"/>
      <w:r>
        <w:rPr>
          <w:rFonts w:ascii="Times New Roman" w:hAnsi="Times New Roman" w:cs="Times New Roman"/>
          <w:sz w:val="20"/>
          <w:szCs w:val="20"/>
        </w:rPr>
        <w:t>−0.242518</w:t>
      </w:r>
      <w:bookmarkEnd w:id="0"/>
      <w:r>
        <w:rPr>
          <w:rFonts w:ascii="Times New Roman" w:hAnsi="Times New Roman" w:cs="Times New Roman"/>
          <w:sz w:val="20"/>
          <w:szCs w:val="20"/>
        </w:rPr>
        <w:t xml:space="preserve"> × expBRCA1 + 0.307431 × expXRCC5 + 0.193327 × expPARP1 − 0.256724 × expRAD51 was used to calculate the score for each sample.</w:t>
      </w:r>
    </w:p>
    <w:p w14:paraId="5A23D84B" w14:textId="77777777" w:rsidR="00887741" w:rsidRDefault="00000000">
      <w:pPr>
        <w:spacing w:line="480" w:lineRule="auto"/>
        <w:ind w:firstLineChars="200" w:firstLine="402"/>
        <w:jc w:val="left"/>
        <w:rPr>
          <w:rFonts w:ascii="Times New Roman" w:hAnsi="Times New Roman" w:cs="Times New Roman"/>
          <w:sz w:val="20"/>
          <w:szCs w:val="20"/>
        </w:rPr>
      </w:pPr>
      <w:r>
        <w:rPr>
          <w:rFonts w:ascii="Times New Roman" w:hAnsi="Times New Roman" w:cs="Times New Roman"/>
          <w:b/>
          <w:bCs/>
          <w:sz w:val="20"/>
          <w:szCs w:val="20"/>
        </w:rPr>
        <w:t xml:space="preserve">Six-Gene Score: </w:t>
      </w:r>
      <w:r>
        <w:rPr>
          <w:rFonts w:ascii="Times New Roman" w:hAnsi="Times New Roman" w:cs="Times New Roman"/>
          <w:sz w:val="20"/>
          <w:szCs w:val="20"/>
        </w:rPr>
        <w:t>Calculated from the expression of ATP4B, FBXO22, FCN2, RRP8, SMERK2, and TET3. As the specific coefficients for these genes were not provided by the authors, we re-evaluated their coefficients using logistic regression analysis, following the method provided in the study to calculate the six-gene score for each sample.</w:t>
      </w:r>
    </w:p>
    <w:p w14:paraId="2C2D8F50" w14:textId="77777777" w:rsidR="00887741" w:rsidRDefault="00000000">
      <w:pPr>
        <w:spacing w:line="480" w:lineRule="auto"/>
        <w:ind w:firstLineChars="200" w:firstLine="402"/>
        <w:jc w:val="left"/>
        <w:rPr>
          <w:rFonts w:ascii="Times New Roman" w:hAnsi="Times New Roman" w:cs="Times New Roman"/>
          <w:sz w:val="20"/>
          <w:szCs w:val="20"/>
        </w:rPr>
      </w:pPr>
      <w:r>
        <w:rPr>
          <w:rFonts w:ascii="Times New Roman" w:hAnsi="Times New Roman" w:cs="Times New Roman"/>
          <w:b/>
          <w:bCs/>
          <w:sz w:val="20"/>
          <w:szCs w:val="20"/>
        </w:rPr>
        <w:t>Sixteen-Gene Model:</w:t>
      </w:r>
      <w:r>
        <w:rPr>
          <w:rFonts w:ascii="Times New Roman" w:hAnsi="Times New Roman" w:cs="Times New Roman"/>
          <w:sz w:val="20"/>
          <w:szCs w:val="20"/>
        </w:rPr>
        <w:t xml:space="preserve"> Constructed from CENPX, DEPDC1, DROSHA, EHD1, H2AZ1, HAT1, LAMC2, NOP10, NSD2, ODC1, PLEK2, PSMB2, RFWD3, RRM2, SRCAP, and VRK1. We established the 16 gene_v1 model using a linear regression model, as described in the study. Then, we selected samples predicted as </w:t>
      </w:r>
      <w:proofErr w:type="spellStart"/>
      <w:r>
        <w:rPr>
          <w:rFonts w:ascii="Times New Roman" w:hAnsi="Times New Roman" w:cs="Times New Roman"/>
          <w:sz w:val="20"/>
          <w:szCs w:val="20"/>
        </w:rPr>
        <w:t>pCR</w:t>
      </w:r>
      <w:proofErr w:type="spellEnd"/>
      <w:r>
        <w:rPr>
          <w:rFonts w:ascii="Times New Roman" w:hAnsi="Times New Roman" w:cs="Times New Roman"/>
          <w:sz w:val="20"/>
          <w:szCs w:val="20"/>
        </w:rPr>
        <w:t xml:space="preserve"> by the 16 gene_v1 model to train the 16 gene_v2 model. The 16 gene_v2 model was constructed from ACTB, BCAR3, CENPX, CSN3, EHF, ELN, H2AZ2, HLADPA1, IGF2BP2, LYPLA1, MSLN, NPY1R, PTH2R, PTPN20, S100P, and TDRD12, following the same methodology.</w:t>
      </w:r>
    </w:p>
    <w:p w14:paraId="586CDD5D" w14:textId="6AC73710" w:rsidR="00FC58F2" w:rsidRDefault="00000000" w:rsidP="00917661">
      <w:pPr>
        <w:spacing w:line="480" w:lineRule="auto"/>
        <w:ind w:firstLineChars="200" w:firstLine="402"/>
        <w:jc w:val="left"/>
        <w:rPr>
          <w:rFonts w:ascii="Times New Roman" w:hAnsi="Times New Roman" w:cs="Times New Roman"/>
          <w:sz w:val="20"/>
          <w:szCs w:val="20"/>
        </w:rPr>
      </w:pPr>
      <w:r>
        <w:rPr>
          <w:rFonts w:ascii="Times New Roman" w:hAnsi="Times New Roman" w:cs="Times New Roman"/>
          <w:b/>
          <w:bCs/>
          <w:sz w:val="20"/>
          <w:szCs w:val="20"/>
        </w:rPr>
        <w:t>Eighty-Six-Gene Model:</w:t>
      </w:r>
      <w:r>
        <w:rPr>
          <w:rFonts w:ascii="Times New Roman" w:hAnsi="Times New Roman" w:cs="Times New Roman"/>
          <w:sz w:val="20"/>
          <w:szCs w:val="20"/>
        </w:rPr>
        <w:t xml:space="preserve"> Based on the random forest algorithm. Initially, we divided 70% of the GSE25066 dataset into a training set as per the study design. The training set was then further divided into three subsets to simulate the cross-validation process and enhance the model's generalizability. Using the eighty-six optimal genes identified in the study, we </w:t>
      </w:r>
      <w:r>
        <w:rPr>
          <w:rFonts w:ascii="Times New Roman" w:hAnsi="Times New Roman" w:cs="Times New Roman"/>
          <w:sz w:val="20"/>
          <w:szCs w:val="20"/>
        </w:rPr>
        <w:lastRenderedPageBreak/>
        <w:t>trained the model. By training the model on two subsets and evaluating its performance on the third subset over three iterations, we selected the best-performing model configuration to fit the 86 gene model.</w:t>
      </w:r>
    </w:p>
    <w:p w14:paraId="0C644A76" w14:textId="073240C0" w:rsidR="00FC58F2" w:rsidRPr="00FC58F2" w:rsidRDefault="00FC58F2" w:rsidP="00FC58F2">
      <w:pPr>
        <w:spacing w:line="480" w:lineRule="auto"/>
        <w:jc w:val="left"/>
        <w:rPr>
          <w:rFonts w:ascii="Times New Roman" w:hAnsi="Times New Roman" w:cs="Times New Roman"/>
          <w:b/>
          <w:bCs/>
          <w:sz w:val="24"/>
        </w:rPr>
      </w:pPr>
      <w:r w:rsidRPr="00FC58F2">
        <w:rPr>
          <w:rFonts w:ascii="Times New Roman" w:hAnsi="Times New Roman" w:cs="Times New Roman"/>
          <w:b/>
          <w:bCs/>
          <w:sz w:val="24"/>
        </w:rPr>
        <w:t>Feature Importance Calculation</w:t>
      </w:r>
    </w:p>
    <w:p w14:paraId="227A60D2" w14:textId="35082CB3" w:rsidR="00887741" w:rsidRPr="00FC58F2" w:rsidRDefault="00FC58F2" w:rsidP="00FC58F2">
      <w:pPr>
        <w:spacing w:line="480" w:lineRule="auto"/>
        <w:ind w:firstLineChars="200" w:firstLine="400"/>
        <w:jc w:val="left"/>
        <w:rPr>
          <w:rFonts w:ascii="Times New Roman" w:hAnsi="Times New Roman" w:cs="Times New Roman"/>
          <w:sz w:val="20"/>
          <w:szCs w:val="20"/>
        </w:rPr>
      </w:pPr>
      <w:r w:rsidRPr="00FC58F2">
        <w:rPr>
          <w:rFonts w:ascii="Times New Roman" w:hAnsi="Times New Roman" w:cs="Times New Roman"/>
          <w:sz w:val="20"/>
          <w:szCs w:val="20"/>
        </w:rPr>
        <w:t xml:space="preserve">Feature importance was computed separately for each model, considering their unique characteristics and underlying assumptions. For the RF model, the "impurity" criterion (Gini index) was used to calculate the total reduction in impurity contributed by each feature, with scores extracted via the </w:t>
      </w:r>
      <w:proofErr w:type="spellStart"/>
      <w:r w:rsidRPr="00FC58F2">
        <w:rPr>
          <w:rFonts w:ascii="Times New Roman" w:hAnsi="Times New Roman" w:cs="Times New Roman"/>
          <w:sz w:val="20"/>
          <w:szCs w:val="20"/>
        </w:rPr>
        <w:t>varImp</w:t>
      </w:r>
      <w:proofErr w:type="spellEnd"/>
      <w:r w:rsidRPr="00FC58F2">
        <w:rPr>
          <w:rFonts w:ascii="Times New Roman" w:hAnsi="Times New Roman" w:cs="Times New Roman"/>
          <w:sz w:val="20"/>
          <w:szCs w:val="20"/>
        </w:rPr>
        <w:t xml:space="preserve"> function. The NNET model's importance was evaluated using </w:t>
      </w:r>
      <w:proofErr w:type="spellStart"/>
      <w:r w:rsidRPr="00FC58F2">
        <w:rPr>
          <w:rFonts w:ascii="Times New Roman" w:hAnsi="Times New Roman" w:cs="Times New Roman"/>
          <w:sz w:val="20"/>
          <w:szCs w:val="20"/>
        </w:rPr>
        <w:t>varImp</w:t>
      </w:r>
      <w:proofErr w:type="spellEnd"/>
      <w:r w:rsidRPr="00FC58F2">
        <w:rPr>
          <w:rFonts w:ascii="Times New Roman" w:hAnsi="Times New Roman" w:cs="Times New Roman"/>
          <w:sz w:val="20"/>
          <w:szCs w:val="20"/>
        </w:rPr>
        <w:t>, which assesses the relative contribution of each feature based on the network's weights and activations. For the</w:t>
      </w:r>
      <w:r>
        <w:rPr>
          <w:rFonts w:ascii="Times New Roman" w:hAnsi="Times New Roman" w:cs="Times New Roman" w:hint="eastAsia"/>
          <w:sz w:val="20"/>
          <w:szCs w:val="20"/>
        </w:rPr>
        <w:t xml:space="preserve"> </w:t>
      </w:r>
      <w:r w:rsidRPr="00FC58F2">
        <w:rPr>
          <w:rFonts w:ascii="Times New Roman" w:hAnsi="Times New Roman" w:cs="Times New Roman"/>
          <w:sz w:val="20"/>
          <w:szCs w:val="20"/>
        </w:rPr>
        <w:t xml:space="preserve">BN, a permutation-based approach was applied: each feature was shuffled individually, and the difference in prediction probabilities before and after shuffling was computed as the feature's importance. The GBM </w:t>
      </w:r>
      <w:proofErr w:type="spellStart"/>
      <w:r w:rsidRPr="00FC58F2">
        <w:rPr>
          <w:rFonts w:ascii="Times New Roman" w:hAnsi="Times New Roman" w:cs="Times New Roman"/>
          <w:sz w:val="20"/>
          <w:szCs w:val="20"/>
        </w:rPr>
        <w:t>model's</w:t>
      </w:r>
      <w:proofErr w:type="spellEnd"/>
      <w:r w:rsidRPr="00FC58F2">
        <w:rPr>
          <w:rFonts w:ascii="Times New Roman" w:hAnsi="Times New Roman" w:cs="Times New Roman"/>
          <w:sz w:val="20"/>
          <w:szCs w:val="20"/>
        </w:rPr>
        <w:t xml:space="preserve"> feature importance was similarly derived using </w:t>
      </w:r>
      <w:proofErr w:type="spellStart"/>
      <w:r w:rsidRPr="00FC58F2">
        <w:rPr>
          <w:rFonts w:ascii="Times New Roman" w:hAnsi="Times New Roman" w:cs="Times New Roman"/>
          <w:sz w:val="20"/>
          <w:szCs w:val="20"/>
        </w:rPr>
        <w:t>varImp</w:t>
      </w:r>
      <w:proofErr w:type="spellEnd"/>
      <w:r w:rsidRPr="00FC58F2">
        <w:rPr>
          <w:rFonts w:ascii="Times New Roman" w:hAnsi="Times New Roman" w:cs="Times New Roman"/>
          <w:sz w:val="20"/>
          <w:szCs w:val="20"/>
        </w:rPr>
        <w:t>, reflecting the contribution of features to reducing the loss function during training. For the Ensemble model, feature importances from the base models were weighted by their respective meta-model coefficients, and a weighted average of normalized importance scores was calculated. To ensure comparability, feature importance scores were normalized to a 0-1 scale, and the mean importance across models was used to rank features.</w:t>
      </w:r>
    </w:p>
    <w:p w14:paraId="3F4C01AD" w14:textId="7EC14C79" w:rsidR="00FC58F2" w:rsidRDefault="00BE76EE">
      <w:pPr>
        <w:pStyle w:val="EndNoteBibliography"/>
        <w:spacing w:line="480" w:lineRule="auto"/>
        <w:ind w:left="482" w:hangingChars="200" w:hanging="482"/>
        <w:rPr>
          <w:rFonts w:ascii="Times New Roman" w:hAnsi="Times New Roman" w:cs="Times New Roman"/>
          <w:b/>
          <w:bCs/>
          <w:sz w:val="24"/>
        </w:rPr>
      </w:pPr>
      <w:r>
        <w:rPr>
          <w:rFonts w:ascii="Times New Roman" w:hAnsi="Times New Roman" w:cs="Times New Roman" w:hint="eastAsia"/>
          <w:b/>
          <w:bCs/>
          <w:sz w:val="24"/>
        </w:rPr>
        <w:t xml:space="preserve">Learning curve </w:t>
      </w:r>
    </w:p>
    <w:p w14:paraId="3735AAA7" w14:textId="458857D7" w:rsidR="00BE76EE" w:rsidRDefault="00BE76EE" w:rsidP="00B84BCD">
      <w:pPr>
        <w:spacing w:line="480" w:lineRule="auto"/>
        <w:ind w:firstLineChars="200" w:firstLine="400"/>
        <w:jc w:val="left"/>
        <w:rPr>
          <w:rFonts w:ascii="Times New Roman" w:hAnsi="Times New Roman" w:cs="Times New Roman"/>
          <w:sz w:val="20"/>
          <w:szCs w:val="20"/>
        </w:rPr>
      </w:pPr>
      <w:r w:rsidRPr="00BE76EE">
        <w:rPr>
          <w:rFonts w:ascii="Times New Roman" w:hAnsi="Times New Roman" w:cs="Times New Roman"/>
          <w:sz w:val="20"/>
          <w:szCs w:val="20"/>
        </w:rPr>
        <w:t>The learning curve was constructed to evaluate the performance of the ensemble model across varying training set sizes. Training and validation datasets were generated by incrementally sampling the training data, with training set sizes ranging from 30% to 70% of the total samples. The ensemble model (ENS) was retrained using the same parameters as in the original model. Model performance was assessed using the Log Loss metric, calculated as:</w:t>
      </w:r>
      <w:r w:rsidR="00B84BCD">
        <w:rPr>
          <w:rFonts w:ascii="Times New Roman" w:hAnsi="Times New Roman" w:cs="Times New Roman" w:hint="eastAsia"/>
          <w:sz w:val="20"/>
          <w:szCs w:val="20"/>
        </w:rPr>
        <w:t xml:space="preserve"> </w:t>
      </w:r>
      <m:oMath>
        <m:r>
          <m:rPr>
            <m:sty m:val="p"/>
          </m:rPr>
          <w:rPr>
            <w:rFonts w:ascii="Cambria Math" w:eastAsia="Cambria Math" w:hAnsi="Cambria Math" w:cs="Times New Roman"/>
            <w:sz w:val="20"/>
            <w:szCs w:val="20"/>
          </w:rPr>
          <m:t>L</m:t>
        </m:r>
        <m:r>
          <w:rPr>
            <w:rFonts w:ascii="Cambria Math" w:hAnsi="Cambria Math" w:cs="Times New Roman"/>
            <w:sz w:val="20"/>
            <w:szCs w:val="20"/>
          </w:rPr>
          <m:t>og loss=-</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nary>
          <m:naryPr>
            <m:chr m:val="∑"/>
            <m:grow m:val="1"/>
            <m:ctrlPr>
              <w:rPr>
                <w:rFonts w:ascii="Cambria Math" w:eastAsia="Cambria Math" w:hAnsi="Cambria Math" w:cs="Times New Roman"/>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r>
              <m:rPr>
                <m:sty m:val="p"/>
              </m:rPr>
              <w:rPr>
                <w:rFonts w:ascii="Cambria Math" w:eastAsia="Cambria Math" w:hAnsi="Cambria Math" w:cs="Times New Roman"/>
                <w:sz w:val="20"/>
                <w:szCs w:val="20"/>
              </w:rPr>
              <m:t>[</m:t>
            </m:r>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y</m:t>
                </m:r>
              </m:e>
              <m:sub>
                <m:r>
                  <w:rPr>
                    <w:rFonts w:ascii="Cambria Math" w:eastAsia="Cambria Math" w:hAnsi="Cambria Math" w:cs="Times New Roman"/>
                    <w:sz w:val="20"/>
                    <w:szCs w:val="20"/>
                  </w:rPr>
                  <m:t>i</m:t>
                </m:r>
              </m:sub>
            </m:sSub>
            <m:func>
              <m:funcPr>
                <m:ctrlPr>
                  <w:rPr>
                    <w:rFonts w:ascii="Cambria Math" w:hAnsi="Cambria Math" w:cs="Times New Roman"/>
                    <w:sz w:val="20"/>
                    <w:szCs w:val="20"/>
                  </w:rPr>
                </m:ctrlPr>
              </m:funcPr>
              <m:fName>
                <m:r>
                  <m:rPr>
                    <m:sty m:val="p"/>
                  </m:rPr>
                  <w:rPr>
                    <w:rFonts w:ascii="Cambria Math" w:hAnsi="Cambria Math" w:cs="Times New Roman"/>
                    <w:sz w:val="20"/>
                    <w:szCs w:val="20"/>
                  </w:rPr>
                  <m:t>log</m:t>
                </m:r>
              </m:fName>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m:t>
                        </m:r>
                      </m:sub>
                    </m:sSub>
                  </m:e>
                </m:d>
              </m:e>
            </m:func>
            <m:r>
              <w:rPr>
                <w:rFonts w:ascii="Cambria Math" w:hAnsi="Cambria Math" w:cs="Times New Roman"/>
                <w:sz w:val="20"/>
                <w:szCs w:val="20"/>
              </w:rPr>
              <m:t>+(1-</m:t>
            </m:r>
            <m:sSub>
              <m:sSubPr>
                <m:ctrlPr>
                  <w:rPr>
                    <w:rFonts w:ascii="Cambria Math" w:eastAsia="Cambria Math" w:hAnsi="Cambria Math" w:cs="Times New Roman"/>
                    <w:sz w:val="20"/>
                    <w:szCs w:val="20"/>
                  </w:rPr>
                </m:ctrlPr>
              </m:sSubPr>
              <m:e>
                <m:r>
                  <w:rPr>
                    <w:rFonts w:ascii="Cambria Math" w:eastAsia="Cambria Math" w:hAnsi="Cambria Math" w:cs="Times New Roman"/>
                    <w:sz w:val="20"/>
                    <w:szCs w:val="20"/>
                  </w:rPr>
                  <m:t>y</m:t>
                </m:r>
              </m:e>
              <m:sub>
                <m:r>
                  <w:rPr>
                    <w:rFonts w:ascii="Cambria Math" w:eastAsia="Cambria Math" w:hAnsi="Cambria Math" w:cs="Times New Roman"/>
                    <w:sz w:val="20"/>
                    <w:szCs w:val="20"/>
                  </w:rPr>
                  <m:t>i</m:t>
                </m:r>
              </m:sub>
            </m:sSub>
            <m:r>
              <w:rPr>
                <w:rFonts w:ascii="Cambria Math" w:hAnsi="Cambria Math" w:cs="Times New Roman"/>
                <w:sz w:val="20"/>
                <w:szCs w:val="20"/>
              </w:rPr>
              <m:t>)</m:t>
            </m:r>
            <m:r>
              <m:rPr>
                <m:sty m:val="p"/>
              </m:rPr>
              <w:rPr>
                <w:rFonts w:ascii="Cambria Math" w:hAnsi="Cambria Math" w:cs="Times New Roman"/>
                <w:sz w:val="20"/>
                <w:szCs w:val="20"/>
              </w:rPr>
              <m:t>log⁡</m:t>
            </m:r>
            <m:r>
              <w:rPr>
                <w:rFonts w:ascii="Cambria Math" w:hAnsi="Cambria Math" w:cs="Times New Roman"/>
                <w:sz w:val="20"/>
                <w:szCs w:val="20"/>
              </w:rPr>
              <m:t>(1-</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m:t>
                </m:r>
              </m:sub>
            </m:sSub>
            <m:r>
              <w:rPr>
                <w:rFonts w:ascii="Cambria Math" w:hAnsi="Cambria Math" w:cs="Times New Roman"/>
                <w:sz w:val="20"/>
                <w:szCs w:val="20"/>
              </w:rPr>
              <m:t>)]</m:t>
            </m:r>
          </m:e>
        </m:nary>
      </m:oMath>
      <w:r w:rsidR="00B84BCD">
        <w:rPr>
          <w:rFonts w:ascii="Times New Roman" w:hAnsi="Times New Roman" w:cs="Times New Roman" w:hint="eastAsia"/>
          <w:sz w:val="20"/>
          <w:szCs w:val="20"/>
        </w:rPr>
        <w:t>,</w:t>
      </w:r>
      <w:r w:rsidRPr="00BE76EE">
        <w:rPr>
          <w:rFonts w:ascii="Times New Roman" w:hAnsi="Times New Roman" w:cs="Times New Roman"/>
          <w:sz w:val="20"/>
          <w:szCs w:val="20"/>
        </w:rPr>
        <w:t>Where</w:t>
      </w:r>
      <w:r>
        <w:rPr>
          <w:rFonts w:ascii="Times New Roman" w:hAnsi="Times New Roman" w:cs="Times New Roman" w:hint="eastAsia"/>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w:r>
        <w:rPr>
          <w:rFonts w:ascii="Times New Roman" w:hAnsi="Times New Roman" w:cs="Times New Roman" w:hint="eastAsia"/>
          <w:sz w:val="20"/>
          <w:szCs w:val="20"/>
        </w:rPr>
        <w:t xml:space="preserve"> </w:t>
      </w:r>
      <w:r w:rsidRPr="00BE76EE">
        <w:rPr>
          <w:rFonts w:ascii="Times New Roman" w:hAnsi="Times New Roman" w:cs="Times New Roman"/>
          <w:sz w:val="20"/>
          <w:szCs w:val="20"/>
        </w:rPr>
        <w:t xml:space="preserve">represents the true class label (1 for RD, 0 for </w:t>
      </w:r>
      <w:proofErr w:type="spellStart"/>
      <w:r w:rsidRPr="00BE76EE">
        <w:rPr>
          <w:rFonts w:ascii="Times New Roman" w:hAnsi="Times New Roman" w:cs="Times New Roman"/>
          <w:sz w:val="20"/>
          <w:szCs w:val="20"/>
        </w:rPr>
        <w:t>pCR</w:t>
      </w:r>
      <w:proofErr w:type="spellEnd"/>
      <w:r w:rsidRPr="00BE76EE">
        <w:rPr>
          <w:rFonts w:ascii="Times New Roman" w:hAnsi="Times New Roman" w:cs="Times New Roman"/>
          <w:sz w:val="20"/>
          <w:szCs w:val="20"/>
        </w:rPr>
        <w:t>) and</w:t>
      </w:r>
      <w:r>
        <w:rPr>
          <w:rFonts w:ascii="Times New Roman" w:hAnsi="Times New Roman" w:cs="Times New Roman" w:hint="eastAsia"/>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i</m:t>
            </m:r>
          </m:sub>
        </m:sSub>
      </m:oMath>
      <w:r>
        <w:rPr>
          <w:rFonts w:ascii="Times New Roman" w:hAnsi="Times New Roman" w:cs="Times New Roman" w:hint="eastAsia"/>
          <w:sz w:val="20"/>
          <w:szCs w:val="20"/>
        </w:rPr>
        <w:t xml:space="preserve"> </w:t>
      </w:r>
      <w:r w:rsidRPr="00BE76EE">
        <w:rPr>
          <w:rFonts w:ascii="Times New Roman" w:hAnsi="Times New Roman" w:cs="Times New Roman"/>
          <w:sz w:val="20"/>
          <w:szCs w:val="20"/>
        </w:rPr>
        <w:t xml:space="preserve">represents the predicted probability for the RD class. </w:t>
      </w:r>
    </w:p>
    <w:p w14:paraId="4135F107" w14:textId="27F4949E" w:rsidR="00BE76EE" w:rsidRDefault="00B84BCD" w:rsidP="00B84BCD">
      <w:pPr>
        <w:spacing w:line="480" w:lineRule="auto"/>
        <w:jc w:val="left"/>
        <w:rPr>
          <w:rFonts w:ascii="Times New Roman" w:hAnsi="Times New Roman" w:cs="Times New Roman"/>
          <w:b/>
          <w:bCs/>
          <w:sz w:val="24"/>
        </w:rPr>
      </w:pPr>
      <w:r>
        <w:rPr>
          <w:rFonts w:ascii="Times New Roman" w:hAnsi="Times New Roman" w:cs="Times New Roman" w:hint="eastAsia"/>
          <w:b/>
          <w:bCs/>
          <w:sz w:val="24"/>
        </w:rPr>
        <w:t>Missing data imputation</w:t>
      </w:r>
    </w:p>
    <w:p w14:paraId="5184E728" w14:textId="73EF2318" w:rsidR="00B84BCD" w:rsidRDefault="00B84BCD" w:rsidP="00B84BCD">
      <w:pPr>
        <w:spacing w:line="480" w:lineRule="auto"/>
        <w:ind w:firstLineChars="200" w:firstLine="400"/>
        <w:jc w:val="left"/>
        <w:rPr>
          <w:rFonts w:ascii="Times New Roman" w:hAnsi="Times New Roman" w:cs="Times New Roman"/>
          <w:sz w:val="20"/>
          <w:szCs w:val="20"/>
        </w:rPr>
      </w:pPr>
      <w:r w:rsidRPr="00B84BCD">
        <w:rPr>
          <w:rFonts w:ascii="Times New Roman" w:hAnsi="Times New Roman" w:cs="Times New Roman"/>
          <w:sz w:val="20"/>
          <w:szCs w:val="20"/>
        </w:rPr>
        <w:lastRenderedPageBreak/>
        <w:t xml:space="preserve">To evaluate the robustness of the ENS against missing data, 5% of the numeric features in the datasets were randomly replaced with missing values. Two imputation methods were applied: median imputation, where missing values were replaced by the median of each feature, and </w:t>
      </w:r>
      <w:proofErr w:type="spellStart"/>
      <w:r w:rsidRPr="00B84BCD">
        <w:rPr>
          <w:rFonts w:ascii="Times New Roman" w:hAnsi="Times New Roman" w:cs="Times New Roman"/>
          <w:sz w:val="20"/>
          <w:szCs w:val="20"/>
        </w:rPr>
        <w:t>kNN</w:t>
      </w:r>
      <w:proofErr w:type="spellEnd"/>
      <w:r w:rsidRPr="00B84BCD">
        <w:rPr>
          <w:rFonts w:ascii="Times New Roman" w:hAnsi="Times New Roman" w:cs="Times New Roman"/>
          <w:sz w:val="20"/>
          <w:szCs w:val="20"/>
        </w:rPr>
        <w:t xml:space="preserve"> imputation, which utilized weighted averages of the nearest neighbors. After imputation, all datasets were scaled using the mean and standard deviation of the training data. The ENS model, trained on the complete dataset, was used to predict response probabilities for both the original and imputed datasets.</w:t>
      </w:r>
    </w:p>
    <w:p w14:paraId="7C1497B7" w14:textId="77777777" w:rsidR="001D7B71" w:rsidRDefault="001D7B71">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9A6C84E" w14:textId="7920D83D" w:rsidR="00B84BCD" w:rsidRDefault="001D7B71" w:rsidP="008C3A7B">
      <w:pPr>
        <w:spacing w:line="480" w:lineRule="auto"/>
        <w:jc w:val="left"/>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6859514" wp14:editId="56E5B94B">
            <wp:extent cx="6263640" cy="4134485"/>
            <wp:effectExtent l="0" t="0" r="3810" b="0"/>
            <wp:docPr id="3" name="图片 3"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条形图&#10;&#10;AI 生成的内容可能不正确。"/>
                    <pic:cNvPicPr/>
                  </pic:nvPicPr>
                  <pic:blipFill>
                    <a:blip r:embed="rId7"/>
                    <a:stretch>
                      <a:fillRect/>
                    </a:stretch>
                  </pic:blipFill>
                  <pic:spPr>
                    <a:xfrm>
                      <a:off x="0" y="0"/>
                      <a:ext cx="6263640" cy="4134485"/>
                    </a:xfrm>
                    <a:prstGeom prst="rect">
                      <a:avLst/>
                    </a:prstGeom>
                  </pic:spPr>
                </pic:pic>
              </a:graphicData>
            </a:graphic>
          </wp:inline>
        </w:drawing>
      </w:r>
    </w:p>
    <w:p w14:paraId="15C089FA" w14:textId="115A76C4" w:rsidR="001D7B71" w:rsidRDefault="001D7B71" w:rsidP="008C3A7B">
      <w:pPr>
        <w:spacing w:line="480" w:lineRule="auto"/>
        <w:jc w:val="left"/>
        <w:rPr>
          <w:rFonts w:ascii="Times New Roman" w:hAnsi="Times New Roman" w:cs="Times New Roman"/>
          <w:sz w:val="24"/>
        </w:rPr>
      </w:pPr>
      <w:r w:rsidRPr="001D7B71">
        <w:rPr>
          <w:rFonts w:ascii="Times New Roman" w:hAnsi="Times New Roman" w:cs="Times New Roman"/>
          <w:b/>
          <w:bCs/>
          <w:sz w:val="24"/>
        </w:rPr>
        <w:t>Fig. S1</w:t>
      </w:r>
      <w:r>
        <w:rPr>
          <w:rFonts w:ascii="Times New Roman" w:hAnsi="Times New Roman" w:cs="Times New Roman" w:hint="eastAsia"/>
          <w:sz w:val="20"/>
          <w:szCs w:val="20"/>
        </w:rPr>
        <w:t xml:space="preserve"> </w:t>
      </w:r>
      <w:r w:rsidRPr="001D7B71">
        <w:rPr>
          <w:rFonts w:ascii="Times New Roman" w:hAnsi="Times New Roman" w:cs="Times New Roman"/>
          <w:sz w:val="24"/>
        </w:rPr>
        <w:t xml:space="preserve">Expression heatmap of the eight key genes in </w:t>
      </w:r>
      <w:proofErr w:type="spellStart"/>
      <w:r w:rsidRPr="001D7B71">
        <w:rPr>
          <w:rFonts w:ascii="Times New Roman" w:hAnsi="Times New Roman" w:cs="Times New Roman"/>
          <w:sz w:val="24"/>
        </w:rPr>
        <w:t>pCR</w:t>
      </w:r>
      <w:proofErr w:type="spellEnd"/>
      <w:r w:rsidRPr="001D7B71">
        <w:rPr>
          <w:rFonts w:ascii="Times New Roman" w:hAnsi="Times New Roman" w:cs="Times New Roman"/>
          <w:sz w:val="24"/>
        </w:rPr>
        <w:t xml:space="preserve"> and RD patients</w:t>
      </w:r>
    </w:p>
    <w:p w14:paraId="286C7DDA" w14:textId="62EFE440" w:rsidR="001D7B71" w:rsidRDefault="001D7B71" w:rsidP="001D7B71">
      <w:pPr>
        <w:spacing w:line="480" w:lineRule="auto"/>
        <w:ind w:firstLineChars="200" w:firstLine="400"/>
        <w:jc w:val="left"/>
        <w:rPr>
          <w:rFonts w:ascii="Times New Roman" w:hAnsi="Times New Roman" w:cs="Times New Roman"/>
          <w:sz w:val="20"/>
          <w:szCs w:val="20"/>
        </w:rPr>
      </w:pPr>
      <w:r w:rsidRPr="001D7B71">
        <w:rPr>
          <w:rFonts w:ascii="Times New Roman" w:hAnsi="Times New Roman" w:cs="Times New Roman"/>
          <w:sz w:val="20"/>
          <w:szCs w:val="20"/>
        </w:rPr>
        <w:t xml:space="preserve">Expression patterns of CCND1, DCTN3, FEN1, GMNN, H2BC9, ILF2, PMF1, and SKA1 in patients with </w:t>
      </w:r>
      <w:proofErr w:type="spellStart"/>
      <w:r w:rsidRPr="001D7B71">
        <w:rPr>
          <w:rFonts w:ascii="Times New Roman" w:hAnsi="Times New Roman" w:cs="Times New Roman"/>
          <w:sz w:val="20"/>
          <w:szCs w:val="20"/>
        </w:rPr>
        <w:t>pCR</w:t>
      </w:r>
      <w:proofErr w:type="spellEnd"/>
      <w:r w:rsidRPr="001D7B71">
        <w:rPr>
          <w:rFonts w:ascii="Times New Roman" w:hAnsi="Times New Roman" w:cs="Times New Roman"/>
          <w:sz w:val="20"/>
          <w:szCs w:val="20"/>
        </w:rPr>
        <w:t xml:space="preserve"> (orange) and RD (teal) following NACT. </w:t>
      </w:r>
    </w:p>
    <w:p w14:paraId="424D4207" w14:textId="1A84B703" w:rsidR="008C3A7B" w:rsidRDefault="008C3A7B" w:rsidP="008C3A7B">
      <w:pPr>
        <w:spacing w:line="480" w:lineRule="auto"/>
        <w:jc w:val="left"/>
        <w:rPr>
          <w:rFonts w:ascii="Times New Roman" w:hAnsi="Times New Roman" w:cs="Times New Roman"/>
          <w:sz w:val="20"/>
          <w:szCs w:val="20"/>
        </w:rPr>
      </w:pPr>
      <w:r>
        <w:rPr>
          <w:rFonts w:ascii="Times New Roman" w:hAnsi="Times New Roman" w:cs="Times New Roman" w:hint="eastAsia"/>
          <w:noProof/>
          <w:sz w:val="20"/>
          <w:szCs w:val="20"/>
        </w:rPr>
        <w:lastRenderedPageBreak/>
        <w:drawing>
          <wp:inline distT="0" distB="0" distL="0" distR="0" wp14:anchorId="537A72A3" wp14:editId="21B54F97">
            <wp:extent cx="6013704" cy="6013704"/>
            <wp:effectExtent l="0" t="0" r="635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a:stretch>
                      <a:fillRect/>
                    </a:stretch>
                  </pic:blipFill>
                  <pic:spPr>
                    <a:xfrm>
                      <a:off x="0" y="0"/>
                      <a:ext cx="6013704" cy="6013704"/>
                    </a:xfrm>
                    <a:prstGeom prst="rect">
                      <a:avLst/>
                    </a:prstGeom>
                  </pic:spPr>
                </pic:pic>
              </a:graphicData>
            </a:graphic>
          </wp:inline>
        </w:drawing>
      </w:r>
    </w:p>
    <w:p w14:paraId="2D2CF7A1" w14:textId="3CDEBE91" w:rsidR="008C3A7B" w:rsidRDefault="008C3A7B" w:rsidP="008C3A7B">
      <w:pPr>
        <w:spacing w:line="480" w:lineRule="auto"/>
        <w:jc w:val="left"/>
        <w:rPr>
          <w:rFonts w:ascii="Times New Roman" w:hAnsi="Times New Roman" w:cs="Times New Roman"/>
          <w:sz w:val="24"/>
        </w:rPr>
      </w:pPr>
      <w:r>
        <w:rPr>
          <w:rFonts w:ascii="Times New Roman" w:hAnsi="Times New Roman" w:cs="Times New Roman"/>
          <w:b/>
          <w:bCs/>
          <w:sz w:val="24"/>
        </w:rPr>
        <w:t>Fig. S</w:t>
      </w:r>
      <w:r w:rsidR="001D7B71">
        <w:rPr>
          <w:rFonts w:ascii="Times New Roman" w:hAnsi="Times New Roman" w:cs="Times New Roman" w:hint="eastAsia"/>
          <w:b/>
          <w:bCs/>
          <w:sz w:val="24"/>
        </w:rPr>
        <w:t>2</w:t>
      </w:r>
      <w:r>
        <w:rPr>
          <w:rFonts w:ascii="Times New Roman" w:hAnsi="Times New Roman" w:cs="Times New Roman" w:hint="eastAsia"/>
          <w:b/>
          <w:bCs/>
          <w:sz w:val="24"/>
        </w:rPr>
        <w:t xml:space="preserve"> </w:t>
      </w:r>
      <w:r w:rsidRPr="008C3A7B">
        <w:rPr>
          <w:rFonts w:ascii="Times New Roman" w:hAnsi="Times New Roman" w:cs="Times New Roman"/>
          <w:sz w:val="24"/>
        </w:rPr>
        <w:t xml:space="preserve">Key </w:t>
      </w:r>
      <w:r>
        <w:rPr>
          <w:rFonts w:ascii="Times New Roman" w:hAnsi="Times New Roman" w:cs="Times New Roman" w:hint="eastAsia"/>
          <w:sz w:val="24"/>
        </w:rPr>
        <w:t>g</w:t>
      </w:r>
      <w:r w:rsidRPr="008C3A7B">
        <w:rPr>
          <w:rFonts w:ascii="Times New Roman" w:hAnsi="Times New Roman" w:cs="Times New Roman"/>
          <w:sz w:val="24"/>
        </w:rPr>
        <w:t>ene</w:t>
      </w:r>
      <w:r>
        <w:rPr>
          <w:rFonts w:ascii="Times New Roman" w:hAnsi="Times New Roman" w:cs="Times New Roman" w:hint="eastAsia"/>
          <w:sz w:val="24"/>
        </w:rPr>
        <w:t>s</w:t>
      </w:r>
      <w:r w:rsidRPr="008C3A7B">
        <w:rPr>
          <w:rFonts w:ascii="Times New Roman" w:hAnsi="Times New Roman" w:cs="Times New Roman"/>
          <w:sz w:val="24"/>
        </w:rPr>
        <w:t xml:space="preserve"> PPI </w:t>
      </w:r>
      <w:r>
        <w:rPr>
          <w:rFonts w:ascii="Times New Roman" w:hAnsi="Times New Roman" w:cs="Times New Roman" w:hint="eastAsia"/>
          <w:sz w:val="24"/>
        </w:rPr>
        <w:t>n</w:t>
      </w:r>
      <w:r w:rsidRPr="008C3A7B">
        <w:rPr>
          <w:rFonts w:ascii="Times New Roman" w:hAnsi="Times New Roman" w:cs="Times New Roman"/>
          <w:sz w:val="24"/>
        </w:rPr>
        <w:t xml:space="preserve">etwork </w:t>
      </w:r>
      <w:r>
        <w:rPr>
          <w:rFonts w:ascii="Times New Roman" w:hAnsi="Times New Roman" w:cs="Times New Roman" w:hint="eastAsia"/>
          <w:sz w:val="24"/>
        </w:rPr>
        <w:t>a</w:t>
      </w:r>
      <w:r w:rsidRPr="008C3A7B">
        <w:rPr>
          <w:rFonts w:ascii="Times New Roman" w:hAnsi="Times New Roman" w:cs="Times New Roman"/>
          <w:sz w:val="24"/>
        </w:rPr>
        <w:t xml:space="preserve">nalysis and </w:t>
      </w:r>
      <w:r>
        <w:rPr>
          <w:rFonts w:ascii="Times New Roman" w:hAnsi="Times New Roman" w:cs="Times New Roman" w:hint="eastAsia"/>
          <w:sz w:val="24"/>
        </w:rPr>
        <w:t>f</w:t>
      </w:r>
      <w:r w:rsidRPr="008C3A7B">
        <w:rPr>
          <w:rFonts w:ascii="Times New Roman" w:hAnsi="Times New Roman" w:cs="Times New Roman"/>
          <w:sz w:val="24"/>
        </w:rPr>
        <w:t xml:space="preserve">unctional </w:t>
      </w:r>
      <w:r>
        <w:rPr>
          <w:rFonts w:ascii="Times New Roman" w:hAnsi="Times New Roman" w:cs="Times New Roman" w:hint="eastAsia"/>
          <w:sz w:val="24"/>
        </w:rPr>
        <w:t>a</w:t>
      </w:r>
      <w:r w:rsidRPr="008C3A7B">
        <w:rPr>
          <w:rFonts w:ascii="Times New Roman" w:hAnsi="Times New Roman" w:cs="Times New Roman"/>
          <w:sz w:val="24"/>
        </w:rPr>
        <w:t xml:space="preserve">nnotation </w:t>
      </w:r>
      <w:r>
        <w:rPr>
          <w:rFonts w:ascii="Times New Roman" w:hAnsi="Times New Roman" w:cs="Times New Roman" w:hint="eastAsia"/>
          <w:sz w:val="24"/>
        </w:rPr>
        <w:t>r</w:t>
      </w:r>
      <w:r w:rsidRPr="008C3A7B">
        <w:rPr>
          <w:rFonts w:ascii="Times New Roman" w:hAnsi="Times New Roman" w:cs="Times New Roman"/>
          <w:sz w:val="24"/>
        </w:rPr>
        <w:t xml:space="preserve">elated to </w:t>
      </w:r>
      <w:r>
        <w:rPr>
          <w:rFonts w:ascii="Times New Roman" w:hAnsi="Times New Roman" w:cs="Times New Roman" w:hint="eastAsia"/>
          <w:sz w:val="24"/>
        </w:rPr>
        <w:t>c</w:t>
      </w:r>
      <w:r w:rsidRPr="008C3A7B">
        <w:rPr>
          <w:rFonts w:ascii="Times New Roman" w:hAnsi="Times New Roman" w:cs="Times New Roman"/>
          <w:sz w:val="24"/>
        </w:rPr>
        <w:t xml:space="preserve">hemotherapy </w:t>
      </w:r>
      <w:r>
        <w:rPr>
          <w:rFonts w:ascii="Times New Roman" w:hAnsi="Times New Roman" w:cs="Times New Roman" w:hint="eastAsia"/>
          <w:sz w:val="24"/>
        </w:rPr>
        <w:t>r</w:t>
      </w:r>
      <w:r w:rsidRPr="008C3A7B">
        <w:rPr>
          <w:rFonts w:ascii="Times New Roman" w:hAnsi="Times New Roman" w:cs="Times New Roman"/>
          <w:sz w:val="24"/>
        </w:rPr>
        <w:t>esponse</w:t>
      </w:r>
    </w:p>
    <w:p w14:paraId="17CB5545" w14:textId="155E8E15" w:rsidR="008C3A7B" w:rsidRPr="00BE76EE" w:rsidRDefault="008C3A7B" w:rsidP="008C3A7B">
      <w:pPr>
        <w:spacing w:line="480" w:lineRule="auto"/>
        <w:ind w:firstLineChars="200" w:firstLine="400"/>
        <w:jc w:val="left"/>
        <w:rPr>
          <w:rFonts w:ascii="Times New Roman" w:hAnsi="Times New Roman" w:cs="Times New Roman"/>
          <w:sz w:val="20"/>
          <w:szCs w:val="20"/>
        </w:rPr>
      </w:pPr>
      <w:r w:rsidRPr="008C3A7B">
        <w:rPr>
          <w:rFonts w:ascii="Times New Roman" w:hAnsi="Times New Roman" w:cs="Times New Roman"/>
          <w:sz w:val="20"/>
          <w:szCs w:val="20"/>
        </w:rPr>
        <w:t>The network highlights key genes involved in chemotherapy response</w:t>
      </w:r>
      <w:r w:rsidR="00AD550F">
        <w:rPr>
          <w:rFonts w:ascii="Times New Roman" w:hAnsi="Times New Roman" w:cs="Times New Roman" w:hint="eastAsia"/>
          <w:sz w:val="20"/>
          <w:szCs w:val="20"/>
        </w:rPr>
        <w:t>.</w:t>
      </w:r>
      <w:r w:rsidRPr="008C3A7B">
        <w:rPr>
          <w:rFonts w:ascii="Times New Roman" w:hAnsi="Times New Roman" w:cs="Times New Roman"/>
          <w:sz w:val="20"/>
          <w:szCs w:val="20"/>
        </w:rPr>
        <w:t xml:space="preserve"> </w:t>
      </w:r>
      <w:r w:rsidR="00AD550F" w:rsidRPr="00AD550F">
        <w:rPr>
          <w:rFonts w:ascii="Times New Roman" w:hAnsi="Times New Roman" w:cs="Times New Roman"/>
          <w:sz w:val="20"/>
          <w:szCs w:val="20"/>
        </w:rPr>
        <w:t>Nodes are colored based on their interactions with different key genes, and functional annotations are derived from GO analysis. Edges indicate protein-protein interactions</w:t>
      </w:r>
      <w:r w:rsidRPr="008C3A7B">
        <w:rPr>
          <w:rFonts w:ascii="Times New Roman" w:hAnsi="Times New Roman" w:cs="Times New Roman"/>
          <w:sz w:val="20"/>
          <w:szCs w:val="20"/>
        </w:rPr>
        <w:t>.</w:t>
      </w:r>
    </w:p>
    <w:p w14:paraId="4BE127A3" w14:textId="4982B248" w:rsidR="00887741" w:rsidRDefault="001D7B71">
      <w:pPr>
        <w:pStyle w:val="EndNoteBibliography"/>
        <w:spacing w:line="480" w:lineRule="auto"/>
        <w:ind w:left="482" w:hangingChars="200" w:hanging="482"/>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35FE4E5F" wp14:editId="1ADAEF57">
            <wp:extent cx="6260592" cy="8342376"/>
            <wp:effectExtent l="0" t="0" r="6985" b="1905"/>
            <wp:docPr id="4" name="图片 4"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10;&#10;AI 生成的内容可能不正确。"/>
                    <pic:cNvPicPr/>
                  </pic:nvPicPr>
                  <pic:blipFill>
                    <a:blip r:embed="rId9"/>
                    <a:stretch>
                      <a:fillRect/>
                    </a:stretch>
                  </pic:blipFill>
                  <pic:spPr>
                    <a:xfrm>
                      <a:off x="0" y="0"/>
                      <a:ext cx="6260592" cy="8342376"/>
                    </a:xfrm>
                    <a:prstGeom prst="rect">
                      <a:avLst/>
                    </a:prstGeom>
                  </pic:spPr>
                </pic:pic>
              </a:graphicData>
            </a:graphic>
          </wp:inline>
        </w:drawing>
      </w:r>
    </w:p>
    <w:p w14:paraId="17BA7FC5" w14:textId="52ED3309" w:rsidR="00887741" w:rsidRDefault="00000000">
      <w:pPr>
        <w:pStyle w:val="EndNoteBibliography"/>
        <w:spacing w:line="480" w:lineRule="auto"/>
        <w:ind w:left="482" w:hangingChars="200" w:hanging="482"/>
        <w:rPr>
          <w:rFonts w:ascii="Times New Roman" w:hAnsi="Times New Roman" w:cs="Times New Roman"/>
          <w:sz w:val="24"/>
        </w:rPr>
      </w:pPr>
      <w:r>
        <w:rPr>
          <w:rFonts w:ascii="Times New Roman" w:hAnsi="Times New Roman" w:cs="Times New Roman"/>
          <w:b/>
          <w:bCs/>
          <w:sz w:val="24"/>
        </w:rPr>
        <w:lastRenderedPageBreak/>
        <w:t>Fig. S</w:t>
      </w:r>
      <w:r w:rsidR="001D7B71">
        <w:rPr>
          <w:rFonts w:ascii="Times New Roman" w:hAnsi="Times New Roman" w:cs="Times New Roman" w:hint="eastAsia"/>
          <w:b/>
          <w:bCs/>
          <w:sz w:val="24"/>
        </w:rPr>
        <w:t>3</w:t>
      </w:r>
      <w:r>
        <w:rPr>
          <w:rFonts w:ascii="Times New Roman" w:hAnsi="Times New Roman" w:cs="Times New Roman"/>
          <w:b/>
          <w:bCs/>
          <w:sz w:val="24"/>
        </w:rPr>
        <w:t xml:space="preserve"> </w:t>
      </w:r>
      <w:r>
        <w:rPr>
          <w:rFonts w:ascii="Times New Roman" w:hAnsi="Times New Roman" w:cs="Times New Roman" w:hint="eastAsia"/>
          <w:sz w:val="24"/>
        </w:rPr>
        <w:t>Evaluation and interpretation of the ENS</w:t>
      </w:r>
    </w:p>
    <w:p w14:paraId="68C45D17" w14:textId="4F395B07" w:rsidR="00887741" w:rsidRDefault="005A49FA">
      <w:pPr>
        <w:pStyle w:val="EndNoteBibliography"/>
        <w:spacing w:line="480" w:lineRule="auto"/>
        <w:ind w:firstLineChars="200" w:firstLine="402"/>
        <w:rPr>
          <w:rFonts w:ascii="Times New Roman" w:hAnsi="Times New Roman" w:cs="Times New Roman"/>
          <w:szCs w:val="20"/>
        </w:rPr>
      </w:pPr>
      <w:proofErr w:type="gramStart"/>
      <w:r>
        <w:rPr>
          <w:rFonts w:ascii="Times New Roman" w:hAnsi="Times New Roman" w:cs="Times New Roman" w:hint="eastAsia"/>
          <w:b/>
          <w:bCs/>
          <w:szCs w:val="20"/>
        </w:rPr>
        <w:t>A</w:t>
      </w:r>
      <w:proofErr w:type="gramEnd"/>
      <w:r>
        <w:rPr>
          <w:rFonts w:ascii="Times New Roman" w:hAnsi="Times New Roman" w:cs="Times New Roman" w:hint="eastAsia"/>
          <w:b/>
          <w:bCs/>
          <w:szCs w:val="20"/>
        </w:rPr>
        <w:t xml:space="preserve"> </w:t>
      </w:r>
      <w:r w:rsidRPr="005A49FA">
        <w:rPr>
          <w:rFonts w:ascii="Times New Roman" w:hAnsi="Times New Roman" w:cs="Times New Roman"/>
          <w:szCs w:val="20"/>
        </w:rPr>
        <w:t>AUC across 10-fold cross-validation folds, demonstrating model stability.</w:t>
      </w:r>
      <w:r>
        <w:rPr>
          <w:rFonts w:ascii="Times New Roman" w:hAnsi="Times New Roman" w:cs="Times New Roman" w:hint="eastAsia"/>
          <w:b/>
          <w:bCs/>
          <w:szCs w:val="20"/>
        </w:rPr>
        <w:t xml:space="preserve"> B</w:t>
      </w:r>
      <w:r w:rsidR="003E36AA">
        <w:rPr>
          <w:rFonts w:ascii="Times New Roman" w:hAnsi="Times New Roman" w:cs="Times New Roman" w:hint="eastAsia"/>
          <w:b/>
          <w:bCs/>
          <w:szCs w:val="20"/>
        </w:rPr>
        <w:t xml:space="preserve"> </w:t>
      </w:r>
      <w:r w:rsidR="003E36AA" w:rsidRPr="003E36AA">
        <w:rPr>
          <w:rFonts w:ascii="Times New Roman" w:hAnsi="Times New Roman" w:cs="Times New Roman"/>
          <w:szCs w:val="20"/>
        </w:rPr>
        <w:t>Comparison of 10-fold cross-validation and leave-one-out cross-validation AUCs across the three datasets.</w:t>
      </w:r>
      <w:r w:rsidR="001D7B71">
        <w:rPr>
          <w:rFonts w:ascii="Times New Roman" w:hAnsi="Times New Roman" w:cs="Times New Roman" w:hint="eastAsia"/>
          <w:b/>
          <w:bCs/>
          <w:szCs w:val="20"/>
        </w:rPr>
        <w:t xml:space="preserve"> C</w:t>
      </w:r>
      <w:r>
        <w:rPr>
          <w:rFonts w:ascii="Times New Roman" w:hAnsi="Times New Roman" w:cs="Times New Roman" w:hint="eastAsia"/>
          <w:b/>
          <w:bCs/>
          <w:szCs w:val="20"/>
        </w:rPr>
        <w:t xml:space="preserve"> </w:t>
      </w:r>
      <w:r w:rsidRPr="005A49FA">
        <w:rPr>
          <w:rFonts w:ascii="Times New Roman" w:hAnsi="Times New Roman" w:cs="Times New Roman"/>
          <w:szCs w:val="20"/>
        </w:rPr>
        <w:t>Effect of data split percentage on AUC performance for three datasets.</w:t>
      </w:r>
      <w:r>
        <w:rPr>
          <w:rFonts w:ascii="Times New Roman" w:hAnsi="Times New Roman" w:cs="Times New Roman" w:hint="eastAsia"/>
          <w:b/>
          <w:bCs/>
          <w:szCs w:val="20"/>
        </w:rPr>
        <w:t xml:space="preserve"> </w:t>
      </w:r>
      <w:r w:rsidR="001D7B71">
        <w:rPr>
          <w:rFonts w:ascii="Times New Roman" w:hAnsi="Times New Roman" w:cs="Times New Roman" w:hint="eastAsia"/>
          <w:b/>
          <w:bCs/>
          <w:szCs w:val="20"/>
        </w:rPr>
        <w:t>D</w:t>
      </w:r>
      <w:r w:rsidR="00917661">
        <w:rPr>
          <w:rFonts w:ascii="Times New Roman" w:hAnsi="Times New Roman" w:cs="Times New Roman"/>
          <w:szCs w:val="20"/>
        </w:rPr>
        <w:t xml:space="preserve"> </w:t>
      </w:r>
      <w:r w:rsidR="00917661">
        <w:rPr>
          <w:rFonts w:ascii="Times New Roman" w:hAnsi="Times New Roman" w:cs="Times New Roman" w:hint="eastAsia"/>
          <w:szCs w:val="20"/>
        </w:rPr>
        <w:t>PR curve demonstrates the overall performance of the ENS across in the three data sets. The x-axis represents recall, and the y-axis represents precision</w:t>
      </w:r>
      <w:r w:rsidR="00917661">
        <w:rPr>
          <w:rFonts w:ascii="Times New Roman" w:hAnsi="Times New Roman" w:cs="Times New Roman"/>
          <w:szCs w:val="20"/>
        </w:rPr>
        <w:t xml:space="preserve">. </w:t>
      </w:r>
      <w:r w:rsidR="001D7B71">
        <w:rPr>
          <w:rFonts w:ascii="Times New Roman" w:hAnsi="Times New Roman" w:cs="Times New Roman" w:hint="eastAsia"/>
          <w:b/>
          <w:bCs/>
          <w:szCs w:val="20"/>
        </w:rPr>
        <w:t>E</w:t>
      </w:r>
      <w:r w:rsidR="00917661">
        <w:rPr>
          <w:rFonts w:ascii="Times New Roman" w:hAnsi="Times New Roman" w:cs="Times New Roman" w:hint="eastAsia"/>
          <w:szCs w:val="20"/>
        </w:rPr>
        <w:t xml:space="preserve"> </w:t>
      </w:r>
      <w:r w:rsidR="00917661" w:rsidRPr="00917661">
        <w:rPr>
          <w:rFonts w:ascii="Times New Roman" w:hAnsi="Times New Roman" w:cs="Times New Roman"/>
          <w:szCs w:val="20"/>
        </w:rPr>
        <w:t>Prediction probability distribution of the ENS across the three datasets, showing consistent patterns and generalization capability.</w:t>
      </w:r>
      <w:r w:rsidR="00917661">
        <w:rPr>
          <w:rFonts w:ascii="Times New Roman" w:hAnsi="Times New Roman" w:cs="Times New Roman" w:hint="eastAsia"/>
          <w:szCs w:val="20"/>
        </w:rPr>
        <w:t xml:space="preserve"> </w:t>
      </w:r>
      <w:r w:rsidR="001D7B71">
        <w:rPr>
          <w:rFonts w:ascii="Times New Roman" w:hAnsi="Times New Roman" w:cs="Times New Roman" w:hint="eastAsia"/>
          <w:b/>
          <w:bCs/>
          <w:szCs w:val="20"/>
        </w:rPr>
        <w:t>F</w:t>
      </w:r>
      <w:r w:rsidR="00917661">
        <w:rPr>
          <w:rFonts w:ascii="Times New Roman" w:hAnsi="Times New Roman" w:cs="Times New Roman" w:hint="eastAsia"/>
          <w:szCs w:val="20"/>
        </w:rPr>
        <w:t xml:space="preserve"> </w:t>
      </w:r>
      <w:r w:rsidR="00917661" w:rsidRPr="00917661">
        <w:rPr>
          <w:rFonts w:ascii="Times New Roman" w:hAnsi="Times New Roman" w:cs="Times New Roman"/>
          <w:szCs w:val="20"/>
        </w:rPr>
        <w:t>Learning curve of the ENS, demonstrating decreasing and stabilizing log loss with increasing training sample size.</w:t>
      </w:r>
      <w:r w:rsidR="00917661">
        <w:rPr>
          <w:rFonts w:ascii="Times New Roman" w:hAnsi="Times New Roman" w:cs="Times New Roman" w:hint="eastAsia"/>
          <w:szCs w:val="20"/>
        </w:rPr>
        <w:t xml:space="preserve"> </w:t>
      </w:r>
      <w:r w:rsidR="001D7B71">
        <w:rPr>
          <w:rFonts w:ascii="Times New Roman" w:hAnsi="Times New Roman" w:cs="Times New Roman" w:hint="eastAsia"/>
          <w:b/>
          <w:bCs/>
          <w:szCs w:val="20"/>
        </w:rPr>
        <w:t>G</w:t>
      </w:r>
      <w:r w:rsidR="00917661">
        <w:rPr>
          <w:rFonts w:ascii="Times New Roman" w:hAnsi="Times New Roman" w:cs="Times New Roman" w:hint="eastAsia"/>
          <w:szCs w:val="20"/>
        </w:rPr>
        <w:t xml:space="preserve"> </w:t>
      </w:r>
      <w:r w:rsidR="00917661" w:rsidRPr="00917661">
        <w:rPr>
          <w:rFonts w:ascii="Times New Roman" w:hAnsi="Times New Roman" w:cs="Times New Roman"/>
          <w:szCs w:val="20"/>
        </w:rPr>
        <w:t>AUC comparison after simulated missing data, showing predictions with median and KNN imputation remain close to the original results.</w:t>
      </w:r>
      <w:r w:rsidR="00917661">
        <w:rPr>
          <w:rFonts w:ascii="Times New Roman" w:hAnsi="Times New Roman" w:cs="Times New Roman" w:hint="eastAsia"/>
          <w:szCs w:val="20"/>
        </w:rPr>
        <w:t xml:space="preserve"> </w:t>
      </w:r>
      <w:r w:rsidR="001D7B71">
        <w:rPr>
          <w:rFonts w:ascii="Times New Roman" w:hAnsi="Times New Roman" w:cs="Times New Roman" w:hint="eastAsia"/>
          <w:b/>
          <w:bCs/>
          <w:szCs w:val="20"/>
        </w:rPr>
        <w:t>H</w:t>
      </w:r>
      <w:r w:rsidR="00917661">
        <w:rPr>
          <w:rFonts w:ascii="Times New Roman" w:hAnsi="Times New Roman" w:cs="Times New Roman"/>
          <w:szCs w:val="20"/>
        </w:rPr>
        <w:t xml:space="preserve"> </w:t>
      </w:r>
      <w:r w:rsidR="00917661">
        <w:rPr>
          <w:rFonts w:ascii="Times New Roman" w:hAnsi="Times New Roman" w:cs="Times New Roman" w:hint="eastAsia"/>
          <w:szCs w:val="20"/>
        </w:rPr>
        <w:t>Feature importance ranking for the ENS.</w:t>
      </w:r>
      <w:r w:rsidR="00917661">
        <w:rPr>
          <w:rFonts w:ascii="Times New Roman" w:hAnsi="Times New Roman" w:cs="Times New Roman"/>
          <w:szCs w:val="20"/>
        </w:rPr>
        <w:t xml:space="preserve"> </w:t>
      </w:r>
      <w:r w:rsidR="001D7B71">
        <w:rPr>
          <w:rFonts w:ascii="Times New Roman" w:hAnsi="Times New Roman" w:cs="Times New Roman" w:hint="eastAsia"/>
          <w:b/>
          <w:bCs/>
          <w:szCs w:val="20"/>
        </w:rPr>
        <w:t>I</w:t>
      </w:r>
      <w:r w:rsidR="00917661">
        <w:rPr>
          <w:rFonts w:ascii="Times New Roman" w:hAnsi="Times New Roman" w:cs="Times New Roman"/>
          <w:szCs w:val="20"/>
        </w:rPr>
        <w:t xml:space="preserve"> </w:t>
      </w:r>
      <w:r w:rsidR="00917661">
        <w:rPr>
          <w:rFonts w:ascii="Times New Roman" w:hAnsi="Times New Roman" w:cs="Times New Roman" w:hint="eastAsia"/>
          <w:szCs w:val="20"/>
        </w:rPr>
        <w:t>The horizontal bar chart shows the weights of different base models in the ENS.</w:t>
      </w:r>
      <w:r w:rsidR="001D7B71">
        <w:rPr>
          <w:rFonts w:ascii="Times New Roman" w:hAnsi="Times New Roman" w:cs="Times New Roman" w:hint="eastAsia"/>
          <w:szCs w:val="20"/>
        </w:rPr>
        <w:t xml:space="preserve"> </w:t>
      </w:r>
      <w:r w:rsidR="001D7B71">
        <w:rPr>
          <w:rFonts w:ascii="Times New Roman" w:hAnsi="Times New Roman" w:cs="Times New Roman" w:hint="eastAsia"/>
          <w:b/>
          <w:bCs/>
          <w:szCs w:val="20"/>
        </w:rPr>
        <w:t xml:space="preserve">J </w:t>
      </w:r>
      <w:r w:rsidR="003E36AA" w:rsidRPr="003E36AA">
        <w:rPr>
          <w:rFonts w:ascii="Times New Roman" w:hAnsi="Times New Roman" w:cs="Times New Roman"/>
          <w:szCs w:val="20"/>
        </w:rPr>
        <w:t>SHAP summary plot showing the contribution of each key gene to the ENS model predictions.</w:t>
      </w:r>
    </w:p>
    <w:p w14:paraId="402D6CA3" w14:textId="200EE64B" w:rsidR="003E36AA" w:rsidRDefault="003E36AA" w:rsidP="003E36AA">
      <w:pPr>
        <w:pStyle w:val="EndNoteBibliography"/>
        <w:spacing w:line="480" w:lineRule="auto"/>
        <w:rPr>
          <w:rFonts w:ascii="Times New Roman" w:eastAsia="宋体" w:hAnsi="Times New Roman" w:cs="Times New Roman"/>
          <w:szCs w:val="20"/>
          <w:lang w:bidi="ar"/>
        </w:rPr>
      </w:pPr>
      <w:r>
        <w:rPr>
          <w:rFonts w:ascii="Times New Roman" w:eastAsia="宋体" w:hAnsi="Times New Roman" w:cs="Times New Roman" w:hint="eastAsia"/>
          <w:noProof/>
          <w:szCs w:val="20"/>
          <w:lang w:bidi="ar"/>
        </w:rPr>
        <w:drawing>
          <wp:inline distT="0" distB="0" distL="0" distR="0" wp14:anchorId="76A58F94" wp14:editId="76F99AB4">
            <wp:extent cx="6260592" cy="4166616"/>
            <wp:effectExtent l="0" t="0" r="6985"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0"/>
                    <a:stretch>
                      <a:fillRect/>
                    </a:stretch>
                  </pic:blipFill>
                  <pic:spPr>
                    <a:xfrm>
                      <a:off x="0" y="0"/>
                      <a:ext cx="6260592" cy="4166616"/>
                    </a:xfrm>
                    <a:prstGeom prst="rect">
                      <a:avLst/>
                    </a:prstGeom>
                  </pic:spPr>
                </pic:pic>
              </a:graphicData>
            </a:graphic>
          </wp:inline>
        </w:drawing>
      </w:r>
    </w:p>
    <w:p w14:paraId="58A3BE8D" w14:textId="3F9C8E50" w:rsidR="003E36AA" w:rsidRDefault="003E36AA" w:rsidP="003E36AA">
      <w:pPr>
        <w:pStyle w:val="EndNoteBibliography"/>
        <w:spacing w:line="480" w:lineRule="auto"/>
        <w:ind w:left="482" w:hangingChars="200" w:hanging="482"/>
        <w:rPr>
          <w:rFonts w:ascii="Times New Roman" w:hAnsi="Times New Roman" w:cs="Times New Roman"/>
          <w:sz w:val="24"/>
        </w:rPr>
      </w:pPr>
      <w:r>
        <w:rPr>
          <w:rFonts w:ascii="Times New Roman" w:hAnsi="Times New Roman" w:cs="Times New Roman"/>
          <w:b/>
          <w:bCs/>
          <w:sz w:val="24"/>
        </w:rPr>
        <w:lastRenderedPageBreak/>
        <w:t>Fig. S</w:t>
      </w:r>
      <w:r>
        <w:rPr>
          <w:rFonts w:ascii="Times New Roman" w:hAnsi="Times New Roman" w:cs="Times New Roman" w:hint="eastAsia"/>
          <w:b/>
          <w:bCs/>
          <w:sz w:val="24"/>
        </w:rPr>
        <w:t>4</w:t>
      </w:r>
      <w:r>
        <w:rPr>
          <w:rFonts w:ascii="Times New Roman" w:hAnsi="Times New Roman" w:cs="Times New Roman"/>
          <w:b/>
          <w:bCs/>
          <w:sz w:val="24"/>
        </w:rPr>
        <w:t xml:space="preserve"> </w:t>
      </w:r>
      <w:r>
        <w:rPr>
          <w:rFonts w:ascii="Times New Roman" w:hAnsi="Times New Roman" w:cs="Times New Roman" w:hint="eastAsia"/>
          <w:sz w:val="24"/>
        </w:rPr>
        <w:t>Evaluation and interpretation of the ENS</w:t>
      </w:r>
    </w:p>
    <w:p w14:paraId="05BCC77A" w14:textId="59C51E90" w:rsidR="003E36AA" w:rsidRPr="003E36AA" w:rsidRDefault="003E36AA" w:rsidP="003E36AA">
      <w:pPr>
        <w:pStyle w:val="EndNoteBibliography"/>
        <w:spacing w:line="480" w:lineRule="auto"/>
        <w:ind w:firstLineChars="200" w:firstLine="402"/>
        <w:rPr>
          <w:rFonts w:ascii="Times New Roman" w:hAnsi="Times New Roman" w:cs="Times New Roman"/>
          <w:szCs w:val="20"/>
        </w:rPr>
      </w:pPr>
      <w:r>
        <w:rPr>
          <w:rFonts w:ascii="Times New Roman" w:hAnsi="Times New Roman" w:cs="Times New Roman"/>
          <w:b/>
          <w:bCs/>
          <w:szCs w:val="20"/>
        </w:rPr>
        <w:t>A</w:t>
      </w:r>
      <w:r>
        <w:rPr>
          <w:rFonts w:ascii="Times New Roman" w:hAnsi="Times New Roman" w:cs="Times New Roman" w:hint="eastAsia"/>
          <w:b/>
          <w:bCs/>
          <w:szCs w:val="20"/>
        </w:rPr>
        <w:t>-C</w:t>
      </w:r>
      <w:r w:rsidRPr="003E36AA">
        <w:rPr>
          <w:rFonts w:ascii="Times New Roman" w:eastAsia="宋体" w:hAnsi="Times New Roman" w:cs="Times New Roman"/>
          <w:szCs w:val="20"/>
          <w:lang w:bidi="ar"/>
        </w:rPr>
        <w:t xml:space="preserve"> </w:t>
      </w:r>
      <w:r w:rsidRPr="003E36AA">
        <w:rPr>
          <w:rFonts w:ascii="Times New Roman" w:hAnsi="Times New Roman" w:cs="Times New Roman"/>
          <w:szCs w:val="20"/>
        </w:rPr>
        <w:t xml:space="preserve">DCA of the ENS and other competing models in GSE25066, GSE20194, and GSE20271. </w:t>
      </w:r>
      <w:r>
        <w:rPr>
          <w:rFonts w:ascii="Times New Roman" w:hAnsi="Times New Roman" w:cs="Times New Roman" w:hint="eastAsia"/>
          <w:b/>
          <w:bCs/>
          <w:szCs w:val="20"/>
        </w:rPr>
        <w:t>D-F</w:t>
      </w:r>
      <w:r w:rsidRPr="003E36AA">
        <w:rPr>
          <w:rFonts w:ascii="Times New Roman" w:hAnsi="Times New Roman" w:cs="Times New Roman"/>
          <w:szCs w:val="20"/>
        </w:rPr>
        <w:t xml:space="preserve"> PR curves of the ENS and other models in GSE25066, GSE20194, and GSE20271. </w:t>
      </w:r>
    </w:p>
    <w:p w14:paraId="503421DB" w14:textId="77777777" w:rsidR="00887741" w:rsidRDefault="00000000">
      <w:pPr>
        <w:pStyle w:val="EndNoteBibliography"/>
        <w:spacing w:line="480" w:lineRule="auto"/>
        <w:ind w:left="482" w:hangingChars="200" w:hanging="482"/>
        <w:rPr>
          <w:rFonts w:ascii="Times New Roman" w:hAnsi="Times New Roman" w:cs="Times New Roman"/>
          <w:b/>
          <w:bCs/>
          <w:sz w:val="24"/>
        </w:rPr>
      </w:pPr>
      <w:r>
        <w:rPr>
          <w:rFonts w:ascii="Times New Roman" w:hAnsi="Times New Roman" w:cs="Times New Roman" w:hint="eastAsia"/>
          <w:b/>
          <w:bCs/>
          <w:noProof/>
          <w:sz w:val="24"/>
        </w:rPr>
        <w:drawing>
          <wp:inline distT="0" distB="0" distL="114300" distR="114300" wp14:anchorId="1F2F4B44" wp14:editId="746734A2">
            <wp:extent cx="6261100" cy="4686300"/>
            <wp:effectExtent l="0" t="0" r="6350" b="0"/>
            <wp:docPr id="1" name="图片 1" descr="C:/Users/Dr.HU/Desktop/sci返修论文/sci第三次返修/重新建模/结果图/附图2/figureS2.tif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Dr.HU/Desktop/sci返修论文/sci第三次返修/重新建模/结果图/附图2/figureS2.tiffigureS2"/>
                    <pic:cNvPicPr>
                      <a:picLocks noChangeAspect="1"/>
                    </pic:cNvPicPr>
                  </pic:nvPicPr>
                  <pic:blipFill>
                    <a:blip r:embed="rId11"/>
                    <a:srcRect/>
                    <a:stretch>
                      <a:fillRect/>
                    </a:stretch>
                  </pic:blipFill>
                  <pic:spPr>
                    <a:xfrm>
                      <a:off x="0" y="0"/>
                      <a:ext cx="6261100" cy="4686300"/>
                    </a:xfrm>
                    <a:prstGeom prst="rect">
                      <a:avLst/>
                    </a:prstGeom>
                  </pic:spPr>
                </pic:pic>
              </a:graphicData>
            </a:graphic>
          </wp:inline>
        </w:drawing>
      </w:r>
    </w:p>
    <w:p w14:paraId="7B03BAFA" w14:textId="7787C8B4" w:rsidR="00887741" w:rsidRDefault="00000000">
      <w:pPr>
        <w:pStyle w:val="EndNoteBibliography"/>
        <w:spacing w:line="480" w:lineRule="auto"/>
        <w:ind w:left="482" w:hangingChars="200" w:hanging="482"/>
        <w:rPr>
          <w:rFonts w:ascii="Times New Roman" w:hAnsi="Times New Roman" w:cs="Times New Roman"/>
          <w:b/>
          <w:bCs/>
          <w:sz w:val="24"/>
        </w:rPr>
      </w:pPr>
      <w:r>
        <w:rPr>
          <w:rFonts w:ascii="Times New Roman" w:hAnsi="Times New Roman" w:cs="Times New Roman"/>
          <w:b/>
          <w:bCs/>
          <w:sz w:val="24"/>
        </w:rPr>
        <w:t>Fig. S</w:t>
      </w:r>
      <w:r w:rsidR="001D7B71">
        <w:rPr>
          <w:rFonts w:ascii="Times New Roman" w:hAnsi="Times New Roman" w:cs="Times New Roman" w:hint="eastAsia"/>
          <w:b/>
          <w:bCs/>
          <w:sz w:val="24"/>
        </w:rPr>
        <w:t>5</w:t>
      </w:r>
      <w:r>
        <w:rPr>
          <w:rFonts w:ascii="Times New Roman" w:hAnsi="Times New Roman" w:cs="Times New Roman"/>
          <w:b/>
          <w:bCs/>
          <w:sz w:val="24"/>
        </w:rPr>
        <w:t xml:space="preserve"> </w:t>
      </w:r>
      <w:r>
        <w:rPr>
          <w:rFonts w:ascii="Times New Roman" w:hAnsi="Times New Roman" w:cs="Times New Roman"/>
          <w:sz w:val="24"/>
        </w:rPr>
        <w:t>Survival analysis in subgroups stratified by clinical features based on risk group</w:t>
      </w:r>
    </w:p>
    <w:p w14:paraId="592902A7" w14:textId="77777777" w:rsidR="00887741" w:rsidRDefault="00000000">
      <w:pPr>
        <w:pStyle w:val="EndNoteBibliography"/>
        <w:spacing w:line="480" w:lineRule="auto"/>
        <w:ind w:firstLineChars="200" w:firstLine="400"/>
        <w:rPr>
          <w:rFonts w:ascii="Times New Roman" w:hAnsi="Times New Roman" w:cs="Times New Roman"/>
          <w:szCs w:val="20"/>
        </w:rPr>
      </w:pPr>
      <w:r>
        <w:rPr>
          <w:rFonts w:ascii="Times New Roman" w:hAnsi="Times New Roman" w:cs="Times New Roman"/>
          <w:szCs w:val="20"/>
        </w:rPr>
        <w:t>The figure presents the Kaplan-Meier survival curves for different patient groups classified based on various clinical features including age, AJCC stage, histological grade</w:t>
      </w:r>
      <w:r>
        <w:rPr>
          <w:rFonts w:ascii="Times New Roman" w:hAnsi="Times New Roman" w:cs="Times New Roman" w:hint="eastAsia"/>
          <w:szCs w:val="20"/>
        </w:rPr>
        <w:t xml:space="preserve">, </w:t>
      </w:r>
      <w:r>
        <w:rPr>
          <w:rFonts w:ascii="Times New Roman" w:hAnsi="Times New Roman" w:cs="Times New Roman"/>
          <w:szCs w:val="20"/>
        </w:rPr>
        <w:t xml:space="preserve">nodal status (N), </w:t>
      </w:r>
      <w:r>
        <w:rPr>
          <w:rFonts w:ascii="Times New Roman" w:hAnsi="Times New Roman" w:cs="Times New Roman" w:hint="eastAsia"/>
          <w:szCs w:val="20"/>
        </w:rPr>
        <w:t xml:space="preserve">and </w:t>
      </w:r>
      <w:r>
        <w:rPr>
          <w:rFonts w:ascii="Times New Roman" w:hAnsi="Times New Roman" w:cs="Times New Roman"/>
          <w:szCs w:val="20"/>
        </w:rPr>
        <w:t xml:space="preserve">tumor size (T). </w:t>
      </w:r>
      <w:r>
        <w:rPr>
          <w:rFonts w:ascii="Times New Roman" w:hAnsi="Times New Roman" w:cs="Times New Roman"/>
          <w:b/>
          <w:bCs/>
          <w:szCs w:val="20"/>
        </w:rPr>
        <w:t>A, B</w:t>
      </w:r>
      <w:r>
        <w:rPr>
          <w:rFonts w:ascii="Times New Roman" w:hAnsi="Times New Roman" w:cs="Times New Roman"/>
          <w:szCs w:val="20"/>
        </w:rPr>
        <w:t xml:space="preserve"> Comparison of survival curves between patients aged below 60 and those 60 and above. </w:t>
      </w:r>
      <w:r>
        <w:rPr>
          <w:rFonts w:ascii="Times New Roman" w:hAnsi="Times New Roman" w:cs="Times New Roman"/>
          <w:b/>
          <w:bCs/>
          <w:szCs w:val="20"/>
        </w:rPr>
        <w:t>C, D</w:t>
      </w:r>
      <w:r>
        <w:rPr>
          <w:rFonts w:ascii="Times New Roman" w:hAnsi="Times New Roman" w:cs="Times New Roman"/>
          <w:szCs w:val="20"/>
        </w:rPr>
        <w:t xml:space="preserve"> Survival analysis across different stages of the AJCC classification. </w:t>
      </w:r>
      <w:r>
        <w:rPr>
          <w:rFonts w:ascii="Times New Roman" w:hAnsi="Times New Roman" w:cs="Times New Roman"/>
          <w:b/>
          <w:bCs/>
          <w:szCs w:val="20"/>
        </w:rPr>
        <w:t>E</w:t>
      </w:r>
      <w:r>
        <w:rPr>
          <w:rFonts w:ascii="Times New Roman" w:hAnsi="Times New Roman" w:cs="Times New Roman" w:hint="eastAsia"/>
          <w:b/>
          <w:bCs/>
          <w:szCs w:val="20"/>
        </w:rPr>
        <w:t>, F</w:t>
      </w:r>
      <w:r>
        <w:rPr>
          <w:rFonts w:ascii="Times New Roman" w:hAnsi="Times New Roman" w:cs="Times New Roman"/>
          <w:szCs w:val="20"/>
        </w:rPr>
        <w:t xml:space="preserve"> Survival analysis </w:t>
      </w:r>
      <w:r>
        <w:rPr>
          <w:rFonts w:ascii="Times New Roman" w:hAnsi="Times New Roman" w:cs="Times New Roman" w:hint="eastAsia"/>
          <w:szCs w:val="20"/>
        </w:rPr>
        <w:t xml:space="preserve">across different </w:t>
      </w:r>
      <w:r>
        <w:rPr>
          <w:rFonts w:ascii="Times New Roman" w:hAnsi="Times New Roman" w:cs="Times New Roman"/>
          <w:szCs w:val="20"/>
        </w:rPr>
        <w:t xml:space="preserve">histological grade. </w:t>
      </w:r>
      <w:r>
        <w:rPr>
          <w:rFonts w:ascii="Times New Roman" w:hAnsi="Times New Roman" w:cs="Times New Roman"/>
          <w:b/>
          <w:bCs/>
          <w:szCs w:val="20"/>
        </w:rPr>
        <w:t>G, H</w:t>
      </w:r>
      <w:r>
        <w:rPr>
          <w:rFonts w:ascii="Times New Roman" w:hAnsi="Times New Roman" w:cs="Times New Roman"/>
          <w:szCs w:val="20"/>
        </w:rPr>
        <w:t xml:space="preserve"> Analysis of survival curves across different nodal statuses. </w:t>
      </w:r>
      <w:r>
        <w:rPr>
          <w:rFonts w:ascii="Times New Roman" w:hAnsi="Times New Roman" w:cs="Times New Roman"/>
          <w:b/>
          <w:bCs/>
          <w:szCs w:val="20"/>
        </w:rPr>
        <w:t>I, J</w:t>
      </w:r>
      <w:r>
        <w:rPr>
          <w:rFonts w:ascii="Times New Roman" w:hAnsi="Times New Roman" w:cs="Times New Roman"/>
          <w:szCs w:val="20"/>
        </w:rPr>
        <w:t xml:space="preserve"> Survival curves depicting differences in survival across various tumor sizes.</w:t>
      </w:r>
    </w:p>
    <w:p w14:paraId="65E919E2" w14:textId="77777777" w:rsidR="00A27CDA" w:rsidRDefault="00A27CDA" w:rsidP="00A27CDA">
      <w:pPr>
        <w:pStyle w:val="EndNoteBibliography"/>
        <w:spacing w:line="480" w:lineRule="auto"/>
        <w:rPr>
          <w:rFonts w:ascii="Times New Roman" w:hAnsi="Times New Roman" w:cs="Times New Roman"/>
          <w:szCs w:val="20"/>
        </w:rPr>
      </w:pPr>
    </w:p>
    <w:p w14:paraId="6D91CB9D" w14:textId="0ED6096D" w:rsidR="00A27CDA" w:rsidRDefault="00A27CDA" w:rsidP="00A27CDA">
      <w:pPr>
        <w:pStyle w:val="EndNoteBibliography"/>
        <w:spacing w:line="480" w:lineRule="auto"/>
        <w:rPr>
          <w:rFonts w:ascii="Times New Roman" w:hAnsi="Times New Roman" w:cs="Times New Roman"/>
          <w:szCs w:val="20"/>
        </w:rPr>
      </w:pPr>
      <w:r>
        <w:rPr>
          <w:rFonts w:ascii="Times New Roman" w:hAnsi="Times New Roman" w:cs="Times New Roman" w:hint="eastAsia"/>
          <w:noProof/>
          <w:szCs w:val="20"/>
        </w:rPr>
        <w:drawing>
          <wp:inline distT="0" distB="0" distL="0" distR="0" wp14:anchorId="44344BC0" wp14:editId="45300E2E">
            <wp:extent cx="6257544" cy="208178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a:stretch>
                      <a:fillRect/>
                    </a:stretch>
                  </pic:blipFill>
                  <pic:spPr>
                    <a:xfrm>
                      <a:off x="0" y="0"/>
                      <a:ext cx="6257544" cy="2081784"/>
                    </a:xfrm>
                    <a:prstGeom prst="rect">
                      <a:avLst/>
                    </a:prstGeom>
                  </pic:spPr>
                </pic:pic>
              </a:graphicData>
            </a:graphic>
          </wp:inline>
        </w:drawing>
      </w:r>
    </w:p>
    <w:p w14:paraId="19791987" w14:textId="5BAB4053" w:rsidR="00CF1502" w:rsidRPr="00D612C9" w:rsidRDefault="00A27CDA" w:rsidP="00A27CDA">
      <w:pPr>
        <w:pStyle w:val="EndNoteBibliography"/>
        <w:spacing w:line="480" w:lineRule="auto"/>
        <w:rPr>
          <w:rFonts w:ascii="Times New Roman" w:hAnsi="Times New Roman" w:cs="Times New Roman"/>
          <w:sz w:val="24"/>
        </w:rPr>
      </w:pPr>
      <w:r w:rsidRPr="00D612C9">
        <w:rPr>
          <w:rFonts w:ascii="Times New Roman" w:hAnsi="Times New Roman" w:cs="Times New Roman"/>
          <w:b/>
          <w:bCs/>
          <w:sz w:val="24"/>
        </w:rPr>
        <w:t>Fig. S</w:t>
      </w:r>
      <w:r w:rsidR="001D7B71" w:rsidRPr="00D612C9">
        <w:rPr>
          <w:rFonts w:ascii="Times New Roman" w:hAnsi="Times New Roman" w:cs="Times New Roman" w:hint="eastAsia"/>
          <w:b/>
          <w:bCs/>
          <w:sz w:val="24"/>
        </w:rPr>
        <w:t>6</w:t>
      </w:r>
      <w:r w:rsidRPr="00D612C9">
        <w:rPr>
          <w:rFonts w:ascii="Times New Roman" w:hAnsi="Times New Roman" w:cs="Times New Roman"/>
          <w:sz w:val="24"/>
        </w:rPr>
        <w:t xml:space="preserve"> </w:t>
      </w:r>
      <w:r w:rsidR="00CF1502" w:rsidRPr="00D612C9">
        <w:rPr>
          <w:rFonts w:ascii="Times New Roman" w:hAnsi="Times New Roman" w:cs="Times New Roman"/>
          <w:sz w:val="24"/>
        </w:rPr>
        <w:t xml:space="preserve">Correlation of </w:t>
      </w:r>
      <w:r w:rsidR="00CF1502" w:rsidRPr="00D612C9">
        <w:rPr>
          <w:rFonts w:ascii="Times New Roman" w:hAnsi="Times New Roman" w:cs="Times New Roman" w:hint="eastAsia"/>
          <w:sz w:val="24"/>
        </w:rPr>
        <w:t>t</w:t>
      </w:r>
      <w:r w:rsidR="00CF1502" w:rsidRPr="00D612C9">
        <w:rPr>
          <w:rFonts w:ascii="Times New Roman" w:hAnsi="Times New Roman" w:cs="Times New Roman"/>
          <w:sz w:val="24"/>
        </w:rPr>
        <w:t xml:space="preserve">hree </w:t>
      </w:r>
      <w:r w:rsidR="00CF1502" w:rsidRPr="00D612C9">
        <w:rPr>
          <w:rFonts w:ascii="Times New Roman" w:hAnsi="Times New Roman" w:cs="Times New Roman" w:hint="eastAsia"/>
          <w:sz w:val="24"/>
        </w:rPr>
        <w:t>s</w:t>
      </w:r>
      <w:r w:rsidR="00CF1502" w:rsidRPr="00D612C9">
        <w:rPr>
          <w:rFonts w:ascii="Times New Roman" w:hAnsi="Times New Roman" w:cs="Times New Roman"/>
          <w:sz w:val="24"/>
        </w:rPr>
        <w:t xml:space="preserve">mall </w:t>
      </w:r>
      <w:r w:rsidR="00CF1502" w:rsidRPr="00D612C9">
        <w:rPr>
          <w:rFonts w:ascii="Times New Roman" w:hAnsi="Times New Roman" w:cs="Times New Roman" w:hint="eastAsia"/>
          <w:sz w:val="24"/>
        </w:rPr>
        <w:t>m</w:t>
      </w:r>
      <w:r w:rsidR="00CF1502" w:rsidRPr="00D612C9">
        <w:rPr>
          <w:rFonts w:ascii="Times New Roman" w:hAnsi="Times New Roman" w:cs="Times New Roman"/>
          <w:sz w:val="24"/>
        </w:rPr>
        <w:t xml:space="preserve">olecule </w:t>
      </w:r>
      <w:r w:rsidR="00CF1502" w:rsidRPr="00D612C9">
        <w:rPr>
          <w:rFonts w:ascii="Times New Roman" w:hAnsi="Times New Roman" w:cs="Times New Roman" w:hint="eastAsia"/>
          <w:sz w:val="24"/>
        </w:rPr>
        <w:t>i</w:t>
      </w:r>
      <w:r w:rsidR="00CF1502" w:rsidRPr="00D612C9">
        <w:rPr>
          <w:rFonts w:ascii="Times New Roman" w:hAnsi="Times New Roman" w:cs="Times New Roman"/>
          <w:sz w:val="24"/>
        </w:rPr>
        <w:t xml:space="preserve">nhibitors with </w:t>
      </w:r>
      <w:r w:rsidR="00CF1502" w:rsidRPr="00D612C9">
        <w:rPr>
          <w:rFonts w:ascii="Times New Roman" w:hAnsi="Times New Roman" w:cs="Times New Roman" w:hint="eastAsia"/>
          <w:sz w:val="24"/>
        </w:rPr>
        <w:t>c</w:t>
      </w:r>
      <w:r w:rsidR="00CF1502" w:rsidRPr="00D612C9">
        <w:rPr>
          <w:rFonts w:ascii="Times New Roman" w:hAnsi="Times New Roman" w:cs="Times New Roman"/>
          <w:sz w:val="24"/>
        </w:rPr>
        <w:t xml:space="preserve">hemotherapy </w:t>
      </w:r>
      <w:r w:rsidR="00CF1502" w:rsidRPr="00D612C9">
        <w:rPr>
          <w:rFonts w:ascii="Times New Roman" w:hAnsi="Times New Roman" w:cs="Times New Roman" w:hint="eastAsia"/>
          <w:sz w:val="24"/>
        </w:rPr>
        <w:t>r</w:t>
      </w:r>
      <w:r w:rsidR="00CF1502" w:rsidRPr="00D612C9">
        <w:rPr>
          <w:rFonts w:ascii="Times New Roman" w:hAnsi="Times New Roman" w:cs="Times New Roman"/>
          <w:sz w:val="24"/>
        </w:rPr>
        <w:t>esponse</w:t>
      </w:r>
    </w:p>
    <w:p w14:paraId="0AA80678" w14:textId="519A3B0E" w:rsidR="00CF1502" w:rsidRDefault="00CF1502" w:rsidP="00D612C9">
      <w:pPr>
        <w:pStyle w:val="EndNoteBibliography"/>
        <w:spacing w:line="480" w:lineRule="auto"/>
        <w:ind w:firstLineChars="200" w:firstLine="402"/>
        <w:rPr>
          <w:rFonts w:ascii="Times New Roman" w:hAnsi="Times New Roman" w:cs="Times New Roman"/>
          <w:szCs w:val="20"/>
        </w:rPr>
      </w:pPr>
      <w:r w:rsidRPr="00CF1502">
        <w:rPr>
          <w:rFonts w:ascii="Times New Roman" w:hAnsi="Times New Roman" w:cs="Times New Roman" w:hint="eastAsia"/>
          <w:b/>
          <w:bCs/>
          <w:szCs w:val="20"/>
        </w:rPr>
        <w:t>A</w:t>
      </w:r>
      <w:r w:rsidR="00D612C9">
        <w:rPr>
          <w:rFonts w:ascii="Times New Roman" w:hAnsi="Times New Roman" w:cs="Times New Roman" w:hint="eastAsia"/>
          <w:b/>
          <w:bCs/>
          <w:szCs w:val="20"/>
        </w:rPr>
        <w:t>-</w:t>
      </w:r>
      <w:r w:rsidRPr="00CF1502">
        <w:rPr>
          <w:rFonts w:ascii="Times New Roman" w:hAnsi="Times New Roman" w:cs="Times New Roman" w:hint="eastAsia"/>
          <w:b/>
          <w:bCs/>
          <w:szCs w:val="20"/>
        </w:rPr>
        <w:t>C</w:t>
      </w:r>
      <w:r>
        <w:rPr>
          <w:rFonts w:ascii="Times New Roman" w:hAnsi="Times New Roman" w:cs="Times New Roman" w:hint="eastAsia"/>
          <w:szCs w:val="20"/>
        </w:rPr>
        <w:t xml:space="preserve"> </w:t>
      </w:r>
      <w:r w:rsidRPr="00CF1502">
        <w:rPr>
          <w:rFonts w:ascii="Times New Roman" w:hAnsi="Times New Roman" w:cs="Times New Roman"/>
          <w:szCs w:val="20"/>
        </w:rPr>
        <w:t xml:space="preserve">Boxplots comparing the sensitivity of traditional chemotherapy agents and small molecule inhibitors in </w:t>
      </w:r>
      <w:proofErr w:type="spellStart"/>
      <w:r>
        <w:rPr>
          <w:rFonts w:ascii="Times New Roman" w:hAnsi="Times New Roman" w:cs="Times New Roman" w:hint="eastAsia"/>
          <w:szCs w:val="20"/>
        </w:rPr>
        <w:t>pCR</w:t>
      </w:r>
      <w:proofErr w:type="spellEnd"/>
      <w:r w:rsidRPr="00CF1502">
        <w:rPr>
          <w:rFonts w:ascii="Times New Roman" w:hAnsi="Times New Roman" w:cs="Times New Roman"/>
          <w:szCs w:val="20"/>
        </w:rPr>
        <w:t xml:space="preserve"> versus </w:t>
      </w:r>
      <w:r>
        <w:rPr>
          <w:rFonts w:ascii="Times New Roman" w:hAnsi="Times New Roman" w:cs="Times New Roman" w:hint="eastAsia"/>
          <w:szCs w:val="20"/>
        </w:rPr>
        <w:t>RD</w:t>
      </w:r>
      <w:r w:rsidRPr="00CF1502">
        <w:rPr>
          <w:rFonts w:ascii="Times New Roman" w:hAnsi="Times New Roman" w:cs="Times New Roman"/>
          <w:szCs w:val="20"/>
        </w:rPr>
        <w:t xml:space="preserve"> groups.</w:t>
      </w:r>
    </w:p>
    <w:sectPr w:rsidR="00CF1502">
      <w:footerReference w:type="default" r:id="rId13"/>
      <w:pgSz w:w="11906" w:h="16838"/>
      <w:pgMar w:top="1786" w:right="1021" w:bottom="1786" w:left="1021"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5B0B8" w14:textId="77777777" w:rsidR="003B0970" w:rsidRDefault="003B0970">
      <w:r>
        <w:separator/>
      </w:r>
    </w:p>
  </w:endnote>
  <w:endnote w:type="continuationSeparator" w:id="0">
    <w:p w14:paraId="70B25B62" w14:textId="77777777" w:rsidR="003B0970" w:rsidRDefault="003B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284033"/>
    </w:sdtPr>
    <w:sdtContent>
      <w:p w14:paraId="0CBE4AF0" w14:textId="77777777" w:rsidR="00887741" w:rsidRDefault="00000000">
        <w:pPr>
          <w:pStyle w:val="a3"/>
          <w:jc w:val="center"/>
        </w:pPr>
        <w:r>
          <w:fldChar w:fldCharType="begin"/>
        </w:r>
        <w:r>
          <w:instrText>PAGE   \* MERGEFORMAT</w:instrText>
        </w:r>
        <w:r>
          <w:fldChar w:fldCharType="separate"/>
        </w:r>
        <w:r>
          <w:rPr>
            <w:lang w:val="zh-CN"/>
          </w:rPr>
          <w:t>2</w:t>
        </w:r>
        <w:r>
          <w:fldChar w:fldCharType="end"/>
        </w:r>
      </w:p>
    </w:sdtContent>
  </w:sdt>
  <w:p w14:paraId="7B4D8265" w14:textId="77777777" w:rsidR="00887741" w:rsidRDefault="0088774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710C" w14:textId="77777777" w:rsidR="003B0970" w:rsidRDefault="003B0970">
      <w:r>
        <w:separator/>
      </w:r>
    </w:p>
  </w:footnote>
  <w:footnote w:type="continuationSeparator" w:id="0">
    <w:p w14:paraId="307B1372" w14:textId="77777777" w:rsidR="003B0970" w:rsidRDefault="003B09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BmNmUxZDFmYjM5ZWFiZDdkMzlmZjNhYmUyZTY5YmUifQ=="/>
    <w:docVar w:name="EN.InstantFormat" w:val="&lt;ENInstantFormat&gt;&lt;Enabled&gt;1&lt;/Enabled&gt;&lt;ScanUnformatted&gt;1&lt;/ScanUnformatted&gt;&lt;ScanChanges&gt;1&lt;/ScanChanges&gt;&lt;Suspended&gt;0&lt;/Suspended&gt;&lt;/ENInstantFormat&gt;"/>
    <w:docVar w:name="EN.Layout" w:val="&lt;ENLayout&gt;&lt;Style&gt;Journal of Cancer Research and Clinical Onc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a22sawerszd5e9vtj5xwwftp02tfdadfzf&quot;&gt;My EndNote Library&lt;record-ids&gt;&lt;item&gt;2&lt;/item&gt;&lt;item&gt;3&lt;/item&gt;&lt;item&gt;6&lt;/item&gt;&lt;item&gt;7&lt;/item&gt;&lt;item&gt;9&lt;/item&gt;&lt;item&gt;10&lt;/item&gt;&lt;item&gt;11&lt;/item&gt;&lt;item&gt;12&lt;/item&gt;&lt;item&gt;14&lt;/item&gt;&lt;item&gt;16&lt;/item&gt;&lt;item&gt;17&lt;/item&gt;&lt;item&gt;18&lt;/item&gt;&lt;item&gt;19&lt;/item&gt;&lt;item&gt;21&lt;/item&gt;&lt;item&gt;22&lt;/item&gt;&lt;item&gt;23&lt;/item&gt;&lt;item&gt;24&lt;/item&gt;&lt;item&gt;25&lt;/item&gt;&lt;item&gt;26&lt;/item&gt;&lt;item&gt;27&lt;/item&gt;&lt;item&gt;28&lt;/item&gt;&lt;item&gt;29&lt;/item&gt;&lt;item&gt;31&lt;/item&gt;&lt;item&gt;32&lt;/item&gt;&lt;item&gt;33&lt;/item&gt;&lt;item&gt;35&lt;/item&gt;&lt;item&gt;37&lt;/item&gt;&lt;item&gt;38&lt;/item&gt;&lt;item&gt;40&lt;/item&gt;&lt;item&gt;42&lt;/item&gt;&lt;item&gt;44&lt;/item&gt;&lt;item&gt;45&lt;/item&gt;&lt;item&gt;46&lt;/item&gt;&lt;item&gt;47&lt;/item&gt;&lt;item&gt;48&lt;/item&gt;&lt;item&gt;49&lt;/item&gt;&lt;item&gt;50&lt;/item&gt;&lt;item&gt;51&lt;/item&gt;&lt;item&gt;52&lt;/item&gt;&lt;item&gt;53&lt;/item&gt;&lt;item&gt;54&lt;/item&gt;&lt;item&gt;55&lt;/item&gt;&lt;item&gt;57&lt;/item&gt;&lt;item&gt;59&lt;/item&gt;&lt;item&gt;60&lt;/item&gt;&lt;item&gt;61&lt;/item&gt;&lt;item&gt;62&lt;/item&gt;&lt;item&gt;64&lt;/item&gt;&lt;item&gt;66&lt;/item&gt;&lt;item&gt;67&lt;/item&gt;&lt;item&gt;68&lt;/item&gt;&lt;item&gt;69&lt;/item&gt;&lt;item&gt;70&lt;/item&gt;&lt;item&gt;71&lt;/item&gt;&lt;item&gt;73&lt;/item&gt;&lt;item&gt;74&lt;/item&gt;&lt;item&gt;75&lt;/item&gt;&lt;item&gt;76&lt;/item&gt;&lt;item&gt;77&lt;/item&gt;&lt;item&gt;78&lt;/item&gt;&lt;item&gt;79&lt;/item&gt;&lt;item&gt;80&lt;/item&gt;&lt;item&gt;81&lt;/item&gt;&lt;item&gt;82&lt;/item&gt;&lt;item&gt;83&lt;/item&gt;&lt;item&gt;84&lt;/item&gt;&lt;item&gt;85&lt;/item&gt;&lt;/record-ids&gt;&lt;/item&gt;&lt;/Libraries&gt;"/>
  </w:docVars>
  <w:rsids>
    <w:rsidRoot w:val="14C819FC"/>
    <w:rsid w:val="000327C1"/>
    <w:rsid w:val="0010345F"/>
    <w:rsid w:val="001074E9"/>
    <w:rsid w:val="0014620F"/>
    <w:rsid w:val="001657B5"/>
    <w:rsid w:val="00174A84"/>
    <w:rsid w:val="001879F9"/>
    <w:rsid w:val="001D1B7E"/>
    <w:rsid w:val="001D7B71"/>
    <w:rsid w:val="00246B72"/>
    <w:rsid w:val="00262C72"/>
    <w:rsid w:val="002F1860"/>
    <w:rsid w:val="00313042"/>
    <w:rsid w:val="00342156"/>
    <w:rsid w:val="00377358"/>
    <w:rsid w:val="00380633"/>
    <w:rsid w:val="003B0970"/>
    <w:rsid w:val="003C07E5"/>
    <w:rsid w:val="003C3371"/>
    <w:rsid w:val="003D34CD"/>
    <w:rsid w:val="003D4A5C"/>
    <w:rsid w:val="003E36AA"/>
    <w:rsid w:val="00420540"/>
    <w:rsid w:val="004341C3"/>
    <w:rsid w:val="004632EB"/>
    <w:rsid w:val="00482796"/>
    <w:rsid w:val="004B3D94"/>
    <w:rsid w:val="004B632A"/>
    <w:rsid w:val="004C1D59"/>
    <w:rsid w:val="004D5168"/>
    <w:rsid w:val="004E1860"/>
    <w:rsid w:val="0051262E"/>
    <w:rsid w:val="005766B9"/>
    <w:rsid w:val="00580638"/>
    <w:rsid w:val="005A49FA"/>
    <w:rsid w:val="005B1AE9"/>
    <w:rsid w:val="005C4134"/>
    <w:rsid w:val="005D2A06"/>
    <w:rsid w:val="0065635D"/>
    <w:rsid w:val="0066502D"/>
    <w:rsid w:val="006736AE"/>
    <w:rsid w:val="00687839"/>
    <w:rsid w:val="006B230C"/>
    <w:rsid w:val="006E0396"/>
    <w:rsid w:val="006E03B0"/>
    <w:rsid w:val="006E2485"/>
    <w:rsid w:val="006F6318"/>
    <w:rsid w:val="00704F51"/>
    <w:rsid w:val="00715744"/>
    <w:rsid w:val="00725C2E"/>
    <w:rsid w:val="007461C3"/>
    <w:rsid w:val="00776B9A"/>
    <w:rsid w:val="0078199E"/>
    <w:rsid w:val="007836C7"/>
    <w:rsid w:val="007A26C7"/>
    <w:rsid w:val="007C10C7"/>
    <w:rsid w:val="007E6804"/>
    <w:rsid w:val="00830992"/>
    <w:rsid w:val="00880CC2"/>
    <w:rsid w:val="00887741"/>
    <w:rsid w:val="00895825"/>
    <w:rsid w:val="008C3A7B"/>
    <w:rsid w:val="008D13C2"/>
    <w:rsid w:val="008D4786"/>
    <w:rsid w:val="008F40FB"/>
    <w:rsid w:val="00910C3F"/>
    <w:rsid w:val="00917661"/>
    <w:rsid w:val="009320C0"/>
    <w:rsid w:val="00937F25"/>
    <w:rsid w:val="00941D6A"/>
    <w:rsid w:val="00976728"/>
    <w:rsid w:val="009830F9"/>
    <w:rsid w:val="0099597A"/>
    <w:rsid w:val="009E2ACB"/>
    <w:rsid w:val="009E419D"/>
    <w:rsid w:val="009F2528"/>
    <w:rsid w:val="00A27773"/>
    <w:rsid w:val="00A27CDA"/>
    <w:rsid w:val="00A7366E"/>
    <w:rsid w:val="00A73E04"/>
    <w:rsid w:val="00A97BF1"/>
    <w:rsid w:val="00AA0F87"/>
    <w:rsid w:val="00AA2F02"/>
    <w:rsid w:val="00AD550F"/>
    <w:rsid w:val="00AE4B39"/>
    <w:rsid w:val="00B2024C"/>
    <w:rsid w:val="00B25392"/>
    <w:rsid w:val="00B35933"/>
    <w:rsid w:val="00B4514A"/>
    <w:rsid w:val="00B533FE"/>
    <w:rsid w:val="00B77120"/>
    <w:rsid w:val="00B84BCD"/>
    <w:rsid w:val="00BA16D6"/>
    <w:rsid w:val="00BB4AB4"/>
    <w:rsid w:val="00BE76EE"/>
    <w:rsid w:val="00C46896"/>
    <w:rsid w:val="00C5260B"/>
    <w:rsid w:val="00C95C45"/>
    <w:rsid w:val="00CF1502"/>
    <w:rsid w:val="00D031F3"/>
    <w:rsid w:val="00D07F7E"/>
    <w:rsid w:val="00D1233E"/>
    <w:rsid w:val="00D27458"/>
    <w:rsid w:val="00D612C9"/>
    <w:rsid w:val="00DE16BB"/>
    <w:rsid w:val="00E133AD"/>
    <w:rsid w:val="00E43C89"/>
    <w:rsid w:val="00E61833"/>
    <w:rsid w:val="00E61BFA"/>
    <w:rsid w:val="00E621F4"/>
    <w:rsid w:val="00EF350C"/>
    <w:rsid w:val="00F14102"/>
    <w:rsid w:val="00F2623D"/>
    <w:rsid w:val="00F2710D"/>
    <w:rsid w:val="00F325CD"/>
    <w:rsid w:val="00F422E9"/>
    <w:rsid w:val="00F768C2"/>
    <w:rsid w:val="00FB0BB8"/>
    <w:rsid w:val="00FC24F2"/>
    <w:rsid w:val="00FC58F2"/>
    <w:rsid w:val="00FE692B"/>
    <w:rsid w:val="04BE29D2"/>
    <w:rsid w:val="0ACA43A7"/>
    <w:rsid w:val="0EFC2A99"/>
    <w:rsid w:val="14C819FC"/>
    <w:rsid w:val="17832749"/>
    <w:rsid w:val="181B5077"/>
    <w:rsid w:val="21FC4168"/>
    <w:rsid w:val="3BB45D8F"/>
    <w:rsid w:val="4B825992"/>
    <w:rsid w:val="50CC6933"/>
    <w:rsid w:val="5F3C606A"/>
    <w:rsid w:val="688B1D09"/>
    <w:rsid w:val="695A1B5E"/>
    <w:rsid w:val="6FF573A1"/>
    <w:rsid w:val="75980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AFB3D3"/>
  <w14:defaultImageDpi w14:val="32767"/>
  <w15:docId w15:val="{1FA5B57D-9ECD-4F59-9F09-A721DC1F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ne number"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qFormat/>
    <w:rPr>
      <w:sz w:val="24"/>
    </w:rPr>
  </w:style>
  <w:style w:type="character" w:styleId="a8">
    <w:name w:val="FollowedHyperlink"/>
    <w:basedOn w:val="a0"/>
    <w:autoRedefine/>
    <w:qFormat/>
    <w:rPr>
      <w:color w:val="7E1FAD" w:themeColor="followedHyperlink"/>
      <w:u w:val="single"/>
    </w:rPr>
  </w:style>
  <w:style w:type="character" w:styleId="a9">
    <w:name w:val="line number"/>
    <w:basedOn w:val="a0"/>
    <w:autoRedefine/>
    <w:qFormat/>
  </w:style>
  <w:style w:type="character" w:styleId="aa">
    <w:name w:val="Hyperlink"/>
    <w:basedOn w:val="a0"/>
    <w:autoRedefine/>
    <w:qFormat/>
    <w:rPr>
      <w:color w:val="0026E5" w:themeColor="hyperlink"/>
      <w:u w:val="single"/>
    </w:rPr>
  </w:style>
  <w:style w:type="paragraph" w:customStyle="1" w:styleId="EndNoteBibliographyTitle">
    <w:name w:val="EndNote Bibliography Title"/>
    <w:basedOn w:val="a"/>
    <w:link w:val="EndNoteBibliographyTitle0"/>
    <w:autoRedefine/>
    <w:qFormat/>
    <w:pPr>
      <w:jc w:val="center"/>
    </w:pPr>
    <w:rPr>
      <w:rFonts w:ascii="Calibri" w:hAnsi="Calibri" w:cs="Calibri"/>
      <w:sz w:val="20"/>
    </w:rPr>
  </w:style>
  <w:style w:type="character" w:customStyle="1" w:styleId="EndNoteBibliographyTitle0">
    <w:name w:val="EndNote Bibliography Title 字符"/>
    <w:basedOn w:val="a0"/>
    <w:link w:val="EndNoteBibliographyTitle"/>
    <w:autoRedefine/>
    <w:qFormat/>
    <w:rPr>
      <w:rFonts w:ascii="Calibri" w:hAnsi="Calibri" w:cs="Calibri"/>
      <w:kern w:val="2"/>
      <w:szCs w:val="24"/>
    </w:rPr>
  </w:style>
  <w:style w:type="paragraph" w:customStyle="1" w:styleId="EndNoteBibliography">
    <w:name w:val="EndNote Bibliography"/>
    <w:basedOn w:val="a"/>
    <w:link w:val="EndNoteBibliography0"/>
    <w:autoRedefine/>
    <w:qFormat/>
    <w:rPr>
      <w:rFonts w:ascii="Calibri" w:hAnsi="Calibri" w:cs="Calibri"/>
      <w:sz w:val="20"/>
    </w:rPr>
  </w:style>
  <w:style w:type="character" w:customStyle="1" w:styleId="EndNoteBibliography0">
    <w:name w:val="EndNote Bibliography 字符"/>
    <w:basedOn w:val="a0"/>
    <w:link w:val="EndNoteBibliography"/>
    <w:autoRedefine/>
    <w:qFormat/>
    <w:rPr>
      <w:rFonts w:ascii="Calibri" w:hAnsi="Calibri" w:cs="Calibri"/>
      <w:kern w:val="2"/>
      <w:szCs w:val="24"/>
    </w:rPr>
  </w:style>
  <w:style w:type="character" w:customStyle="1" w:styleId="10">
    <w:name w:val="未处理的提及1"/>
    <w:basedOn w:val="a0"/>
    <w:autoRedefine/>
    <w:uiPriority w:val="99"/>
    <w:semiHidden/>
    <w:unhideWhenUsed/>
    <w:qFormat/>
    <w:rPr>
      <w:color w:val="605E5C"/>
      <w:shd w:val="clear" w:color="auto" w:fill="E1DFDD"/>
    </w:rPr>
  </w:style>
  <w:style w:type="character" w:customStyle="1" w:styleId="a6">
    <w:name w:val="页眉 字符"/>
    <w:basedOn w:val="a0"/>
    <w:link w:val="a5"/>
    <w:autoRedefine/>
    <w:qFormat/>
    <w:rPr>
      <w:kern w:val="2"/>
      <w:sz w:val="18"/>
      <w:szCs w:val="18"/>
    </w:rPr>
  </w:style>
  <w:style w:type="character" w:customStyle="1" w:styleId="a4">
    <w:name w:val="页脚 字符"/>
    <w:basedOn w:val="a0"/>
    <w:link w:val="a3"/>
    <w:autoRedefine/>
    <w:uiPriority w:val="99"/>
    <w:qFormat/>
    <w:rPr>
      <w:kern w:val="2"/>
      <w:sz w:val="18"/>
      <w:szCs w:val="18"/>
    </w:rPr>
  </w:style>
  <w:style w:type="character" w:styleId="ab">
    <w:name w:val="Placeholder Text"/>
    <w:basedOn w:val="a0"/>
    <w:uiPriority w:val="99"/>
    <w:unhideWhenUsed/>
    <w:rsid w:val="00BE76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tif"/><Relationship Id="rId12" Type="http://schemas.openxmlformats.org/officeDocument/2006/relationships/image" Target="media/image6.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enfangfang@znhosptial.cn"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tif"/><Relationship Id="rId4" Type="http://schemas.openxmlformats.org/officeDocument/2006/relationships/footnotes" Target="footnotes.xml"/><Relationship Id="rId9" Type="http://schemas.openxmlformats.org/officeDocument/2006/relationships/image" Target="media/image3.tif"/><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1297</Words>
  <Characters>7393</Characters>
  <Application>Microsoft Office Word</Application>
  <DocSecurity>0</DocSecurity>
  <Lines>61</Lines>
  <Paragraphs>17</Paragraphs>
  <ScaleCrop>false</ScaleCrop>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Excalibur</dc:creator>
  <cp:lastModifiedBy>MEISHUN HU</cp:lastModifiedBy>
  <cp:revision>3</cp:revision>
  <dcterms:created xsi:type="dcterms:W3CDTF">2025-09-15T15:37:00Z</dcterms:created>
  <dcterms:modified xsi:type="dcterms:W3CDTF">2025-09-16T01:03:00Z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84B50D2EFC8B497EAB3EA1986211375D_13</vt:lpwstr>
  </property>
</Properties>
</file>